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EB16D" w14:textId="69767B28" w:rsidR="00526CAA" w:rsidRPr="00526CAA" w:rsidRDefault="00526CAA" w:rsidP="00526CAA">
      <w:pPr>
        <w:spacing w:after="0" w:line="276" w:lineRule="auto"/>
        <w:ind w:left="6237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bookmarkStart w:id="0" w:name="_GoBack"/>
      <w:r w:rsidRPr="00526CA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Додаток</w:t>
      </w:r>
    </w:p>
    <w:p w14:paraId="396EC488" w14:textId="609C7AF6" w:rsidR="00526CAA" w:rsidRPr="00526CAA" w:rsidRDefault="00526CAA" w:rsidP="00526CAA">
      <w:pPr>
        <w:spacing w:after="0" w:line="276" w:lineRule="auto"/>
        <w:ind w:left="6237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526CA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до рішення міської ради</w:t>
      </w:r>
    </w:p>
    <w:p w14:paraId="6E2623A7" w14:textId="54A9F93F" w:rsidR="00526CAA" w:rsidRPr="00526CAA" w:rsidRDefault="00526CAA" w:rsidP="00526CAA">
      <w:pPr>
        <w:spacing w:after="0" w:line="276" w:lineRule="auto"/>
        <w:ind w:left="6237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526CA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____________ № _______</w:t>
      </w:r>
    </w:p>
    <w:p w14:paraId="17CBCC51" w14:textId="77777777" w:rsidR="00526CAA" w:rsidRDefault="00526CAA" w:rsidP="0013158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2AF4D6E" w14:textId="77777777" w:rsidR="00526CAA" w:rsidRDefault="00526CAA" w:rsidP="0013158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80A2A13" w14:textId="3FF65D96" w:rsidR="001C110B" w:rsidRPr="00131583" w:rsidRDefault="0078080C" w:rsidP="0013158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15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ЗВЕРНЕННЯ</w:t>
      </w:r>
    </w:p>
    <w:p w14:paraId="2E886E8C" w14:textId="0A1B3FEB" w:rsidR="0078080C" w:rsidRPr="00131583" w:rsidRDefault="0078080C" w:rsidP="0013158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13158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до Президента </w:t>
      </w:r>
      <w:r w:rsidRPr="00840AD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України, Верховної Ради України та Кабінету Міністрів України</w:t>
      </w:r>
      <w:r w:rsidR="00131583" w:rsidRPr="00840AD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40AD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щодо</w:t>
      </w:r>
      <w:r w:rsidR="00840AD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840AD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Проєкту</w:t>
      </w:r>
      <w:proofErr w:type="spellEnd"/>
      <w:r w:rsidR="00840AD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Закону України від 18.11.2025 року «Про внесення змін до Податкового кодексу України щодо реєстрації платників єдиного податку платниками податку на додану вартість»</w:t>
      </w:r>
    </w:p>
    <w:p w14:paraId="2A3756F2" w14:textId="77777777" w:rsidR="00501D15" w:rsidRPr="00131583" w:rsidRDefault="00501D15" w:rsidP="00131583">
      <w:p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4E352BD" w14:textId="655C352F" w:rsidR="00D0190E" w:rsidRPr="00131583" w:rsidRDefault="00D0190E" w:rsidP="0013158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3158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Ми, депутати Луцької міської ради, звертаємося з проханням розглянути питання відкл</w:t>
      </w:r>
      <w:r w:rsidR="006D290A" w:rsidRPr="0013158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икання ініціативи Міністерства ф</w:t>
      </w:r>
      <w:r w:rsidRPr="0013158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інансів щодо запровадження з 1 січня 2027 року обов’язкової реєстрації платниками ПДВ платників єдиного податку, річний оборот яких перевищує 1 млн грн та перегляд домовленостей з МВФ щодо збереження умов спрощеної системи оподаткування, обліку та звітності.</w:t>
      </w:r>
    </w:p>
    <w:p w14:paraId="54F4FE7D" w14:textId="77777777" w:rsidR="006D290A" w:rsidRPr="00131583" w:rsidRDefault="0076011F" w:rsidP="0013158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Московська агресія принесла </w:t>
      </w:r>
      <w:r w:rsidR="00E67D26"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випробування для нашої країни, та українці</w:t>
      </w:r>
      <w:r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об’єдналися, стали на захист і кожен на своєму місці робить все можливе для досягнення миру та допомоги Збройним силам України.</w:t>
      </w:r>
      <w:r w:rsidR="00E67D26"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D290A"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Фізичні особи — підприємці є основою економіки громад, джерелом робочих місць та стабільних надходжень до місцевих бюджетів, особливо в умовах повномасштабної війни. Саме підприємці забезпечують економічну стійкість держави та стабільно сплачують податки. </w:t>
      </w:r>
    </w:p>
    <w:p w14:paraId="61C83CC2" w14:textId="77777777" w:rsidR="006D290A" w:rsidRPr="00131583" w:rsidRDefault="006D290A" w:rsidP="0013158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Аналіз ініціативи Міністерства фінансів щодо запровадження сплати ПДВ платників єдиного податку показує, </w:t>
      </w:r>
      <w:r w:rsidRPr="0013158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що розрахунки у оприлюдненому документі не відповідають поточним реаліям.</w:t>
      </w:r>
      <w:r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Зокрема, фахівці Аналітичних центрів вказують наступне.</w:t>
      </w:r>
    </w:p>
    <w:p w14:paraId="4A62DB72" w14:textId="77777777" w:rsidR="006D290A" w:rsidRPr="006D290A" w:rsidRDefault="006D290A" w:rsidP="0013158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По-перше, не враховано додаткові витрати сектору домогосподарств (громадян). Оскільки ПДВ є податком на кінцеве споживання, додаткові доходи бюджету планується отримати за рахунок кінцевого споживача, який, таким чином, понесе додаткові витрати у розмірі, що дорівнює сумі фіскального ефекту. Можливе зростання суспільного добробуту внаслідок такого перерозподілу не доведене, і, у будь-якому разі, є значно меншим за суму фіскального ефекту.</w:t>
      </w:r>
    </w:p>
    <w:p w14:paraId="4D89921C" w14:textId="53F9C6EC" w:rsidR="006D290A" w:rsidRPr="006D290A" w:rsidRDefault="006D290A" w:rsidP="0013158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По-друге, адміністративні витрати у АРВ Мінфіну розраховані на пр</w:t>
      </w:r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ипущенні</w:t>
      </w: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 про те, що суб’єкт підприємництва витрачає додатково 56 людино-годин на рік на адміністрування ПДВ. Це припущення не відповідає дійсності, </w:t>
      </w: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lastRenderedPageBreak/>
        <w:t>тому що статус платника ПДВ вимагає бухгалтерського обліку, в іншому разі не потрібного мікробізнесу за його управлінською моделлю.</w:t>
      </w:r>
    </w:p>
    <w:p w14:paraId="31B71304" w14:textId="093AE222" w:rsidR="006D290A" w:rsidRPr="006D290A" w:rsidRDefault="006D290A" w:rsidP="0013158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По-третє, для розрахунку витрат у АРВ Мінфіну використано розмір мінімальної зарплати, хоча облік – це кваліфікована праця, яку, як правило, виконує бухгалтер, що отриму</w:t>
      </w:r>
      <w:r w:rsid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є щонайменше середню зарплату</w:t>
      </w: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.</w:t>
      </w:r>
    </w:p>
    <w:p w14:paraId="576147EF" w14:textId="13D600DD" w:rsidR="006D290A" w:rsidRPr="006D290A" w:rsidRDefault="006D290A" w:rsidP="0013158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Відповідно вплив на суспільний добробут нового ПЗУ є негативним, бо потенційний фіскальний ефект (+40,1 млрд грн) навіть не перевищує адміністративні витрати (-61..-115 млрд грн), які є чистими суспільними втратами, що прямо зменшують суспільний добробут.</w:t>
      </w:r>
    </w:p>
    <w:p w14:paraId="1C7F798D" w14:textId="27D5EFE5" w:rsidR="006D290A" w:rsidRPr="006D290A" w:rsidRDefault="006D290A" w:rsidP="0013158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Крім негативного суспільного ефекту, описаного вище – реалізація </w:t>
      </w:r>
      <w:proofErr w:type="spellStart"/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законопроєкту</w:t>
      </w:r>
      <w:proofErr w:type="spellEnd"/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 сприят</w:t>
      </w:r>
      <w:r w:rsid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име </w:t>
      </w:r>
      <w:proofErr w:type="spellStart"/>
      <w:r w:rsid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тінізації</w:t>
      </w:r>
      <w:proofErr w:type="spellEnd"/>
      <w:r w:rsid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 ММСБ, стимулюючи «дроблення», «</w:t>
      </w: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приховування оборот</w:t>
      </w:r>
      <w:r w:rsid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ів» </w:t>
      </w: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тощо.</w:t>
      </w:r>
      <w:r w:rsid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 </w:t>
      </w:r>
      <w:r w:rsidRPr="006D290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Запропонований інструмент не відповідає задекларованим цілям реформи (розширення бази, вирівнювання конкуренції, зменшення зловживань). </w:t>
      </w:r>
    </w:p>
    <w:p w14:paraId="640C371E" w14:textId="117CAFA6" w:rsidR="00207787" w:rsidRPr="00131583" w:rsidRDefault="00207787" w:rsidP="0013158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За результатами оцінки </w:t>
      </w:r>
      <w:proofErr w:type="spellStart"/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законопроєкту</w:t>
      </w:r>
      <w:proofErr w:type="spellEnd"/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 з боку фахівців Української Ради Бізнесу реалізація зазначеної ініціативи підвищує ризики:</w:t>
      </w:r>
    </w:p>
    <w:p w14:paraId="462BD300" w14:textId="77777777" w:rsidR="00207787" w:rsidRPr="00131583" w:rsidRDefault="00207787" w:rsidP="007C42A5">
      <w:pPr>
        <w:pStyle w:val="a9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збільшення тіньової економіки, дробленню та закриттю значної кількості ФОП з причини значного зростання адміністративних витрат на ведення повноцінного бухгалтерського обліку;</w:t>
      </w:r>
    </w:p>
    <w:p w14:paraId="799E386E" w14:textId="77777777" w:rsidR="00207787" w:rsidRPr="00131583" w:rsidRDefault="00207787" w:rsidP="007C42A5">
      <w:pPr>
        <w:pStyle w:val="a9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повільного відновлення регіонів (прифронтових, </w:t>
      </w:r>
      <w:proofErr w:type="spellStart"/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деокупованих</w:t>
      </w:r>
      <w:proofErr w:type="spellEnd"/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) – ускладнення у провадженні діяльності на фоні складних зовнішніх умов;</w:t>
      </w:r>
    </w:p>
    <w:p w14:paraId="548C054D" w14:textId="77777777" w:rsidR="00207787" w:rsidRPr="00131583" w:rsidRDefault="00207787" w:rsidP="007C42A5">
      <w:pPr>
        <w:pStyle w:val="a9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</w:pPr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>відтоку певної кількості громадян з активною підприємницькою позицією за кордон, збільшення кадрового дефіциту в Україні;</w:t>
      </w:r>
    </w:p>
    <w:p w14:paraId="1A9EA114" w14:textId="1AB437A9" w:rsidR="00207787" w:rsidRPr="00131583" w:rsidRDefault="00207787" w:rsidP="007C42A5">
      <w:pPr>
        <w:pStyle w:val="a9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158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14:ligatures w14:val="none"/>
        </w:rPr>
        <w:t xml:space="preserve">зниження ділової активності, рейтингу </w:t>
      </w:r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легкості ведення бізнесу (</w:t>
      </w:r>
      <w:proofErr w:type="spellStart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Doing</w:t>
      </w:r>
      <w:proofErr w:type="spellEnd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Business</w:t>
      </w:r>
      <w:proofErr w:type="spellEnd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Світового банку, Індекс економічної свободи (</w:t>
      </w:r>
      <w:proofErr w:type="spellStart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Index</w:t>
      </w:r>
      <w:proofErr w:type="spellEnd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Economic</w:t>
      </w:r>
      <w:proofErr w:type="spellEnd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Freedom</w:t>
      </w:r>
      <w:proofErr w:type="spellEnd"/>
      <w:r w:rsidRPr="001315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та інвестиційної привабливості України.</w:t>
      </w:r>
    </w:p>
    <w:p w14:paraId="34483697" w14:textId="760BCF8A" w:rsidR="00207787" w:rsidRPr="00131583" w:rsidRDefault="00C71F55" w:rsidP="00131583">
      <w:pPr>
        <w:pStyle w:val="rtejustify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Крім того, станом на середину січня 2026 року</w:t>
      </w:r>
      <w:r w:rsidR="00207787" w:rsidRPr="00131583">
        <w:rPr>
          <w:sz w:val="28"/>
          <w:szCs w:val="28"/>
        </w:rPr>
        <w:t xml:space="preserve"> на сайті Кабінету Міністрів України зареєстровано дві петиції щодо неприпустимості запровадження ПДВ для </w:t>
      </w:r>
      <w:proofErr w:type="spellStart"/>
      <w:r w:rsidR="00207787" w:rsidRPr="00131583">
        <w:rPr>
          <w:sz w:val="28"/>
          <w:szCs w:val="28"/>
        </w:rPr>
        <w:t>ФОПів</w:t>
      </w:r>
      <w:proofErr w:type="spellEnd"/>
      <w:r w:rsidR="00207787" w:rsidRPr="00131583">
        <w:rPr>
          <w:sz w:val="28"/>
          <w:szCs w:val="28"/>
        </w:rPr>
        <w:t xml:space="preserve">, які за 2 тижні уже зібрати понад 30 тисяч голосів. Також </w:t>
      </w:r>
      <w:r w:rsidR="00207787" w:rsidRPr="00131583">
        <w:rPr>
          <w:rStyle w:val="af0"/>
          <w:rFonts w:eastAsiaTheme="majorEastAsia"/>
          <w:b w:val="0"/>
          <w:sz w:val="28"/>
          <w:szCs w:val="28"/>
        </w:rPr>
        <w:t>про неприпустимість введення обов’язк</w:t>
      </w:r>
      <w:r w:rsidR="00131583">
        <w:rPr>
          <w:rStyle w:val="af0"/>
          <w:rFonts w:eastAsiaTheme="majorEastAsia"/>
          <w:b w:val="0"/>
          <w:sz w:val="28"/>
          <w:szCs w:val="28"/>
        </w:rPr>
        <w:t>ового ПДВ</w:t>
      </w:r>
      <w:r w:rsidR="00207787" w:rsidRPr="00131583">
        <w:rPr>
          <w:rStyle w:val="af0"/>
          <w:rFonts w:eastAsiaTheme="majorEastAsia"/>
          <w:b w:val="0"/>
          <w:sz w:val="28"/>
          <w:szCs w:val="28"/>
        </w:rPr>
        <w:t xml:space="preserve"> для платників єдиного податку до Кабінету Міністрів України, Верховної Ради України, Президента України звернулося Правління Асоціації міст України.</w:t>
      </w:r>
      <w:r w:rsidR="00207787" w:rsidRPr="00131583">
        <w:rPr>
          <w:sz w:val="28"/>
          <w:szCs w:val="28"/>
        </w:rPr>
        <w:t xml:space="preserve"> У Зверненні Правління наголошується, що введення ПДВ обов’язковим на спрощеній системі оподаткування призведе до </w:t>
      </w:r>
      <w:proofErr w:type="spellStart"/>
      <w:r w:rsidR="00207787" w:rsidRPr="00131583">
        <w:rPr>
          <w:sz w:val="28"/>
          <w:szCs w:val="28"/>
        </w:rPr>
        <w:t>тінізації</w:t>
      </w:r>
      <w:proofErr w:type="spellEnd"/>
      <w:r w:rsidR="00207787" w:rsidRPr="00131583">
        <w:rPr>
          <w:sz w:val="28"/>
          <w:szCs w:val="28"/>
        </w:rPr>
        <w:t xml:space="preserve"> бізнесу, скорочення робочих місць і, відповідно, до зменшення надходжень до місцевих бюджетів. Більше того, збільшення витрат підприємців і відсутність конкуренції призведуть до збільшення цін на товари та послуги, а отже соціальної кризи.</w:t>
      </w:r>
    </w:p>
    <w:p w14:paraId="03345E98" w14:textId="03FC1E2C" w:rsidR="006D290A" w:rsidRPr="00131583" w:rsidRDefault="006D290A" w:rsidP="0013158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BAAB3A5" w14:textId="3B020672" w:rsidR="0078080C" w:rsidRDefault="00207787" w:rsidP="0013158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Ми, депутати Луцької міської</w:t>
      </w:r>
      <w:r w:rsidR="0078080C"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ради, </w:t>
      </w:r>
      <w:r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закликаємо органи центральної влади</w:t>
      </w:r>
      <w:r w:rsidR="00131583"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 допустити рішень, що призводять до системного погіршення умов ведення підприємницької діяльності та фактичного знищення малого бізнесу</w:t>
      </w:r>
      <w:r w:rsidR="00131583"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а натомість захистити малих підприємців як основу економіки. </w:t>
      </w:r>
      <w:r w:rsidR="00761518" w:rsidRPr="0013158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Захист малого бізнесу — це захист громад і майбутнього України.</w:t>
      </w:r>
    </w:p>
    <w:p w14:paraId="3119F1B8" w14:textId="77777777" w:rsidR="00317933" w:rsidRDefault="00317933" w:rsidP="0013158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B5ADDCF" w14:textId="77777777" w:rsidR="00317933" w:rsidRDefault="00317933" w:rsidP="0013158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7FC305A" w14:textId="6FE065EB" w:rsidR="00317933" w:rsidRPr="00131583" w:rsidRDefault="00317933" w:rsidP="00317933">
      <w:p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Секретар міської ради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Юрій БЕЗПЯТКО</w:t>
      </w:r>
    </w:p>
    <w:p w14:paraId="2010722F" w14:textId="41E2B49E" w:rsidR="004D7399" w:rsidRPr="00131583" w:rsidRDefault="004D7399" w:rsidP="00131583">
      <w:p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0"/>
    <w:p w14:paraId="3137E2EC" w14:textId="48094330" w:rsidR="00663B9C" w:rsidRPr="00131583" w:rsidRDefault="00663B9C" w:rsidP="00131583">
      <w:p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sectPr w:rsidR="00663B9C" w:rsidRPr="00131583" w:rsidSect="0022256B">
      <w:pgSz w:w="11906" w:h="16838"/>
      <w:pgMar w:top="850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18B0"/>
    <w:multiLevelType w:val="hybridMultilevel"/>
    <w:tmpl w:val="E236C7A8"/>
    <w:lvl w:ilvl="0" w:tplc="D7929A24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 Histori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97F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642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0C"/>
    <w:rsid w:val="00131583"/>
    <w:rsid w:val="00183679"/>
    <w:rsid w:val="001C110B"/>
    <w:rsid w:val="00207787"/>
    <w:rsid w:val="0022256B"/>
    <w:rsid w:val="00274F83"/>
    <w:rsid w:val="002C65DA"/>
    <w:rsid w:val="00317933"/>
    <w:rsid w:val="003957EA"/>
    <w:rsid w:val="003B46B0"/>
    <w:rsid w:val="004A47AE"/>
    <w:rsid w:val="004D7399"/>
    <w:rsid w:val="00501D15"/>
    <w:rsid w:val="00526CAA"/>
    <w:rsid w:val="00663B9C"/>
    <w:rsid w:val="006D290A"/>
    <w:rsid w:val="007402F4"/>
    <w:rsid w:val="0076011F"/>
    <w:rsid w:val="00761518"/>
    <w:rsid w:val="0078080C"/>
    <w:rsid w:val="007907EF"/>
    <w:rsid w:val="007C42A5"/>
    <w:rsid w:val="007E45CD"/>
    <w:rsid w:val="00820BB1"/>
    <w:rsid w:val="00840AD2"/>
    <w:rsid w:val="008E4411"/>
    <w:rsid w:val="00A146FC"/>
    <w:rsid w:val="00C1533F"/>
    <w:rsid w:val="00C71F55"/>
    <w:rsid w:val="00D0190E"/>
    <w:rsid w:val="00D800A9"/>
    <w:rsid w:val="00DD199D"/>
    <w:rsid w:val="00E67D26"/>
    <w:rsid w:val="00F20E01"/>
    <w:rsid w:val="00F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1A24"/>
  <w15:docId w15:val="{3A52F90C-9710-401C-B0EC-A852842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0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0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80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8080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78080C"/>
  </w:style>
  <w:style w:type="character" w:customStyle="1" w:styleId="s2">
    <w:name w:val="s2"/>
    <w:basedOn w:val="a0"/>
    <w:rsid w:val="0078080C"/>
  </w:style>
  <w:style w:type="character" w:customStyle="1" w:styleId="s3">
    <w:name w:val="s3"/>
    <w:basedOn w:val="a0"/>
    <w:rsid w:val="0078080C"/>
  </w:style>
  <w:style w:type="paragraph" w:customStyle="1" w:styleId="p3">
    <w:name w:val="p3"/>
    <w:basedOn w:val="a"/>
    <w:rsid w:val="0078080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4D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D7399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20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207787"/>
    <w:rPr>
      <w:b/>
      <w:bCs/>
    </w:rPr>
  </w:style>
  <w:style w:type="character" w:styleId="af1">
    <w:name w:val="Hyperlink"/>
    <w:basedOn w:val="a0"/>
    <w:uiPriority w:val="99"/>
    <w:semiHidden/>
    <w:unhideWhenUsed/>
    <w:rsid w:val="00207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1504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7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5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7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3079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Фенечок</dc:creator>
  <cp:lastModifiedBy>Шеремета Олександр</cp:lastModifiedBy>
  <cp:revision>9</cp:revision>
  <cp:lastPrinted>2026-01-07T08:48:00Z</cp:lastPrinted>
  <dcterms:created xsi:type="dcterms:W3CDTF">2026-01-16T10:25:00Z</dcterms:created>
  <dcterms:modified xsi:type="dcterms:W3CDTF">2026-01-16T14:15:00Z</dcterms:modified>
</cp:coreProperties>
</file>