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2.xml" ContentType="application/vnd.openxmlformats-officedocument.wordprocessingml.header+xml"/>
  <Override PartName="/word/charts/chart1.xml" ContentType="application/vnd.openxmlformats-officedocument.drawingml.chart+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before="76" w:after="0"/>
        <w:ind w:hanging="0" w:left="2557"/>
        <w:jc w:val="center"/>
        <w:rPr/>
      </w:pPr>
      <w:r>
        <w:rPr>
          <w:spacing w:val="-2"/>
        </w:rPr>
        <w:t xml:space="preserve">                  </w:t>
      </w:r>
      <w:r>
        <w:rPr>
          <w:spacing w:val="-2"/>
        </w:rPr>
        <w:t>Додаток</w:t>
      </w:r>
    </w:p>
    <w:p>
      <w:pPr>
        <w:pStyle w:val="BodyText"/>
        <w:ind w:hanging="0" w:left="6238" w:right="279"/>
        <w:rPr/>
      </w:pPr>
      <w:r>
        <w:rPr/>
        <w:t xml:space="preserve">до Пропозиції про здійснення публічно-приватного партнерства щодо проєкту </w:t>
      </w:r>
      <w:bookmarkStart w:id="0" w:name="_Hlk218153653"/>
      <w:r>
        <w:rPr/>
        <w:t>«Будівництво та експлуатація стадіону з штучним покриттям за адресою м. Луцьк, вул. Теремнівська, 40-г»</w:t>
      </w:r>
      <w:bookmarkEnd w:id="0"/>
    </w:p>
    <w:p>
      <w:pPr>
        <w:pStyle w:val="BodyText"/>
        <w:ind w:hanging="0" w:left="0"/>
        <w:jc w:val="left"/>
        <w:rPr/>
      </w:pPr>
      <w:r>
        <w:rPr/>
      </w:r>
    </w:p>
    <w:p>
      <w:pPr>
        <w:pStyle w:val="BodyText"/>
        <w:ind w:hanging="0" w:left="0"/>
        <w:jc w:val="left"/>
        <w:rPr/>
      </w:pPr>
      <w:r>
        <w:rPr/>
      </w:r>
    </w:p>
    <w:p>
      <w:pPr>
        <w:pStyle w:val="BodyText"/>
        <w:ind w:hanging="0" w:left="0"/>
        <w:jc w:val="left"/>
        <w:rPr/>
      </w:pPr>
      <w:r>
        <w:rPr/>
      </w:r>
    </w:p>
    <w:p>
      <w:pPr>
        <w:pStyle w:val="BodyText"/>
        <w:ind w:hanging="0" w:left="0"/>
        <w:jc w:val="left"/>
        <w:rPr/>
      </w:pPr>
      <w:r>
        <w:rPr/>
      </w:r>
    </w:p>
    <w:p>
      <w:pPr>
        <w:pStyle w:val="BodyText"/>
        <w:ind w:hanging="0" w:left="0"/>
        <w:jc w:val="left"/>
        <w:rPr/>
      </w:pPr>
      <w:r>
        <w:rPr/>
      </w:r>
    </w:p>
    <w:p>
      <w:pPr>
        <w:pStyle w:val="BodyText"/>
        <w:spacing w:before="92" w:after="0"/>
        <w:ind w:hanging="0" w:left="0"/>
        <w:jc w:val="left"/>
        <w:rPr/>
      </w:pPr>
      <w:r>
        <w:rPr/>
      </w:r>
    </w:p>
    <w:p>
      <w:pPr>
        <w:pStyle w:val="Title"/>
        <w:ind w:hanging="0" w:left="1666" w:right="953"/>
        <w:rPr>
          <w:sz w:val="32"/>
          <w:szCs w:val="32"/>
        </w:rPr>
      </w:pPr>
      <w:r>
        <w:rPr>
          <w:sz w:val="32"/>
          <w:szCs w:val="32"/>
        </w:rPr>
        <w:t>Техніко-економічне</w:t>
      </w:r>
      <w:r>
        <w:rPr>
          <w:spacing w:val="-12"/>
          <w:sz w:val="32"/>
          <w:szCs w:val="32"/>
        </w:rPr>
        <w:t xml:space="preserve"> </w:t>
      </w:r>
      <w:r>
        <w:rPr>
          <w:sz w:val="32"/>
          <w:szCs w:val="32"/>
        </w:rPr>
        <w:t>обґрунтування</w:t>
      </w:r>
    </w:p>
    <w:p>
      <w:pPr>
        <w:pStyle w:val="Title"/>
        <w:ind w:hanging="0" w:left="1666" w:right="953"/>
        <w:rPr>
          <w:sz w:val="32"/>
          <w:szCs w:val="32"/>
        </w:rPr>
      </w:pPr>
      <w:r>
        <w:rPr>
          <w:spacing w:val="-12"/>
          <w:sz w:val="32"/>
          <w:szCs w:val="32"/>
        </w:rPr>
        <w:t xml:space="preserve"> </w:t>
      </w:r>
      <w:r>
        <w:rPr>
          <w:sz w:val="32"/>
          <w:szCs w:val="32"/>
        </w:rPr>
        <w:t>для</w:t>
      </w:r>
      <w:r>
        <w:rPr>
          <w:spacing w:val="-12"/>
          <w:sz w:val="32"/>
          <w:szCs w:val="32"/>
        </w:rPr>
        <w:t xml:space="preserve"> </w:t>
      </w:r>
      <w:r>
        <w:rPr>
          <w:sz w:val="32"/>
          <w:szCs w:val="32"/>
        </w:rPr>
        <w:t xml:space="preserve">здійснення публічно-приватного партнерства щодо проєкту </w:t>
      </w:r>
      <w:bookmarkStart w:id="1" w:name="_Hlk215085677"/>
      <w:r>
        <w:rPr>
          <w:sz w:val="32"/>
          <w:szCs w:val="32"/>
        </w:rPr>
        <w:t>«</w:t>
      </w:r>
      <w:bookmarkStart w:id="2" w:name="_Hlk214391426"/>
      <w:r>
        <w:rPr>
          <w:sz w:val="32"/>
          <w:szCs w:val="32"/>
        </w:rPr>
        <w:t>Будівництво та експлуатація стадіону з штучним покриттям   за адресою м. Луцьк, вул. Теремнівська, 40-г</w:t>
      </w:r>
      <w:bookmarkEnd w:id="2"/>
      <w:r>
        <w:rPr>
          <w:sz w:val="32"/>
          <w:szCs w:val="32"/>
        </w:rPr>
        <w:t>»</w:t>
      </w:r>
      <w:bookmarkEnd w:id="1"/>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0"/>
        <w:jc w:val="left"/>
        <w:rPr>
          <w:b/>
          <w:sz w:val="36"/>
        </w:rPr>
      </w:pPr>
      <w:r>
        <w:rPr>
          <w:b/>
          <w:sz w:val="36"/>
        </w:rPr>
      </w:r>
    </w:p>
    <w:p>
      <w:pPr>
        <w:pStyle w:val="BodyText"/>
        <w:ind w:hanging="0" w:left="710"/>
        <w:jc w:val="center"/>
        <w:rPr/>
      </w:pPr>
      <w:r>
        <w:rPr/>
        <w:t xml:space="preserve">Луцьк </w:t>
      </w:r>
      <w:r>
        <w:rPr>
          <w:spacing w:val="-4"/>
        </w:rPr>
        <w:t>2026</w:t>
      </w:r>
    </w:p>
    <w:p>
      <w:pPr>
        <w:pStyle w:val="Normal"/>
        <w:jc w:val="center"/>
        <w:rPr>
          <w:rFonts w:ascii="Times New Roman" w:hAnsi="Times New Roman" w:cs="Times New Roman"/>
          <w:b/>
          <w:bCs/>
          <w:sz w:val="28"/>
          <w:szCs w:val="28"/>
        </w:rPr>
      </w:pPr>
      <w:r>
        <w:rPr>
          <w:rFonts w:cs="Times New Roman" w:ascii="Times New Roman" w:hAnsi="Times New Roman"/>
          <w:b/>
          <w:bCs/>
          <w:sz w:val="28"/>
          <w:szCs w:val="28"/>
        </w:rPr>
        <w:t>ЗМІСТ</w:t>
      </w:r>
    </w:p>
    <w:p>
      <w:pPr>
        <w:pStyle w:val="Normal"/>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t>Зміст</w:t>
        <w:tab/>
        <w:tab/>
        <w:tab/>
        <w:tab/>
        <w:tab/>
        <w:tab/>
        <w:tab/>
        <w:tab/>
        <w:tab/>
        <w:tab/>
        <w:tab/>
        <w:tab/>
        <w:tab/>
        <w:t>2</w:t>
      </w:r>
    </w:p>
    <w:p>
      <w:pPr>
        <w:pStyle w:val="Normal"/>
        <w:rPr>
          <w:rFonts w:ascii="Times New Roman" w:hAnsi="Times New Roman" w:cs="Times New Roman"/>
          <w:sz w:val="28"/>
          <w:szCs w:val="28"/>
        </w:rPr>
      </w:pPr>
      <w:r>
        <w:rPr>
          <w:rFonts w:cs="Times New Roman" w:ascii="Times New Roman" w:hAnsi="Times New Roman"/>
          <w:sz w:val="28"/>
          <w:szCs w:val="28"/>
        </w:rPr>
        <w:t>1.</w:t>
        <w:tab/>
        <w:t>Інформація про проєкт</w:t>
        <w:tab/>
        <w:tab/>
        <w:tab/>
        <w:tab/>
        <w:tab/>
        <w:tab/>
        <w:tab/>
        <w:tab/>
        <w:tab/>
        <w:t>3</w:t>
      </w:r>
    </w:p>
    <w:p>
      <w:pPr>
        <w:pStyle w:val="Normal"/>
        <w:rPr>
          <w:rFonts w:ascii="Times New Roman" w:hAnsi="Times New Roman" w:cs="Times New Roman"/>
          <w:sz w:val="28"/>
          <w:szCs w:val="28"/>
        </w:rPr>
      </w:pPr>
      <w:r>
        <w:rPr>
          <w:rFonts w:cs="Times New Roman" w:ascii="Times New Roman" w:hAnsi="Times New Roman"/>
          <w:sz w:val="28"/>
          <w:szCs w:val="28"/>
        </w:rPr>
        <w:t>2.</w:t>
        <w:tab/>
        <w:t>Мета проєкту та її обґрунтування</w:t>
        <w:tab/>
        <w:tab/>
        <w:tab/>
        <w:tab/>
        <w:tab/>
        <w:tab/>
        <w:tab/>
        <w:t>3</w:t>
      </w:r>
    </w:p>
    <w:p>
      <w:pPr>
        <w:pStyle w:val="Normal"/>
        <w:rPr>
          <w:rFonts w:ascii="Times New Roman" w:hAnsi="Times New Roman" w:cs="Times New Roman"/>
          <w:sz w:val="28"/>
          <w:szCs w:val="28"/>
        </w:rPr>
      </w:pPr>
      <w:r>
        <w:rPr>
          <w:rFonts w:cs="Times New Roman" w:ascii="Times New Roman" w:hAnsi="Times New Roman"/>
          <w:sz w:val="28"/>
          <w:szCs w:val="28"/>
        </w:rPr>
        <w:t>3.     Відповідність проєкту пріоритетам державної політики, Цілям сталого розвитку України та Стратегії розвитку Луцької міської територіальної громади до 2030 року</w:t>
        <w:tab/>
        <w:tab/>
        <w:tab/>
        <w:tab/>
        <w:tab/>
        <w:tab/>
        <w:tab/>
        <w:tab/>
        <w:tab/>
        <w:tab/>
        <w:tab/>
        <w:t>6</w:t>
      </w:r>
    </w:p>
    <w:p>
      <w:pPr>
        <w:pStyle w:val="Normal"/>
        <w:rPr>
          <w:rFonts w:ascii="Times New Roman" w:hAnsi="Times New Roman" w:cs="Times New Roman"/>
          <w:sz w:val="28"/>
          <w:szCs w:val="28"/>
        </w:rPr>
      </w:pPr>
      <w:r>
        <w:rPr>
          <w:rFonts w:cs="Times New Roman" w:ascii="Times New Roman" w:hAnsi="Times New Roman"/>
          <w:sz w:val="28"/>
          <w:szCs w:val="28"/>
        </w:rPr>
        <w:t>4.</w:t>
        <w:tab/>
        <w:t>Загальна характеристика об’єкту</w:t>
        <w:tab/>
        <w:tab/>
        <w:tab/>
        <w:tab/>
        <w:tab/>
        <w:tab/>
        <w:tab/>
        <w:t>9</w:t>
      </w:r>
    </w:p>
    <w:p>
      <w:pPr>
        <w:pStyle w:val="Normal"/>
        <w:rPr>
          <w:rFonts w:ascii="Times New Roman" w:hAnsi="Times New Roman" w:cs="Times New Roman"/>
          <w:sz w:val="28"/>
          <w:szCs w:val="28"/>
        </w:rPr>
      </w:pPr>
      <w:r>
        <w:rPr>
          <w:rFonts w:cs="Times New Roman" w:ascii="Times New Roman" w:hAnsi="Times New Roman"/>
          <w:sz w:val="28"/>
          <w:szCs w:val="28"/>
        </w:rPr>
        <w:t>5.</w:t>
        <w:tab/>
        <w:t>Інформація про земельні ділянки для реалізації проєкту</w:t>
        <w:tab/>
        <w:tab/>
        <w:tab/>
        <w:t>14</w:t>
      </w:r>
    </w:p>
    <w:p>
      <w:pPr>
        <w:pStyle w:val="Normal"/>
        <w:rPr>
          <w:rFonts w:ascii="Times New Roman" w:hAnsi="Times New Roman" w:cs="Times New Roman"/>
          <w:sz w:val="28"/>
          <w:szCs w:val="28"/>
        </w:rPr>
      </w:pPr>
      <w:r>
        <w:rPr>
          <w:rFonts w:cs="Times New Roman" w:ascii="Times New Roman" w:hAnsi="Times New Roman"/>
          <w:sz w:val="28"/>
          <w:szCs w:val="28"/>
        </w:rPr>
        <w:t>6.</w:t>
        <w:tab/>
        <w:t>Інформація про оціночну вартість експлуатації об’єкта</w:t>
        <w:tab/>
        <w:tab/>
        <w:tab/>
        <w:t>15</w:t>
      </w:r>
    </w:p>
    <w:p>
      <w:pPr>
        <w:pStyle w:val="Normal"/>
        <w:rPr>
          <w:rFonts w:ascii="Times New Roman" w:hAnsi="Times New Roman" w:cs="Times New Roman"/>
          <w:sz w:val="28"/>
          <w:szCs w:val="28"/>
        </w:rPr>
      </w:pPr>
      <w:r>
        <w:rPr>
          <w:rFonts w:cs="Times New Roman" w:ascii="Times New Roman" w:hAnsi="Times New Roman"/>
          <w:sz w:val="28"/>
          <w:szCs w:val="28"/>
        </w:rPr>
        <w:t>7.</w:t>
        <w:tab/>
        <w:t>Розрахунок суми інвестицій, необхідних для запуску об’єкта в експлуатацію</w:t>
        <w:tab/>
        <w:tab/>
        <w:tab/>
        <w:tab/>
        <w:tab/>
        <w:tab/>
        <w:tab/>
        <w:tab/>
        <w:tab/>
        <w:tab/>
        <w:tab/>
        <w:t>16</w:t>
      </w:r>
    </w:p>
    <w:p>
      <w:pPr>
        <w:pStyle w:val="Normal"/>
        <w:rPr>
          <w:rFonts w:ascii="Times New Roman" w:hAnsi="Times New Roman" w:cs="Times New Roman"/>
          <w:sz w:val="28"/>
          <w:szCs w:val="28"/>
        </w:rPr>
      </w:pPr>
      <w:r>
        <w:rPr>
          <w:rFonts w:cs="Times New Roman" w:ascii="Times New Roman" w:hAnsi="Times New Roman"/>
          <w:sz w:val="28"/>
          <w:szCs w:val="28"/>
        </w:rPr>
        <w:t>8.</w:t>
        <w:tab/>
        <w:t>Орієнтовний строк реалізації проєкту</w:t>
        <w:tab/>
        <w:tab/>
        <w:tab/>
        <w:tab/>
        <w:tab/>
        <w:tab/>
        <w:t>21</w:t>
      </w:r>
    </w:p>
    <w:p>
      <w:pPr>
        <w:pStyle w:val="Normal"/>
        <w:rPr>
          <w:rFonts w:ascii="Times New Roman" w:hAnsi="Times New Roman" w:cs="Times New Roman"/>
          <w:sz w:val="28"/>
          <w:szCs w:val="28"/>
        </w:rPr>
      </w:pPr>
      <w:r>
        <w:rPr>
          <w:rFonts w:cs="Times New Roman" w:ascii="Times New Roman" w:hAnsi="Times New Roman"/>
          <w:sz w:val="28"/>
          <w:szCs w:val="28"/>
        </w:rPr>
        <w:t>9.</w:t>
        <w:tab/>
        <w:t>Визначення джерел фінансування, обсягів витрат для подальшого утримання та використання майна і розподіл ризиків між партнерами</w:t>
        <w:tab/>
        <w:tab/>
        <w:t>21</w:t>
      </w:r>
    </w:p>
    <w:p>
      <w:pPr>
        <w:pStyle w:val="Normal"/>
        <w:rPr>
          <w:rFonts w:ascii="Times New Roman" w:hAnsi="Times New Roman" w:cs="Times New Roman"/>
          <w:sz w:val="28"/>
          <w:szCs w:val="28"/>
        </w:rPr>
      </w:pPr>
      <w:r>
        <w:rPr>
          <w:rFonts w:cs="Times New Roman" w:ascii="Times New Roman" w:hAnsi="Times New Roman"/>
          <w:sz w:val="28"/>
          <w:szCs w:val="28"/>
        </w:rPr>
        <w:t>10.</w:t>
        <w:tab/>
        <w:t>Загальна характеристика ринку спортивних послуг</w:t>
        <w:tab/>
        <w:tab/>
        <w:tab/>
        <w:tab/>
        <w:t>23</w:t>
      </w:r>
    </w:p>
    <w:p>
      <w:pPr>
        <w:pStyle w:val="Normal"/>
        <w:rPr>
          <w:rFonts w:ascii="Times New Roman" w:hAnsi="Times New Roman" w:cs="Times New Roman"/>
          <w:sz w:val="28"/>
          <w:szCs w:val="28"/>
        </w:rPr>
      </w:pPr>
      <w:r>
        <w:rPr>
          <w:rFonts w:cs="Times New Roman" w:ascii="Times New Roman" w:hAnsi="Times New Roman"/>
          <w:sz w:val="28"/>
          <w:szCs w:val="28"/>
        </w:rPr>
        <w:t>11.</w:t>
        <w:tab/>
        <w:t xml:space="preserve">Обґрунтування доцільності здійснення публічно-приватного </w:t>
      </w:r>
    </w:p>
    <w:p>
      <w:pPr>
        <w:pStyle w:val="Normal"/>
        <w:rPr>
          <w:rFonts w:ascii="Times New Roman" w:hAnsi="Times New Roman" w:cs="Times New Roman"/>
          <w:sz w:val="28"/>
          <w:szCs w:val="28"/>
        </w:rPr>
      </w:pPr>
      <w:r>
        <w:rPr>
          <w:rFonts w:cs="Times New Roman" w:ascii="Times New Roman" w:hAnsi="Times New Roman"/>
          <w:sz w:val="28"/>
          <w:szCs w:val="28"/>
        </w:rPr>
        <w:t>партнерства</w:t>
        <w:tab/>
        <w:tab/>
        <w:tab/>
        <w:tab/>
        <w:tab/>
        <w:tab/>
        <w:tab/>
        <w:tab/>
        <w:tab/>
        <w:tab/>
        <w:tab/>
        <w:t>25</w:t>
      </w:r>
    </w:p>
    <w:p>
      <w:pPr>
        <w:pStyle w:val="Normal"/>
        <w:rPr>
          <w:rFonts w:ascii="Times New Roman" w:hAnsi="Times New Roman" w:cs="Times New Roman"/>
          <w:sz w:val="28"/>
          <w:szCs w:val="28"/>
        </w:rPr>
      </w:pPr>
      <w:r>
        <w:rPr>
          <w:rFonts w:cs="Times New Roman" w:ascii="Times New Roman" w:hAnsi="Times New Roman"/>
          <w:sz w:val="28"/>
          <w:szCs w:val="28"/>
        </w:rPr>
        <w:t>12.</w:t>
        <w:tab/>
        <w:t>Сценарний аналіз фінансово-економічних показників проєкту</w:t>
        <w:tab/>
        <w:tab/>
        <w:t>32</w:t>
      </w:r>
    </w:p>
    <w:p>
      <w:pPr>
        <w:pStyle w:val="Normal"/>
        <w:rPr>
          <w:rFonts w:ascii="Times New Roman" w:hAnsi="Times New Roman" w:cs="Times New Roman"/>
          <w:sz w:val="28"/>
          <w:szCs w:val="28"/>
        </w:rPr>
      </w:pPr>
      <w:r>
        <w:rPr>
          <w:rFonts w:cs="Times New Roman" w:ascii="Times New Roman" w:hAnsi="Times New Roman"/>
          <w:sz w:val="28"/>
          <w:szCs w:val="28"/>
        </w:rPr>
        <w:t xml:space="preserve">13. </w:t>
        <w:tab/>
        <w:t>Визначення форми здійснення публічно-приватного партнерства</w:t>
        <w:tab/>
        <w:tab/>
        <w:t>34</w:t>
      </w:r>
    </w:p>
    <w:p>
      <w:pPr>
        <w:pStyle w:val="Normal"/>
        <w:rPr>
          <w:rFonts w:ascii="Times New Roman" w:hAnsi="Times New Roman" w:cs="Times New Roman"/>
          <w:sz w:val="28"/>
          <w:szCs w:val="28"/>
        </w:rPr>
      </w:pPr>
      <w:r>
        <w:rPr>
          <w:rFonts w:cs="Times New Roman" w:ascii="Times New Roman" w:hAnsi="Times New Roman"/>
          <w:sz w:val="28"/>
          <w:szCs w:val="28"/>
        </w:rPr>
        <w:t>14.</w:t>
        <w:tab/>
        <w:t>Загальна характеристика екологічного впливу проєкту</w:t>
        <w:tab/>
        <w:tab/>
        <w:tab/>
        <w:t>35</w:t>
      </w:r>
    </w:p>
    <w:p>
      <w:pPr>
        <w:pStyle w:val="Normal"/>
        <w:rPr>
          <w:rFonts w:ascii="Times New Roman" w:hAnsi="Times New Roman" w:cs="Times New Roman"/>
          <w:sz w:val="28"/>
          <w:szCs w:val="28"/>
        </w:rPr>
      </w:pPr>
      <w:r>
        <w:rPr>
          <w:rFonts w:cs="Times New Roman" w:ascii="Times New Roman" w:hAnsi="Times New Roman"/>
          <w:sz w:val="28"/>
          <w:szCs w:val="28"/>
        </w:rPr>
        <w:t>15.</w:t>
        <w:tab/>
        <w:t xml:space="preserve">Соціальні наслідки реалізації проєкту публічно-приватного </w:t>
      </w:r>
    </w:p>
    <w:p>
      <w:pPr>
        <w:pStyle w:val="Normal"/>
        <w:rPr>
          <w:rFonts w:ascii="Times New Roman" w:hAnsi="Times New Roman" w:cs="Times New Roman"/>
          <w:sz w:val="28"/>
          <w:szCs w:val="28"/>
        </w:rPr>
      </w:pPr>
      <w:r>
        <w:rPr>
          <w:rFonts w:cs="Times New Roman" w:ascii="Times New Roman" w:hAnsi="Times New Roman"/>
          <w:sz w:val="28"/>
          <w:szCs w:val="28"/>
        </w:rPr>
        <w:t>партнерства</w:t>
        <w:tab/>
        <w:tab/>
        <w:tab/>
        <w:tab/>
        <w:tab/>
        <w:tab/>
        <w:tab/>
        <w:tab/>
        <w:tab/>
        <w:tab/>
        <w:tab/>
        <w:t>37</w:t>
      </w:r>
    </w:p>
    <w:p>
      <w:pPr>
        <w:pStyle w:val="Normal"/>
        <w:rPr>
          <w:rFonts w:ascii="Times New Roman" w:hAnsi="Times New Roman" w:cs="Times New Roman"/>
          <w:sz w:val="28"/>
          <w:szCs w:val="28"/>
        </w:rPr>
      </w:pPr>
      <w:r>
        <w:rPr>
          <w:rFonts w:cs="Times New Roman" w:ascii="Times New Roman" w:hAnsi="Times New Roman"/>
          <w:sz w:val="28"/>
          <w:szCs w:val="28"/>
        </w:rPr>
        <w:t>16.</w:t>
        <w:tab/>
        <w:t>Визначення соціально-економічних та екологічних перспектив після закінчення строку дії договору публічно-приватного партнерства</w:t>
        <w:tab/>
        <w:tab/>
        <w:tab/>
        <w:t>38</w:t>
      </w:r>
    </w:p>
    <w:p>
      <w:pPr>
        <w:pStyle w:val="Normal"/>
        <w:rPr>
          <w:rFonts w:ascii="Times New Roman" w:hAnsi="Times New Roman" w:cs="Times New Roman"/>
          <w:sz w:val="28"/>
          <w:szCs w:val="28"/>
        </w:rPr>
      </w:pPr>
      <w:r>
        <w:rPr>
          <w:rFonts w:cs="Times New Roman" w:ascii="Times New Roman" w:hAnsi="Times New Roman"/>
          <w:sz w:val="28"/>
          <w:szCs w:val="28"/>
        </w:rPr>
        <w:t>17.</w:t>
        <w:tab/>
        <w:t>Інформація про ризики при здійсненні публічно-приватного партнерства, їх оцінка, розподіл між партнерами та форма управління ризиками</w:t>
        <w:tab/>
        <w:tab/>
        <w:t>39</w:t>
      </w:r>
    </w:p>
    <w:p>
      <w:pPr>
        <w:pStyle w:val="Normal"/>
        <w:rPr>
          <w:rFonts w:ascii="Times New Roman" w:hAnsi="Times New Roman" w:cs="Times New Roman"/>
          <w:b/>
          <w:bCs/>
          <w:sz w:val="28"/>
          <w:szCs w:val="28"/>
        </w:rPr>
      </w:pPr>
      <w:r>
        <w:rPr>
          <w:rFonts w:cs="Times New Roman" w:ascii="Times New Roman" w:hAnsi="Times New Roman"/>
          <w:sz w:val="28"/>
          <w:szCs w:val="28"/>
        </w:rPr>
        <w:t>18.</w:t>
        <w:tab/>
        <w:t xml:space="preserve">Загальний висновок техніко-економічного обґрунтування </w:t>
        <w:tab/>
        <w:tab/>
        <w:t xml:space="preserve">          41</w:t>
      </w:r>
      <w:r>
        <w:br w:type="page"/>
      </w:r>
    </w:p>
    <w:p>
      <w:pPr>
        <w:pStyle w:val="Normal"/>
        <w:spacing w:before="0" w:after="160"/>
        <w:rPr>
          <w:rFonts w:ascii="Times New Roman" w:hAnsi="Times New Roman" w:cs="Times New Roman"/>
          <w:b/>
          <w:bCs/>
          <w:sz w:val="28"/>
          <w:szCs w:val="28"/>
        </w:rPr>
      </w:pPr>
      <w:r>
        <w:rPr>
          <w:rFonts w:cs="Times New Roman" w:ascii="Times New Roman" w:hAnsi="Times New Roman"/>
          <w:b/>
          <w:bCs/>
          <w:sz w:val="28"/>
          <w:szCs w:val="28"/>
        </w:rPr>
      </w:r>
    </w:p>
    <w:p>
      <w:pPr>
        <w:pStyle w:val="Normal"/>
        <w:ind w:firstLine="426"/>
        <w:rPr>
          <w:rFonts w:ascii="Times New Roman" w:hAnsi="Times New Roman" w:cs="Times New Roman"/>
          <w:b/>
          <w:bCs/>
          <w:sz w:val="28"/>
          <w:szCs w:val="28"/>
        </w:rPr>
      </w:pPr>
      <w:r>
        <w:rPr>
          <w:rFonts w:cs="Times New Roman" w:ascii="Times New Roman" w:hAnsi="Times New Roman"/>
          <w:b/>
          <w:bCs/>
          <w:sz w:val="28"/>
          <w:szCs w:val="28"/>
        </w:rPr>
        <w:t>1. Інформація про проєкт</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Ініціатором підготовки пропозиції здійснення публічно-приватного партнерства (далі – ППП) щодо будівництва та експлуатації стадіону з штучним покриттям за адресою м. Луцьк, вул. Теремнівська, 40-г є виконавчий комітет Луцької міської ради (код ЄДРПОУ 04051327).</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Проєкт відповідає ознакам ППП, пріоритетам державної політики, Цілям сталого розвитку України на період до 2030 року, Стратегії розвитку Луцької міської територіальної громади до 2030 року.</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Відповідно до статті 10 Закону України «Про публічно-приватне партнерство» (далі – Закон), підготовка пропозиції здійснення ППП відбувається двома етапами: на першому етапі здійснюється підготовка концептуальної записки та проведення її детального аналізу, а на другому етапі – підготовка техніко-економічного обґрунтування здійснення ППП.</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За результатами підготовки концептуальної записки та на підставі результатів її аналізу, виконавчим комітетом Луцької міської ради прийнято рішення від 12.11.2025 № 691-1 «Про доцільність підготовки техніко-економічного обґрунтування для здійснення публічно-приватного партнерства». Цим рішенням департаменту економічної політики та виконавчим органам міської ради, відповідно до повноважень, доручено здійснити підготовку техніко-економічного обґрунтування для здійснення публічно-приватного партнерства.</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426"/>
        <w:jc w:val="both"/>
        <w:rPr>
          <w:rFonts w:ascii="Times New Roman" w:hAnsi="Times New Roman" w:cs="Times New Roman"/>
          <w:b/>
          <w:bCs/>
          <w:sz w:val="28"/>
          <w:szCs w:val="28"/>
        </w:rPr>
      </w:pPr>
      <w:r>
        <w:rPr>
          <w:rFonts w:cs="Times New Roman" w:ascii="Times New Roman" w:hAnsi="Times New Roman"/>
          <w:b/>
          <w:bCs/>
          <w:sz w:val="28"/>
          <w:szCs w:val="28"/>
        </w:rPr>
        <w:t>2.</w:t>
        <w:tab/>
        <w:t>Мета проєкту та її обґрунтування</w:t>
      </w:r>
    </w:p>
    <w:p>
      <w:pPr>
        <w:pStyle w:val="Normal"/>
        <w:spacing w:before="0" w:after="0"/>
        <w:ind w:firstLine="426"/>
        <w:jc w:val="both"/>
        <w:rPr>
          <w:rFonts w:ascii="Times New Roman" w:hAnsi="Times New Roman" w:cs="Times New Roman"/>
          <w:i/>
          <w:i/>
          <w:iCs/>
          <w:sz w:val="28"/>
          <w:szCs w:val="28"/>
        </w:rPr>
      </w:pPr>
      <w:r>
        <w:rPr>
          <w:rFonts w:cs="Times New Roman" w:ascii="Times New Roman" w:hAnsi="Times New Roman"/>
          <w:i/>
          <w:iCs/>
          <w:sz w:val="28"/>
          <w:szCs w:val="28"/>
        </w:rPr>
        <w:t>2.1.</w:t>
        <w:tab/>
        <w:t>Мета проєкту</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Метою запровадження публічно-приватного партнерства є поєднання можливостей приватного інвестора з ресурсами громади для:</w:t>
      </w:r>
    </w:p>
    <w:p>
      <w:pPr>
        <w:pStyle w:val="ListParagraph"/>
        <w:numPr>
          <w:ilvl w:val="0"/>
          <w:numId w:val="2"/>
        </w:numPr>
        <w:spacing w:before="0" w:after="0"/>
        <w:ind w:firstLine="491" w:left="0"/>
        <w:contextualSpacing/>
        <w:jc w:val="both"/>
        <w:rPr>
          <w:rFonts w:ascii="Times New Roman" w:hAnsi="Times New Roman" w:cs="Times New Roman"/>
          <w:sz w:val="28"/>
          <w:szCs w:val="28"/>
        </w:rPr>
      </w:pPr>
      <w:r>
        <w:rPr>
          <w:rFonts w:cs="Times New Roman" w:ascii="Times New Roman" w:hAnsi="Times New Roman"/>
          <w:sz w:val="28"/>
          <w:szCs w:val="28"/>
        </w:rPr>
        <w:t>покращення спортивної інфраструктури на території м. Луцька шляхом будівництва багатофункціонального стадіону зі штучним покриттям відповідно до сучасних технічних стандартів;</w:t>
      </w:r>
    </w:p>
    <w:p>
      <w:pPr>
        <w:pStyle w:val="ListParagraph"/>
        <w:numPr>
          <w:ilvl w:val="0"/>
          <w:numId w:val="1"/>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забезпечення доступності спортивних послуг для мешканців громади, особливо дітей та молоді, шляхом створення безпечних та комфортних умов для занять спортом;</w:t>
      </w:r>
    </w:p>
    <w:p>
      <w:pPr>
        <w:pStyle w:val="ListParagraph"/>
        <w:numPr>
          <w:ilvl w:val="0"/>
          <w:numId w:val="1"/>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підвищення рівня фізичної активності населення та сприяння розвитку масового, аматорського та дитячо-юнацького спорту;</w:t>
      </w:r>
    </w:p>
    <w:p>
      <w:pPr>
        <w:pStyle w:val="ListParagraph"/>
        <w:numPr>
          <w:ilvl w:val="0"/>
          <w:numId w:val="1"/>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розширення інфраструктури для тренувального процесу спортивних шкіл, секцій та аматорських клубів, що працюють у місті;</w:t>
      </w:r>
    </w:p>
    <w:p>
      <w:pPr>
        <w:pStyle w:val="ListParagraph"/>
        <w:numPr>
          <w:ilvl w:val="0"/>
          <w:numId w:val="1"/>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створення безбар’єрного спортивного простору, доступного для маломобільних груп населення;</w:t>
      </w:r>
    </w:p>
    <w:p>
      <w:pPr>
        <w:pStyle w:val="ListParagraph"/>
        <w:numPr>
          <w:ilvl w:val="0"/>
          <w:numId w:val="1"/>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забезпечення можливості проведення спортивних змагань, турнірів та масових заходів місцевого, регіонального, всеукраїнського та міжнародного рівня;</w:t>
      </w:r>
    </w:p>
    <w:p>
      <w:pPr>
        <w:pStyle w:val="ListParagraph"/>
        <w:numPr>
          <w:ilvl w:val="0"/>
          <w:numId w:val="1"/>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мінімізація бюджетного навантаження на громаду та реалізація проєкту без видатків з місцевого бюджету (100% приватні інвестиції);</w:t>
      </w:r>
    </w:p>
    <w:p>
      <w:pPr>
        <w:pStyle w:val="ListParagraph"/>
        <w:numPr>
          <w:ilvl w:val="0"/>
          <w:numId w:val="1"/>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створення нових можливостей для розвитку спортивного туризму, проведення змагань та популяризації здорового способу життя;</w:t>
      </w:r>
    </w:p>
    <w:p>
      <w:pPr>
        <w:pStyle w:val="ListParagraph"/>
        <w:numPr>
          <w:ilvl w:val="0"/>
          <w:numId w:val="1"/>
        </w:numPr>
        <w:spacing w:before="0" w:after="0"/>
        <w:ind w:firstLine="494" w:left="0"/>
        <w:contextualSpacing/>
        <w:jc w:val="both"/>
        <w:rPr>
          <w:rFonts w:ascii="Times New Roman" w:hAnsi="Times New Roman" w:cs="Times New Roman"/>
          <w:sz w:val="28"/>
          <w:szCs w:val="28"/>
        </w:rPr>
      </w:pPr>
      <w:r>
        <w:rPr>
          <w:rFonts w:cs="Times New Roman" w:ascii="Times New Roman" w:hAnsi="Times New Roman"/>
          <w:sz w:val="28"/>
          <w:szCs w:val="28"/>
        </w:rPr>
        <w:t>поліпшення благоустрою території та створення безпечної спортивної зони, що сприятиме соціальному розвитку мікрорайону.</w:t>
      </w:r>
    </w:p>
    <w:p>
      <w:pPr>
        <w:pStyle w:val="Normal"/>
        <w:spacing w:before="0" w:after="0"/>
        <w:ind w:firstLine="426"/>
        <w:jc w:val="both"/>
        <w:rPr>
          <w:rFonts w:ascii="Times New Roman" w:hAnsi="Times New Roman" w:cs="Times New Roman"/>
          <w:i/>
          <w:i/>
          <w:iCs/>
          <w:sz w:val="28"/>
          <w:szCs w:val="28"/>
        </w:rPr>
      </w:pPr>
      <w:r>
        <w:rPr>
          <w:rFonts w:cs="Times New Roman" w:ascii="Times New Roman" w:hAnsi="Times New Roman"/>
          <w:i/>
          <w:iCs/>
          <w:sz w:val="28"/>
          <w:szCs w:val="28"/>
        </w:rPr>
        <w:t>2.2.</w:t>
        <w:tab/>
        <w:t>Обґрунтування необхідності реалізації проєкту</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Реалізація проєкту будівництва стадіону зі штучним покриттям на вул. Теремнівській, 40-г у м. Луцьку є об’єктивно необхідною з огляду на сукупність соціальних, інфраструктурних, економічних та регуляторних факторів, що визначають актуальність розвитку спортивної інфраструктури громади. Нижче наведено ключові аргументи, що підтверджують потребу у впровадженні проєкту в рамках публічно-приватного партнерства.</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1. Дефіцит якісної спортивної інфраструктури, зокрема повнорозмірного футбольного поля з штучною травою у місті Луцьку (в т.ч. у мікрорайоні Теремно).</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У громаді проживає значна кількість дітей, молоді та активного населення, але частина спортивної інфраструктури є недостатньо розвиненою або застарілою. У межах міста спостерігається суттєвий дефіцит штучних футбольних полів, здатних забезпечити регулярний тренувальний процес у будь-яку пору року. Завантаженість існуючих полів становить 70 - 90 % у вечірній час, що створює конкуренцію між користувачами та обмежує доступ дітей.</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2. Потреба дитячо-юнацьких спортивних шкіл (ДЮСШ) та аматорських клубів у якісних майданчиках для тренувань.</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У Луцьку функціонує кілька спортивних шкіл і футбольних секцій, але їх забезпечення тренувальними площами залишається недостатнім. Більшість занять проводиться на майданчиках із низькою якістю покриття, що негативно впливає на травматизм, якість підготовки спортсменів, проведення ліцензованих матчів, тривалість використання полів у міжсезоння.</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Новий стадіон дозволить забезпечити спортивні школи сучасною базою для системного розвитку футболу та інших видів спорту, спеціально обладнані місця на трибунах, адаптовані санвузли, безбар’єрні маршрути руху. Це дозволить забезпечити рівні можливості для маломобільних груп населення, що є важливим завданням місцевого самоврядування відповідно до державної стратегії безбар’єрності.</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3. Стримуючий вплив відсутності спортивної інфраструктури на розвиток громади</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Нестача якісних спортивних просторів призводить до: зниження рівня фізичної активності населення, росту показників захворюваності, низької залученості молоді до занять спортом, соціальної пасивності та проблем дозвілля дітей.</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Спортивна інфраструктура виступає важливим елементом профілактики залежностей, зміцнення соціального капіталу, формування здорової громади.</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4. Відсутність бюджетних можливостей для самостійного будівництва</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Орієнтовна вартість будівництва ‒ 20,0 млн грн. У структурі бюджету громади такі витрати є недоцільними у короткій перспективі, оскільки витісняють інші важливі бюджетні програми, ризиковими з точки зору стабільності фінансування.</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Публічно-приватне партнерство дозволяє реалізувати об’єкт без витрат з бюджету, але одночасно із суворим контролем якості.</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5. Підвищення містобудівної привабливості мікрорайону та розвиток локального середовища</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Будівництво стадіону сприятиме: покращенню благоустрою, розвитку безпечного громадського простору, підвищенню вартості нерухомості, створенню позитивного іміджу мікрорайону та міста.</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6. Можливість проведення змагань, турнірів та масових подій</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Новий стадіон відповідатиме параметрам, що дозволять проводити матчі аматорських ліг, дитячі футбольні турніри, масові спортивні заходи, тренувальні збори, корпоративні турніри.</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Це підвищить активність громади та створить додаткові економічні ефекти.</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7. Раціональне використання комунальної земельної ділянки</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Ділянка за адресою вул. Теремнівська, 40-г протягом тривалого часу використовується неефективно, не приносить цінності громаді хоча має потенціал для розвитку.</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Будівництво стадіону є найбільш суспільно корисним та стратегічно правильним видом використання цієї території.</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8. Оптимальний розподіл ризиків через публічно-приватне партнерство</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Приватний партнер бере на себе проектування, будівництво, введення в експлуатаці стадіону, технічні ризики, ризики вартості, експлуатаційні витрати, забезпечення норм функціонування, маркетинг та операційне управління.</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Громада зберігає контроль за доступністю, соціальні гарантії, право власності на ділянку (та, в перспективі, на об’єкт).</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Наведені аргументи підтверджують загальний висновок: реалізація проєкту у формі публічно-приватного партнерства є необхідним кроком для розвитку спорту в громаді, відповідає реальним потребам населення, сприяє підвищенню соціальної активності, вирішує проблему дефіциту спортивної інфраструктури і не створює жодного навантаження на бюджет.</w:t>
      </w:r>
    </w:p>
    <w:p>
      <w:pPr>
        <w:pStyle w:val="Normal"/>
        <w:spacing w:before="0" w:after="0"/>
        <w:ind w:firstLine="426"/>
        <w:jc w:val="both"/>
        <w:rPr>
          <w:rFonts w:ascii="Times New Roman" w:hAnsi="Times New Roman" w:cs="Times New Roman"/>
          <w:b/>
          <w:bCs/>
          <w:sz w:val="28"/>
          <w:szCs w:val="28"/>
        </w:rPr>
      </w:pPr>
      <w:r>
        <w:rPr>
          <w:rFonts w:cs="Times New Roman" w:ascii="Times New Roman" w:hAnsi="Times New Roman"/>
          <w:b/>
          <w:bCs/>
          <w:sz w:val="28"/>
          <w:szCs w:val="28"/>
        </w:rPr>
      </w:r>
    </w:p>
    <w:p>
      <w:pPr>
        <w:pStyle w:val="Normal"/>
        <w:spacing w:before="0" w:after="0"/>
        <w:ind w:firstLine="426"/>
        <w:jc w:val="both"/>
        <w:rPr>
          <w:rFonts w:ascii="Times New Roman" w:hAnsi="Times New Roman" w:cs="Times New Roman"/>
          <w:b/>
          <w:bCs/>
          <w:sz w:val="28"/>
          <w:szCs w:val="28"/>
        </w:rPr>
      </w:pPr>
      <w:bookmarkStart w:id="3" w:name="_Hlk218205039"/>
      <w:r>
        <w:rPr>
          <w:rFonts w:cs="Times New Roman" w:ascii="Times New Roman" w:hAnsi="Times New Roman"/>
          <w:b/>
          <w:bCs/>
          <w:sz w:val="28"/>
          <w:szCs w:val="28"/>
        </w:rPr>
        <w:t>3.</w:t>
        <w:tab/>
        <w:t>Відповідність проєкту пріоритетам державної політики, Цілям сталого розвитку України та Стратегії розвитку Луцької міської територіальної громади до 2030 року</w:t>
      </w:r>
      <w:bookmarkEnd w:id="3"/>
      <w:r>
        <w:rPr>
          <w:rFonts w:cs="Times New Roman" w:ascii="Times New Roman" w:hAnsi="Times New Roman"/>
          <w:b/>
          <w:bCs/>
          <w:sz w:val="28"/>
          <w:szCs w:val="28"/>
        </w:rPr>
        <w:t>.</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Реалізація проєкту будівництва стадіону зі штучним покриттям на вул. Теремнівській, 40-г у м. Луцьку відповідає ключовим пріоритетам державної політики, національним стратегічним орієнтирам України, цілям сталого розвитку (ЦСР) та стратегічним цілям розвитку Луцької МТГ до 2030 року. Проєкт інтегрований у комплексну систему стратегічного планування на державному та місцевому рівнях. Аргументи, що підтверджують таку відповідність наведено нижче.</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Будівництво стадіону відповідає державній політиці у сфері спорту, інклюзії та регіонального розвитку</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1. Відповідність державній політиці України у сфері фізичної культури і спорту</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 xml:space="preserve">Проєкт безпосередньо відповідає </w:t>
      </w:r>
      <w:r>
        <w:rPr>
          <w:rFonts w:cs="Calibri"/>
          <w:sz w:val="28"/>
          <w:szCs w:val="28"/>
        </w:rPr>
        <w:t>С</w:t>
      </w:r>
      <w:r>
        <w:rPr>
          <w:rFonts w:cs="Times New Roman" w:ascii="Times New Roman" w:hAnsi="Times New Roman"/>
          <w:sz w:val="28"/>
          <w:szCs w:val="28"/>
        </w:rPr>
        <w:t>тратегії розвитку фізичної культури і спорту до 2028 року (Постанова Кабінету Міністрів України від 04.11.2020 № 1089), що зокрема визначає наступні пріоритети:</w:t>
      </w:r>
    </w:p>
    <w:p>
      <w:pPr>
        <w:pStyle w:val="ListParagraph"/>
        <w:numPr>
          <w:ilvl w:val="0"/>
          <w:numId w:val="3"/>
        </w:numPr>
        <w:spacing w:before="0" w:after="0"/>
        <w:ind w:firstLine="863" w:left="0"/>
        <w:contextualSpacing/>
        <w:jc w:val="both"/>
        <w:rPr>
          <w:rFonts w:ascii="Times New Roman" w:hAnsi="Times New Roman" w:cs="Times New Roman"/>
          <w:sz w:val="28"/>
          <w:szCs w:val="28"/>
        </w:rPr>
      </w:pPr>
      <w:r>
        <w:rPr>
          <w:rFonts w:cs="Times New Roman" w:ascii="Times New Roman" w:hAnsi="Times New Roman"/>
          <w:sz w:val="28"/>
          <w:szCs w:val="28"/>
        </w:rPr>
        <w:t>українці регулярно та свідомо займаються фізичною культурою і спортом;</w:t>
      </w:r>
    </w:p>
    <w:p>
      <w:pPr>
        <w:pStyle w:val="ListParagraph"/>
        <w:numPr>
          <w:ilvl w:val="0"/>
          <w:numId w:val="3"/>
        </w:numPr>
        <w:spacing w:before="0" w:after="0"/>
        <w:ind w:firstLine="863" w:left="0"/>
        <w:contextualSpacing/>
        <w:jc w:val="both"/>
        <w:rPr>
          <w:rFonts w:ascii="Times New Roman" w:hAnsi="Times New Roman" w:cs="Times New Roman"/>
          <w:sz w:val="28"/>
          <w:szCs w:val="28"/>
        </w:rPr>
      </w:pPr>
      <w:r>
        <w:rPr>
          <w:rFonts w:cs="Times New Roman" w:ascii="Times New Roman" w:hAnsi="Times New Roman"/>
          <w:sz w:val="28"/>
          <w:szCs w:val="28"/>
        </w:rPr>
        <w:t>Україна - спортивна держава, що належить до групи передових країн, де створено умови та можливості для ефективної підготовки спортсменів світового рівня, визначено важливість орієнтації на олімпійські, неолімпійські види спорту та види спорту осіб з інвалідністю;</w:t>
      </w:r>
    </w:p>
    <w:p>
      <w:pPr>
        <w:pStyle w:val="ListParagraph"/>
        <w:numPr>
          <w:ilvl w:val="0"/>
          <w:numId w:val="3"/>
        </w:numPr>
        <w:spacing w:before="0" w:after="0"/>
        <w:ind w:firstLine="863" w:left="0"/>
        <w:contextualSpacing/>
        <w:jc w:val="both"/>
        <w:rPr>
          <w:rFonts w:ascii="Times New Roman" w:hAnsi="Times New Roman" w:cs="Times New Roman"/>
          <w:sz w:val="28"/>
          <w:szCs w:val="28"/>
        </w:rPr>
      </w:pPr>
      <w:r>
        <w:rPr>
          <w:rFonts w:cs="Times New Roman" w:ascii="Times New Roman" w:hAnsi="Times New Roman"/>
          <w:sz w:val="28"/>
          <w:szCs w:val="28"/>
        </w:rPr>
        <w:t>доступність для кожної людини, зокрема осіб з інвалідністю, розгалуженої мережі спортивної інфраструктури світового рівня;</w:t>
      </w:r>
    </w:p>
    <w:p>
      <w:pPr>
        <w:pStyle w:val="ListParagraph"/>
        <w:numPr>
          <w:ilvl w:val="0"/>
          <w:numId w:val="3"/>
        </w:numPr>
        <w:spacing w:before="0" w:after="0"/>
        <w:ind w:firstLine="863" w:left="0"/>
        <w:contextualSpacing/>
        <w:jc w:val="both"/>
        <w:rPr>
          <w:rFonts w:ascii="Times New Roman" w:hAnsi="Times New Roman" w:cs="Times New Roman"/>
          <w:sz w:val="28"/>
          <w:szCs w:val="28"/>
        </w:rPr>
      </w:pPr>
      <w:r>
        <w:rPr>
          <w:rFonts w:cs="Times New Roman" w:ascii="Times New Roman" w:hAnsi="Times New Roman"/>
          <w:sz w:val="28"/>
          <w:szCs w:val="28"/>
        </w:rPr>
        <w:t xml:space="preserve">наявність ефективної системи забезпечення сфери фізичної культури і спорту фахівцями відповідної кваліфікації з мотивацією до результативної роботи. </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2. Відповідність державній політиці України у сфері безбар’єрності та інклюзії</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Проєкт відповідає вимогам, що передбачені Національною стратегією із створення безбар’єрного простору в Україні на період до 2030 року (Розпорядження Кабінету Міністрів України від 14 квітня 2021 року № 366-р), метою якої є створення безперешкодного середовища для всіх суспільних груп, забезпечення рівних можливостей кожній людині реалізовувати свої права, отримувати послуги на рівні з іншими шляхом інтегрування фізичної, інформаційної, цифрової, суспільної, громадянської, економічної та освітньої безбар’єрності до всіх сфер державної політики. Зокрема, серед очікуваних результатів реалізації  Національної стратегії є визначення та суспільна підтримка стратегічного курсу держави у сфері створення безбар’єрного простору, що дозволяє кожній людині отримати рівні можливості для піклування про своє здоров’я, занять фізичною культурою та спортом, що цілком співпадає з концепцією та метою проєкту публічно-приватного партнерства.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3. Відповідність державній політиці України у сфері розвитку регіонів</w:t>
      </w:r>
    </w:p>
    <w:p>
      <w:pPr>
        <w:pStyle w:val="Normal"/>
        <w:spacing w:before="0" w:after="0"/>
        <w:jc w:val="both"/>
        <w:rPr>
          <w:rFonts w:ascii="Times New Roman" w:hAnsi="Times New Roman" w:cs="Times New Roman"/>
          <w:sz w:val="28"/>
          <w:szCs w:val="28"/>
          <w:lang w:val="en-US"/>
        </w:rPr>
      </w:pPr>
      <w:r>
        <w:rPr>
          <w:rFonts w:cs="Times New Roman" w:ascii="Times New Roman" w:hAnsi="Times New Roman"/>
          <w:sz w:val="28"/>
          <w:szCs w:val="28"/>
        </w:rPr>
        <w:t xml:space="preserve">       </w:t>
      </w:r>
      <w:r>
        <w:rPr>
          <w:rFonts w:cs="Times New Roman" w:ascii="Times New Roman" w:hAnsi="Times New Roman"/>
          <w:sz w:val="28"/>
          <w:szCs w:val="28"/>
        </w:rPr>
        <w:t>Проєкт будівництва стадіону з штучним покриттям відповідає Державній стратегії регіонального розвитку України на 2021-2027 роки (Постанова Кабінету Міністрів України від 5 серпня 2020 року № 695 (в редакції постанови Кабінету Міністрів України від 13 серпня 2024 року № 940)), зокрема забезпечує реалізацію оперативної цілі «Сильна, спроможна та конкурентоспроможна регіональна економіка» стратегічної цілі «Підвищення рівня конкурентоспроможності регіонів». А саме, проєкт забезпечує зростання інвестиційної привабливості території, підтримку залучення інвестицій, популяризацію інвестиційних можливостей регіону.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lang w:val="en-US"/>
        </w:rPr>
        <w:t>Проєкт відповідає щонайменше 7 цілям сталого розвитку</w:t>
      </w:r>
      <w:r>
        <w:rPr>
          <w:rFonts w:cs="Times New Roman" w:ascii="Times New Roman" w:hAnsi="Times New Roman"/>
          <w:sz w:val="28"/>
          <w:szCs w:val="28"/>
        </w:rPr>
        <w:t xml:space="preserve"> (ЦСР)</w:t>
      </w:r>
      <w:r>
        <w:rPr>
          <w:rFonts w:cs="Times New Roman" w:ascii="Times New Roman" w:hAnsi="Times New Roman"/>
          <w:sz w:val="28"/>
          <w:szCs w:val="28"/>
          <w:lang w:val="en-US"/>
        </w:rPr>
        <w:t>, визначених ООН та адаптованих Україною</w:t>
      </w:r>
      <w:r>
        <w:rPr>
          <w:rFonts w:cs="Times New Roman" w:ascii="Times New Roman" w:hAnsi="Times New Roman"/>
          <w:sz w:val="28"/>
          <w:szCs w:val="28"/>
        </w:rPr>
        <w:t xml:space="preserve"> (Указ Президента України від 30 вересня 2019 року № 722/2019), а саме:</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ЦСР 3 ‒ «Забезпечення здорового способу життя та сприяння благополуччю для всіх у будь-якому віці» ‒ створення умов для регулярної фізичної активності, зниження ризику хронічних захворювань у населення, безпечне середовище для дітей та молоді;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ЦСР 4 – «Забезпечення всеохоплюючої і справедливої якісної освіти та заохочення можливості навчання впродовж усього життя для всіх» ‒ підтримка позашкільної освіти (ДЮСШ), можливість проведення занять і тренувань у партнерстві зі школами;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ЦСР 5 – « Забезпечення гендерної рівності, розширення прав і можливостей усіх жінок та дівчат» ‒ рівний доступ до спортивних послуг;</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ЦСР 9 – «Створення стійкої інфраструктури, сприяння всеохоплюючій і сталій індустріалізації та інноваціям» ‒ створення сучасної спортивної інфраструктури, використання енергоефективних технологій (LED);</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ЦСР 10 – «Скорочення нерівності» ‒ інклюзивний доступ, адаптований громадський простір;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ЦСР 11 ‒ «Забезпечення відкритості, безпеки, життєстійкості й екологічної стійкості міст, інших населених пунктів» ‒ благоустрій території, створення якісних публічних просторів, підвищення безпеки мікрорайону;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ЦСР 17 – «Зміцнення засобів здійснення й активізація роботи в рамках глобального партнерства в інтересах сталого розвитку» ‒ проєкт реалізується через ППП, синергія державного та приватного секторів.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Проєкт будівництва стадіону з штучним покриттям відповідає Стратегії розвитку Луцької міської територіальної громади до 2030 року, а саме: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Стратегічна ціль 1  «Луцька молодіжна громада»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створює простір для молоді ‒ для занять спортом, тренувань, соціальної активності, якісного проведення часу, спорт виступає як інструмент для залучення молоді до здорового способу життя, розвитку потенціалу молодіжного середовища.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Стратегічна ціль 2   «Нова громада з історичним центром»</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Будівництво стадіону ‒ це інвестиція в соціальну інфраструктуру, яка підвищує рівень комфорту й якості життя в мікрорайоні. Модернізація об’єктів спортивного призначення забезпечує доступність “сучасних послуг” у гуманітарній сфері (спорт ‒ це частина соціальної та освітньої інфраструктури). Крім того, поява нового спортивного об</w:t>
      </w:r>
      <w:r>
        <w:rPr>
          <w:rFonts w:cs="Times New Roman" w:ascii="Times New Roman" w:hAnsi="Times New Roman"/>
          <w:sz w:val="28"/>
          <w:szCs w:val="28"/>
          <w:lang w:val="en-US"/>
        </w:rPr>
        <w:t>’</w:t>
      </w:r>
      <w:r>
        <w:rPr>
          <w:rFonts w:cs="Times New Roman" w:ascii="Times New Roman" w:hAnsi="Times New Roman"/>
          <w:sz w:val="28"/>
          <w:szCs w:val="28"/>
        </w:rPr>
        <w:t>єкту такого рівня може стимулювати громадську активність мешканців громади, що відповідає вказаній стратегічній цілі.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Стратегічна ціль 3  «Сучасний екополіс»</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передбачає використання енергоефективних технологій (наприклад, LED-освітлення), що відповідає цілі “впровадження енергозберігаючих технологій”. Благоустрій території стадіону, озеленення прилеглих зон ‒ це частина екологічної компоненти Стратегії, оскільки допомагає покращити екологічний простір громади, забезпечуючи зелені, відкриті зони, рекреаційний простір.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Стратегічна ціль 4  «Регіональний лідер»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Наявність сучасного стадіону з штучним покриттям високого рівня якості підвищує імідж Луцької громади як регіонального центру спортивних подій. Адже стадіон може стати майданчиком для проведення масштабних змагань, що привернуть до міста учасників з інших громад, регіонів та країн, сприяючи туристичному та соціальному розвитку. Такий інфраструктурний об’єкт, та спосіб реалізації проєкту може залучити додаткові інвестиції й партнерів, підсилюючи статус громади як інвестиційно привабливої території.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Стратегічна ціль 5  «Громада сучасності та інновацій»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демонструє інноваційний підхід: нові будівельні та енергозберігаючі технології, інклюзивний дизайн, цифрові або “розумні” рішення в управлінні інфраструктурою. Стадіон в якості “центру інноваційного простору” може стати дієвим майданчиком для запуску нових молодіжних ідей, програм, стартапів, спортивно-технологічних ініціатив. Створення інфраструктури, яка підтримує розвиток молодіжних кластерів та інноваційних ініціатив, відповідає стратегічному курсу на розвиток “екопарків” та інноваційної економіки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Висновок: проєкт «Будівництво та експлуатація стадіону з штучним покриттям за адресою м. Луцьк, вул. Теремнівська, 40-г» повністю узгоджується з  державними стратегічними пріоритетами, Цілями сталого розвитку національного та глобального рівня, ключовими напрямами Стратегії розвитку Луцької МТГ до 2030 року, сучасними принципами рівності, доступності, інноваційності та сталості.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Стадіон на вул. Теремнівській, 40-г є системно важливим інфраструктурним проєктом, який сприяє розвитку громади, посилює її соціальний потенціал, забезпечує безбар’єрність та формує якісне середовище для активного життя мешканців.</w:t>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4.</w:t>
        <w:tab/>
        <w:t>Загальна характеристика об’єкту</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4.1.</w:t>
        <w:tab/>
        <w:t>Інформація про об’єкт публічно-приватного партнерства.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Об'єктом ППП є земельна ділянка, розташована за адресою вул. Теремнівська 40-г в м. Луцьку. Форма власності об'єкта ППП: комунальна.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Основні технічні та функціональні характеристики об</w:t>
      </w:r>
      <w:r>
        <w:rPr>
          <w:rFonts w:cs="Times New Roman" w:ascii="Times New Roman" w:hAnsi="Times New Roman"/>
          <w:sz w:val="28"/>
          <w:szCs w:val="28"/>
          <w:lang w:val="en-US"/>
        </w:rPr>
        <w:t>’</w:t>
      </w:r>
      <w:r>
        <w:rPr>
          <w:rFonts w:cs="Times New Roman" w:ascii="Times New Roman" w:hAnsi="Times New Roman"/>
          <w:sz w:val="28"/>
          <w:szCs w:val="28"/>
        </w:rPr>
        <w:t>єкта публічно-приватного партнерства, що будуть досягнуті після завершення інвестиційного періоду реалізації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 Поле для гри: гладка та рівна поверхня; розміри  (91-105м х 61-68м); штучне покриття відповідно до ДБН та спортивних стандартів; розмітка відповідно до вимог футбольних асоціацій; оснащене дренажною системою.</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2. Зона для розминок: облаштована окрема територія для розминки гравців вздовж бокової лінії або за рекламними щитами біля кутових прапорців (за воротами власної команди); покриття ‒ штучне або натуральне трав’яне; оснащена елементами безпеки та огорожі.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 Футбольні ворота: стійки та поперечини футбольних воріт виготовлені з алюмінієвого або аналогічних сучасних сплавів (круглі чи еліптичної форми); відстань між стійками ‒7,32 м.; відстань від нижнього краю поперечини до землі ‒ 2,44 м.; стійки воріт та поперечина білого кольору; не становлять жодної небезпеки для учасників матчу; наявні запасні ворота, які можуть бути легко встановлені в разі потреби.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4. Освітлення: система штучного освітлення (LED прожектори) для проведення матчів та тренувань у вечірній час, що забезпечує середню горизонтальну освітленість в межах 350 Lx; відповідає вимогам телевізійної трансляції та безпечного проведення заходів.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5. Лави для запасних: покриті, захищені від погодних умов; обладнані сидіннями та місцями для персоналу команд (не менше ніж на 13 осіб для кожної команди).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6. Роздягальні: для кожної команди та суддів окремо; для команд оснащені щонайменше місцями для 25 осіб, двома душовими, окремим туалетом, одним масажним столом і однією тактичною дошкою; розташовані у безпосередній близькості до поля; забезпечують прямий та безпечний доступ для обох команд і арбітрів до ігрового поля; гарантують безпечне прибуття офіційних осіб на в’їзд/виїзд на (зі) стадіону.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7. Флаштоки: п’ять флагштоків або інших опор, що забезпечують підняття прапорів на стадіоні.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8. Пункт першої невідкладної допомоги: обладнаний медичним оснащенням для надання першої допомоги під час змагань та тренувань відповідно до вимог Української асоціації футболу (УАФ); розташований біля поля та роздягалень.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9. Паркувальні місця: кількість місць ‒ не менше 10 (з них мінімум два місця для паркування  автобусів); доступні для глядачів, персоналу та осіб з інвалідністю; облаштовані за схемою безпечного під’їзду до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10. Трибуни: кількість місць ‒ не менше 50; індивідуальні, закріплені (наприклад, до підлоги), відокремлені одне від одного, пронумеровані; виготовлені з міцного вогнестійкого матеріалу; мають спинку висотою не менше 30 см та ширину не менше 45 см; облаштовані вишками для встановлення камер для відеотрансляції.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11. Система громадського оповіщення: гучномовці та табло для оголошень під час матчів та тренувань; охоплює усю територію стадіону; забезпечує можливість трансляції повідомлень (в тому числі екстрених); захищена від збоїв живлення основного джерела.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12. Послуги для глядачів з обмеженими можливостями: доступні під’їзди та пандуси; виділені місця на трибунах; спеціально обладнані санітарні приміщення; зручні маршрути руху по території стадіону.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13. Вхід та вихід на стадіон: уся територія спортивної споруди огороджена; вхідні ворота та/чи турнікети унеможливлюють затори і забезпечують вільне проходження натовпу; вихідні двері та ворота чітко видимі та позначені; вихідні двері та ворота на стадіоні із секторів в ігрову зону розблоковані (у разі автоматичного керування, обов’язкова також можливість керування вручну), відкриваються назовні у напрямку виходу та шляхів евакуації; на підходах і на стадіоні встановлені відповідні покажчики (наприклад, міжнародні піктограми), за якими легко визначити вхідні та вихідні двері та ворота.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14. Адміністративні, господарські та технічні приміщення: адміністративний блок / офіс; конференц-зал / зал для пресконференцій та зустрічей (мінімум на 20 осіб); бюро або пункт адміністратора / каси; склад для спортивного інвентаря; склад господарських матеріалів та інвентаря для обслуговування стадіону; технічні приміщення для інженерних мереж.</w:t>
      </w:r>
    </w:p>
    <w:p>
      <w:pPr>
        <w:pStyle w:val="Normal"/>
        <w:spacing w:before="0" w:after="0"/>
        <w:ind w:firstLine="567"/>
        <w:jc w:val="both"/>
        <w:rPr>
          <w:rFonts w:ascii="Times New Roman" w:hAnsi="Times New Roman" w:cs="Times New Roman"/>
          <w:sz w:val="28"/>
          <w:szCs w:val="28"/>
          <w:lang w:val="en-US"/>
        </w:rPr>
      </w:pPr>
      <w:r>
        <w:rPr>
          <w:rFonts w:cs="Times New Roman" w:ascii="Times New Roman" w:hAnsi="Times New Roman"/>
          <w:sz w:val="28"/>
          <w:szCs w:val="28"/>
          <w:lang w:val="en-US"/>
        </w:rPr>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4</w:t>
      </w:r>
      <w:r>
        <w:rPr>
          <w:rFonts w:cs="Times New Roman" w:ascii="Times New Roman" w:hAnsi="Times New Roman"/>
          <w:i/>
          <w:iCs/>
          <w:sz w:val="28"/>
          <w:szCs w:val="28"/>
          <w:lang w:val="en-US"/>
        </w:rPr>
        <w:t>.2.</w:t>
        <w:tab/>
      </w:r>
      <w:r>
        <w:rPr>
          <w:rFonts w:cs="Times New Roman" w:ascii="Times New Roman" w:hAnsi="Times New Roman"/>
          <w:i/>
          <w:iCs/>
          <w:sz w:val="28"/>
          <w:szCs w:val="28"/>
        </w:rPr>
        <w:t>Розташування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Запланований об’єкт публічно-приватного партнерства розміщується за адресою: м. Луцьк, вул. Теремнівська, 40-г, у межах Теремнівського житлового району (мікрорайон Теремно). Це сформований спальний район у південно-західній частині міста, що характеризується стабільною житловою забудовою та високим рівнем заселеності. </w:t>
      </w:r>
    </w:p>
    <w:p>
      <w:pPr>
        <w:pStyle w:val="Normal"/>
        <w:ind w:firstLine="567"/>
        <w:jc w:val="both"/>
        <w:rPr>
          <w:rFonts w:ascii="Times New Roman" w:hAnsi="Times New Roman" w:cs="Times New Roman"/>
          <w:sz w:val="28"/>
          <w:szCs w:val="28"/>
        </w:rPr>
      </w:pPr>
      <w:r>
        <w:rPr>
          <w:rFonts w:cs="Times New Roman" w:ascii="Times New Roman" w:hAnsi="Times New Roman"/>
          <w:sz w:val="28"/>
          <w:szCs w:val="28"/>
        </w:rPr>
        <w:t>Нижче подано: розташування об’єкту в межах населеного пункту (Рис. 4.1), розташування об’єкту в межах мікрорайону (Рис. 4.2), розташування об’єкту на супутниковій мапі (рис. 4.3) та схема розміщення об’єкта на земельній ділянці (Рис.4.4)</w:t>
      </w:r>
    </w:p>
    <w:p>
      <w:pPr>
        <w:pStyle w:val="Normal"/>
        <w:spacing w:before="0" w:after="0"/>
        <w:ind w:hanging="142"/>
        <w:rPr>
          <w:rFonts w:ascii="Times New Roman" w:hAnsi="Times New Roman" w:cs="Times New Roman"/>
          <w:sz w:val="28"/>
          <w:szCs w:val="28"/>
          <w:highlight w:val="yellow"/>
        </w:rPr>
      </w:pPr>
      <w:r>
        <w:rPr/>
        <w:drawing>
          <wp:inline distT="0" distB="0" distL="0" distR="0">
            <wp:extent cx="6334125" cy="3800475"/>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
                    <pic:cNvPicPr>
                      <a:picLocks noChangeAspect="1" noChangeArrowheads="1"/>
                    </pic:cNvPicPr>
                  </pic:nvPicPr>
                  <pic:blipFill>
                    <a:blip r:embed="rId2"/>
                    <a:stretch>
                      <a:fillRect/>
                    </a:stretch>
                  </pic:blipFill>
                  <pic:spPr bwMode="auto">
                    <a:xfrm>
                      <a:off x="0" y="0"/>
                      <a:ext cx="6334125" cy="3800475"/>
                    </a:xfrm>
                    <a:prstGeom prst="rect">
                      <a:avLst/>
                    </a:prstGeom>
                    <a:noFill/>
                  </pic:spPr>
                </pic:pic>
              </a:graphicData>
            </a:graphic>
          </wp:inline>
        </w:drawing>
      </w:r>
    </w:p>
    <w:p>
      <w:pPr>
        <w:pStyle w:val="Normal"/>
        <w:spacing w:before="0" w:after="0"/>
        <w:ind w:hanging="142"/>
        <w:jc w:val="center"/>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hanging="142"/>
        <w:jc w:val="center"/>
        <w:rPr>
          <w:rFonts w:ascii="Times New Roman" w:hAnsi="Times New Roman" w:cs="Times New Roman"/>
          <w:sz w:val="28"/>
          <w:szCs w:val="28"/>
          <w:highlight w:val="yellow"/>
        </w:rPr>
      </w:pPr>
      <w:r>
        <w:rPr>
          <w:rFonts w:cs="Times New Roman" w:ascii="Times New Roman" w:hAnsi="Times New Roman"/>
          <w:sz w:val="28"/>
          <w:szCs w:val="28"/>
        </w:rPr>
        <w:t>Рис. 4.1. Розташування об’єкту в межах населеного пункту</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r>
    </w:p>
    <w:p>
      <w:pPr>
        <w:pStyle w:val="Normal"/>
        <w:spacing w:before="0" w:after="0"/>
        <w:rPr>
          <w:rFonts w:ascii="Times New Roman" w:hAnsi="Times New Roman" w:cs="Times New Roman"/>
          <w:sz w:val="28"/>
          <w:szCs w:val="28"/>
        </w:rPr>
      </w:pPr>
      <w:r>
        <w:rPr>
          <w:rFonts w:cs="Times New Roman" w:ascii="Times New Roman" w:hAnsi="Times New Roman"/>
          <w:sz w:val="28"/>
          <w:szCs w:val="28"/>
        </w:rPr>
      </w:r>
    </w:p>
    <w:p>
      <w:pPr>
        <w:pStyle w:val="Normal"/>
        <w:spacing w:before="0" w:after="0"/>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center"/>
        <w:rPr>
          <w:rFonts w:ascii="Times New Roman" w:hAnsi="Times New Roman" w:cs="Times New Roman"/>
          <w:sz w:val="28"/>
          <w:szCs w:val="28"/>
          <w:highlight w:val="yellow"/>
        </w:rPr>
      </w:pPr>
      <w:r>
        <w:rPr/>
        <w:drawing>
          <wp:inline distT="0" distB="0" distL="0" distR="0">
            <wp:extent cx="6209030" cy="3838575"/>
            <wp:effectExtent l="0" t="0" r="0" b="0"/>
            <wp:docPr id="2" name="Зображення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ображення2" descr=""/>
                    <pic:cNvPicPr>
                      <a:picLocks noChangeAspect="1" noChangeArrowheads="1"/>
                    </pic:cNvPicPr>
                  </pic:nvPicPr>
                  <pic:blipFill>
                    <a:blip r:embed="rId3"/>
                    <a:stretch>
                      <a:fillRect/>
                    </a:stretch>
                  </pic:blipFill>
                  <pic:spPr bwMode="auto">
                    <a:xfrm>
                      <a:off x="0" y="0"/>
                      <a:ext cx="6209030" cy="3838575"/>
                    </a:xfrm>
                    <a:prstGeom prst="rect">
                      <a:avLst/>
                    </a:prstGeom>
                    <a:noFill/>
                  </pic:spPr>
                </pic:pic>
              </a:graphicData>
            </a:graphic>
          </wp:inline>
        </w:drawing>
      </w:r>
    </w:p>
    <w:p>
      <w:pPr>
        <w:pStyle w:val="Normal"/>
        <w:spacing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center"/>
        <w:rPr>
          <w:rFonts w:ascii="Times New Roman" w:hAnsi="Times New Roman" w:cs="Times New Roman"/>
          <w:sz w:val="28"/>
          <w:szCs w:val="28"/>
        </w:rPr>
      </w:pPr>
      <w:r>
        <w:rPr>
          <w:rFonts w:cs="Times New Roman" w:ascii="Times New Roman" w:hAnsi="Times New Roman"/>
          <w:sz w:val="28"/>
          <w:szCs w:val="28"/>
        </w:rPr>
        <w:t>Рис. 4.2.</w:t>
      </w:r>
      <w:r>
        <w:rPr>
          <w:sz w:val="28"/>
          <w:szCs w:val="28"/>
        </w:rPr>
        <w:t xml:space="preserve"> </w:t>
      </w:r>
      <w:r>
        <w:rPr>
          <w:rFonts w:cs="Times New Roman" w:ascii="Times New Roman" w:hAnsi="Times New Roman"/>
          <w:sz w:val="28"/>
          <w:szCs w:val="28"/>
        </w:rPr>
        <w:t>Розташування об’єкту в межах мікрорайону</w:t>
      </w:r>
    </w:p>
    <w:p>
      <w:pPr>
        <w:pStyle w:val="Normal"/>
        <w:spacing w:before="0" w:after="0"/>
        <w:rPr>
          <w:rFonts w:ascii="Times New Roman" w:hAnsi="Times New Roman" w:cs="Times New Roman"/>
          <w:sz w:val="28"/>
          <w:szCs w:val="28"/>
        </w:rPr>
      </w:pPr>
      <w:r>
        <w:rPr/>
        <w:drawing>
          <wp:inline distT="0" distB="0" distL="0" distR="0">
            <wp:extent cx="6219825" cy="3989705"/>
            <wp:effectExtent l="0" t="0" r="0" b="0"/>
            <wp:docPr id="3" name="Зображення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Зображення3" descr=""/>
                    <pic:cNvPicPr>
                      <a:picLocks noChangeAspect="1" noChangeArrowheads="1"/>
                    </pic:cNvPicPr>
                  </pic:nvPicPr>
                  <pic:blipFill>
                    <a:blip r:embed="rId4"/>
                    <a:stretch>
                      <a:fillRect/>
                    </a:stretch>
                  </pic:blipFill>
                  <pic:spPr bwMode="auto">
                    <a:xfrm>
                      <a:off x="0" y="0"/>
                      <a:ext cx="6219825" cy="3989705"/>
                    </a:xfrm>
                    <a:prstGeom prst="rect">
                      <a:avLst/>
                    </a:prstGeom>
                    <a:noFill/>
                  </pic:spPr>
                </pic:pic>
              </a:graphicData>
            </a:graphic>
          </wp:inline>
        </w:drawing>
      </w:r>
    </w:p>
    <w:p>
      <w:pPr>
        <w:pStyle w:val="Normal"/>
        <w:spacing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center"/>
        <w:rPr>
          <w:rFonts w:ascii="Times New Roman" w:hAnsi="Times New Roman" w:cs="Times New Roman"/>
          <w:sz w:val="28"/>
          <w:szCs w:val="28"/>
        </w:rPr>
      </w:pPr>
      <w:r>
        <w:rPr>
          <w:rFonts w:cs="Times New Roman" w:ascii="Times New Roman" w:hAnsi="Times New Roman"/>
          <w:sz w:val="28"/>
          <w:szCs w:val="28"/>
        </w:rPr>
        <w:t>Рис. 4.3. Розташування об’єкту на супутниковій мапі</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426"/>
        <w:rPr>
          <w:rFonts w:ascii="Times New Roman" w:hAnsi="Times New Roman" w:cs="Times New Roman"/>
          <w:sz w:val="28"/>
          <w:szCs w:val="28"/>
        </w:rPr>
      </w:pPr>
      <w:r>
        <w:rPr/>
        <w:drawing>
          <wp:inline distT="0" distB="0" distL="0" distR="0">
            <wp:extent cx="5705475" cy="4284980"/>
            <wp:effectExtent l="0" t="0" r="0" b="0"/>
            <wp:docPr id="4" name="Зображення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Зображення4" descr=""/>
                    <pic:cNvPicPr>
                      <a:picLocks noChangeAspect="1" noChangeArrowheads="1"/>
                    </pic:cNvPicPr>
                  </pic:nvPicPr>
                  <pic:blipFill>
                    <a:blip r:embed="rId5"/>
                    <a:stretch>
                      <a:fillRect/>
                    </a:stretch>
                  </pic:blipFill>
                  <pic:spPr bwMode="auto">
                    <a:xfrm>
                      <a:off x="0" y="0"/>
                      <a:ext cx="5705475" cy="4284980"/>
                    </a:xfrm>
                    <a:prstGeom prst="rect">
                      <a:avLst/>
                    </a:prstGeom>
                    <a:noFill/>
                  </pic:spPr>
                </pic:pic>
              </a:graphicData>
            </a:graphic>
          </wp:inline>
        </w:drawing>
      </w:r>
    </w:p>
    <w:p>
      <w:pPr>
        <w:pStyle w:val="Normal"/>
        <w:spacing w:before="0" w:after="0"/>
        <w:jc w:val="center"/>
        <w:rPr>
          <w:rFonts w:ascii="Times New Roman" w:hAnsi="Times New Roman" w:cs="Times New Roman"/>
          <w:sz w:val="28"/>
          <w:szCs w:val="28"/>
        </w:rPr>
      </w:pPr>
      <w:r>
        <w:rPr>
          <w:rFonts w:cs="Times New Roman" w:ascii="Times New Roman" w:hAnsi="Times New Roman"/>
          <w:sz w:val="28"/>
          <w:szCs w:val="28"/>
        </w:rPr>
        <w:t>Рис. 4.4. Схема розміщення об’єкта на земельній ділянці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Серед особливостей вибору об</w:t>
      </w:r>
      <w:r>
        <w:rPr>
          <w:rFonts w:cs="Times New Roman" w:ascii="Times New Roman" w:hAnsi="Times New Roman"/>
          <w:sz w:val="28"/>
          <w:szCs w:val="28"/>
          <w:lang w:val="en-US"/>
        </w:rPr>
        <w:t>’</w:t>
      </w:r>
      <w:r>
        <w:rPr>
          <w:rFonts w:cs="Times New Roman" w:ascii="Times New Roman" w:hAnsi="Times New Roman"/>
          <w:sz w:val="28"/>
          <w:szCs w:val="28"/>
        </w:rPr>
        <w:t>єкта ППП виділимо наступні.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 Просторова характеристика: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віддаленість від центру міста: близько 3 км;</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функціональна зона: житлова та громадська забудова;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тип забудови: переважно середньоповерхова та малоповерхова;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транспортний доступ: хороша доступність громадським та приватним транспортом;</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інженерне забезпечення: наявність можливості підключення до міських мереж.</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2. Існуюча інфраструктура та її потенціал.</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На території району відсутні повноцінні футбольні поля зі штучним покриттям, стадіони регіонального або міського рівня, інклюзивні спортивні площадки.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Разом із тим район має достатню кількість потенційних користувачів (учні шкіл, спортивні секції, аматорські команди), зручні транспортні під’їзди, можливість інтегрувати спортивну інфраструктуру до місцевої освітньо-спортивної мережі.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 Соціально-економічна доцільність вибору місця.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Розміщення об’єкта саме в цьому районі дозволяє забезпечити доступність спортивних послуг для великої кількості мешканців, створити безкоштовний або пільговий доступ для шкіл та громадських організацій, розвантажити існуючі спортивні об’єкти міста, підвищити рівень фізичної активності молоді, активізувати розвиток мікрорайону.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чином Теремнівський житловий район є оптимальною локацією для розміщення міського стадіону зі штучним покриттям, оскільки поєднує високу соціальну потребу, відсутність аналогічної інфраструктури та доступність території. Будівництво стадіону сприятиме рівномірному просторовому розвитку міста, зменшенню диспропорції між центральною частиною та околицями щодо забезпеченості спортивними об'єктами. Реалізація проєкту створить новий якісний спортивний центр для мешканців району та міста загалом.</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  </w:t>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5. Інформація про земельні ділянки для реалізації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Земельна ділянка розташована на вул. Теремнівській, 40-г в м. Луцьку.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Будівництво спортивного комплексу передбачається на земельній ділянці для будівництва та обслуговування спортивного комплексу (03.15 – для будівництва та обслуговування інших будівель громадської забудови). Орієнтовна площа земельної ділянки 1,0 га (складається із ділянки кадастровим номером 0710100000:34:054:0053 загальною площею 0,8963 га та ділянки орієнтовною площею 0,10 га (на стадії формування)).</w:t>
      </w:r>
    </w:p>
    <w:p>
      <w:pPr>
        <w:pStyle w:val="Normal"/>
        <w:spacing w:before="0" w:after="0"/>
        <w:ind w:firstLine="567"/>
        <w:jc w:val="both"/>
        <w:rPr>
          <w:rFonts w:ascii="Times New Roman" w:hAnsi="Times New Roman" w:cs="Times New Roman"/>
          <w:sz w:val="28"/>
          <w:szCs w:val="28"/>
          <w:lang w:val="en-US"/>
        </w:rPr>
      </w:pPr>
      <w:r>
        <w:rPr>
          <w:rFonts w:cs="Times New Roman" w:ascii="Times New Roman" w:hAnsi="Times New Roman"/>
          <w:sz w:val="28"/>
          <w:szCs w:val="28"/>
        </w:rPr>
        <w:t>Земельна ділянка перебуває в комунальній власності Луцької міської територіальної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На земельній ділянці відсутні капітальні споруди, територія частково охоплена зеленими насадженнями та відкритими площами. Доступ до ділянки здійснюється через вул. Теремнівську. Під’їзні дороги забезпечують можливість транспортного обслуговування як на етапі будівництва, так і експлуатації.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Інженерні мережі можуть бути підключені за окремими технічними умовами.</w:t>
      </w:r>
    </w:p>
    <w:p>
      <w:pPr>
        <w:pStyle w:val="Normal"/>
        <w:spacing w:before="0" w:after="0"/>
        <w:ind w:firstLine="567"/>
        <w:jc w:val="both"/>
        <w:rPr>
          <w:rFonts w:ascii="Times New Roman" w:hAnsi="Times New Roman" w:cs="Times New Roman"/>
          <w:sz w:val="28"/>
          <w:szCs w:val="28"/>
          <w:lang w:val="en-US"/>
        </w:rPr>
      </w:pPr>
      <w:r>
        <w:rPr>
          <w:rFonts w:cs="Times New Roman" w:ascii="Times New Roman" w:hAnsi="Times New Roman"/>
          <w:sz w:val="28"/>
          <w:szCs w:val="28"/>
        </w:rPr>
        <w:t>Поточний стан ділянки відповідає вимогам до розміщення спортивних споруд та не створює обмежень для будівництва стадіону зі штучним покриттям</w:t>
      </w:r>
      <w:r>
        <w:rPr>
          <w:rFonts w:cs="Times New Roman" w:ascii="Times New Roman" w:hAnsi="Times New Roman"/>
          <w:sz w:val="28"/>
          <w:szCs w:val="28"/>
          <w:lang w:val="en-US"/>
        </w:rPr>
        <w:t>.</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Відповідно до ст.7 Закону України «Про публічно-приватне партнерство»,</w:t>
      </w:r>
      <w:r>
        <w:rPr/>
        <w:t xml:space="preserve"> </w:t>
      </w:r>
      <w:r>
        <w:rPr>
          <w:rFonts w:cs="Times New Roman" w:ascii="Times New Roman" w:hAnsi="Times New Roman"/>
          <w:sz w:val="28"/>
          <w:szCs w:val="28"/>
        </w:rPr>
        <w:t xml:space="preserve">якщо для здійснення ППП необхідне отримання приватним партнером земельної ділянки та/або права на забудову відповідної земельної ділянки, передача відповідної земельної ділянки у користування (оренду) приватному партнеру на строк дії договору ППП здійснюється в порядку, визначеному Земельним кодексом України, а передача права на забудову земельної ділянки здійснюється з урахуванням положень Закону України "Про регулювання містобудівної діяльності" .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Органи виконавчої влади, органи місцевого самоврядування, які відповідно до Земельного кодексу України наділені повноваженнями щодо передачі земельних ділянок у користування, зобов’язані передати приватному партнеру в користування (оренду) земельні ділянки, визначені договором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Після припинення (розірвання) договору ППП земельна ділянка, передана приватному партнеру у користування (оренду), передається у користування державному, комунальному підприємству, установі, організації, господарському товариству публічного сектору, визначеному публічним партнером, відповідно до Земельного кодексу України.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чином, при реалізації умов договору ППП, відповідна земельна ділянка буде передана в оренду приватному партнеру на строк дії договору. Після припинення дії договору, приватний партнер буде зобов'язаний звільнити зазначену земельну ділянку.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6. Інформація про оціночну вартість експлуатації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вартість експлуатації спортивного стадіону зі штучним покриттям визначається з урахуванням витрат на технічне утримання, комунальні послуги, персонал, поточні ремонти та забезпечення належного рівня безпеки й доступності. Наведені показники мають орієнтовний характер і базуються на середньоринкових розрахунках вартості експлуатації аналогічних інфраструктурних об’єктів.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 цьому розділі і далі по тексту при проведенні фінансово-економічних розрахунків у межах цього техніко-економічного обґрунтування податкові платежі приватного партнера не виділялися окремими статтями витрат. Податкове навантаження враховано у складі операційних витрат та тарифної політики приватного партнера.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Деталізація податкових зобов’язань здійснюватиметься на етапі підготовки фінансової моделі приватного партнера та укладення договору публічно-приватного партнерства з урахуванням обраної системи оподаткування.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 Основні статті витрат на експлуатацію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1.1. Утримання та обслуговування футбольного поля: регенерація штучного покриття, регулярне чищення та вирівнювання грануляту, догляд за дренажною системою, заміна зношених фрагментів покриття</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Орієнтовні щорічні витрати: 180 –250 тис.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1.2. Комунальні послуги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1.2.1. Освітлення поля (LED система): тренування у вечірній час, спортивні заходи.</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Орієнтовні витрати: 150 –220 тис. грн/рік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1.2.2. Опалення адміністративно-побутових приміщень (сезонне, залежить від типу системи (електрика/газ)</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Орієнтовно: 80 –150 тис. грн/рік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1.2.3. Водопостачання та водовідведення: душові, санвузли, технічне прибирання</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Орієнтовно: 40 –70 тис. грн/рік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1.3. Персонал: адміністратор/черговий (1–2 особи), технічний працівник, охорона.</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Орієнтовний фонд заробітної плати: 450–750 тис. грн/рік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1.4. Охорона та безпека: сигналізація, система відеоспостереження, протипожежні вимоги.</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Орієнтовно: 50 –100 тис. грн/рік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1.5. Поточний ремонт та технічне обслуговування: ремонт трибун, меблів, інвентарю, фарбування та благоустрій, дрібні ремонтні роботи.</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Орієнтовно: 120 –180 тис. грн/рік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1.6. Благоустрій території: прибирання, утримання зелених зон, ремонт огорожі та освітлення</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Орієнтовно: 30 –60 тис. грн/рік</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Сумарні прогнозовані витрати на експлуатацію стадіону</w:t>
      </w:r>
    </w:p>
    <w:p>
      <w:pPr>
        <w:pStyle w:val="Normal"/>
        <w:spacing w:before="0" w:after="0"/>
        <w:ind w:firstLine="567"/>
        <w:jc w:val="both"/>
        <w:rPr>
          <w:rFonts w:ascii="Times New Roman" w:hAnsi="Times New Roman" w:cs="Times New Roman"/>
          <w:b/>
          <w:sz w:val="28"/>
          <w:szCs w:val="28"/>
        </w:rPr>
      </w:pPr>
      <w:r>
        <w:rPr>
          <w:rFonts w:cs="Times New Roman" w:ascii="Times New Roman" w:hAnsi="Times New Roman"/>
          <w:b/>
          <w:sz w:val="28"/>
          <w:szCs w:val="28"/>
        </w:rPr>
        <w:t xml:space="preserve">Напрям витрат  </w:t>
        <w:tab/>
        <w:tab/>
        <w:tab/>
        <w:tab/>
        <w:tab/>
        <w:tab/>
        <w:t>Орієнтовна вартість на рік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Утримання штучного поля</w:t>
        <w:tab/>
        <w:tab/>
        <w:tab/>
        <w:tab/>
        <w:t>180 ‒250 тис.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Комунальні послуги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(освітлення, вода, опалення)</w:t>
        <w:tab/>
        <w:tab/>
        <w:tab/>
        <w:tab/>
        <w:t>270 – 440 тис.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Персонал</w:t>
        <w:tab/>
        <w:tab/>
        <w:tab/>
        <w:tab/>
        <w:tab/>
        <w:tab/>
        <w:tab/>
        <w:t>450 – 750 тис.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Охорона та безпека</w:t>
        <w:tab/>
        <w:tab/>
        <w:tab/>
        <w:tab/>
        <w:tab/>
        <w:t>50 – 100 тис.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Поточні ремонти</w:t>
        <w:tab/>
        <w:tab/>
        <w:tab/>
        <w:tab/>
        <w:tab/>
        <w:tab/>
        <w:t>120 – 180 тис.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Благоустрій</w:t>
        <w:tab/>
        <w:tab/>
        <w:tab/>
        <w:tab/>
        <w:tab/>
        <w:tab/>
        <w:tab/>
        <w:t>30 – 60 тис. грн</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Загальна орієнтовна сума на рік</w:t>
        <w:tab/>
        <w:tab/>
        <w:tab/>
        <w:t>1,10 – 1,78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Експлуатаційні витрати можуть покриватися за рахунок: власних коштів приватного партнера як оператора, плати за користування спортивним майданчиком (орендні години), спеціальних грантових програм та спонсорської підтримки.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Висновок: оціночні експлуатаційні витрати для спортивного стадіону зі штучним покриттям становитимуть у середньому 1,1–1,8 млн грн на рік, залежно від інтенсивності використання, сезонності, тарифів на комунальні послуги та обсягу поточних ремонтних робіт. Зазначені витрати є типово прийнятними для спортивних об’єктів такого класу.</w:t>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7.</w:t>
        <w:tab/>
        <w:t>Розрахунок суми інвестицій, необхідних для запуску об’єкта в експлуатацію</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Оцінка обсягу інвестицій здійснюється на основі типових кошторисів будівництва повнорозмірних футбольних полів зі штучним покриттям, облаштування інфраструктури та споруд допоміжного призначення. Усі наведені суми є орієнтовними й можуть уточнюватися під час розроблення проєктно-кошторисної документації та проходження експертизи.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 основних складових інвестиційних витрат варто віднести наступні.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 Земляні роботи та підготовка території: зняття рослинного шару, планування території; облаштування дренажної системи; вирівнювання основи, ущільнення ґрунтів; підготовка дорожньо-транспортних під’їздів для будівельної техніки.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сума: 1,2–2,0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2. Влаштування штучного футбольного поля 105×68 м: щебенева та піщана основа; дренажні труби та гравійні подушки; геотекстильні основи; укладання штучного покриття (футбольна трава); гумовий гранулят; монтаж ліній розмітки.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сума: 6,0–8,5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 Облаштування зони для розминки (міні-поле або багатофункціональна зона): зона 20×40 м або іншої площі; синтетичне покриття; огородження; освітлення.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сума: 1,0 –1,8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4. Система освітлення: щогли освітлення (4 – 6 шт.); LED-прожектори спортивного класу; система управління освітленням; підсилені кабельні лінії.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сума: 2,5 – 4,0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5. Трибуни для глядачів: металоконструкції; пластикові сидіння; навіси (за необхідності); огородження; пандуси.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сума: 0,8 –1,5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6. Адміністративно-побутові приміщення: роздягальні; душові та санвузли; медичний пункт; технічне приміщення; конференц-зал.</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сума: 2,0 –3,5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7. Система громадського оповіщення та відеоспостереження: аудіосистема;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інформаційне табло; камери безпеки; серверне обладнання.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сума: 0,5 – 0,9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8. Благоустрій території: доріжки, озеленення, огорожа по периметру; парковка на 20 –30 авто; урни, лавки, навіси.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сума: 0,7–1,3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9. Проєктно-кошторисна документація та експертиза: виготовлення ПКД; експертиза; геологія та геодезія.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Оціночна сума: 0,4 – 0,8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center"/>
        <w:rPr>
          <w:rFonts w:ascii="Times New Roman" w:hAnsi="Times New Roman" w:cs="Times New Roman"/>
          <w:sz w:val="28"/>
          <w:szCs w:val="28"/>
        </w:rPr>
      </w:pPr>
      <w:r>
        <w:rPr>
          <w:rFonts w:cs="Times New Roman" w:ascii="Times New Roman" w:hAnsi="Times New Roman"/>
          <w:sz w:val="28"/>
          <w:szCs w:val="28"/>
        </w:rPr>
        <w:t>Орієнтовний підсумок інвестиційних витрат</w:t>
      </w:r>
    </w:p>
    <w:p>
      <w:pPr>
        <w:pStyle w:val="Normal"/>
        <w:spacing w:before="0" w:after="0"/>
        <w:ind w:firstLine="567"/>
        <w:jc w:val="right"/>
        <w:rPr>
          <w:rFonts w:ascii="Times New Roman" w:hAnsi="Times New Roman" w:cs="Times New Roman"/>
          <w:sz w:val="24"/>
          <w:szCs w:val="24"/>
        </w:rPr>
      </w:pPr>
      <w:r>
        <w:rPr>
          <w:rFonts w:cs="Times New Roman" w:ascii="Times New Roman" w:hAnsi="Times New Roman"/>
          <w:sz w:val="24"/>
          <w:szCs w:val="24"/>
        </w:rPr>
        <w:t>Таблиця 7.1</w:t>
      </w:r>
    </w:p>
    <w:tbl>
      <w:tblPr>
        <w:tblStyle w:val="a8"/>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948"/>
        <w:gridCol w:w="3827"/>
      </w:tblGrid>
      <w:tr>
        <w:trPr/>
        <w:tc>
          <w:tcPr>
            <w:tcW w:w="5948"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Стаття витрат</w:t>
            </w:r>
          </w:p>
        </w:tc>
        <w:tc>
          <w:tcPr>
            <w:tcW w:w="3827"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Орієнтовна сума, млн грн</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Підготовка території</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1,2–2,0</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Футбольне поле</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6,0–8,5</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Зона для розминки</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1,0–1,8</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Освітлення</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2,5–4,0</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Трибуни</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0,8–1,5</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Адмінприміщення</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2,0–3,5</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Оповіщення та відеоспостереження</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0,5–0,9</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Благоустрій</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0,7–1,3</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ПКД та експертиза</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0,4–0,8</w:t>
            </w:r>
          </w:p>
        </w:tc>
      </w:tr>
      <w:tr>
        <w:trPr/>
        <w:tc>
          <w:tcPr>
            <w:tcW w:w="5948"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b/>
                <w:bCs/>
                <w:kern w:val="2"/>
                <w:sz w:val="28"/>
                <w:szCs w:val="28"/>
                <w:lang w:val="uk-UA" w:eastAsia="en-US" w:bidi="ar-SA"/>
              </w:rPr>
              <w:t>ВСЬОГО</w:t>
            </w:r>
          </w:p>
        </w:tc>
        <w:tc>
          <w:tcPr>
            <w:tcW w:w="382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b/>
                <w:bCs/>
                <w:kern w:val="2"/>
                <w:sz w:val="28"/>
                <w:szCs w:val="28"/>
                <w:lang w:val="uk-UA" w:eastAsia="en-US" w:bidi="ar-SA"/>
              </w:rPr>
              <w:t>15,1 – 24,3</w:t>
            </w:r>
          </w:p>
        </w:tc>
      </w:tr>
    </w:tbl>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Побудуємо фінансову модель публічно-приватного партнерства, виходячи з наступних вихідних припущень: </w:t>
      </w:r>
    </w:p>
    <w:p>
      <w:pPr>
        <w:pStyle w:val="Normal"/>
        <w:spacing w:before="0" w:after="0"/>
        <w:ind w:left="567"/>
        <w:jc w:val="both"/>
        <w:rPr>
          <w:rFonts w:ascii="Times New Roman" w:hAnsi="Times New Roman" w:cs="Times New Roman"/>
          <w:sz w:val="28"/>
          <w:szCs w:val="28"/>
        </w:rPr>
      </w:pPr>
      <w:r>
        <w:rPr>
          <w:rFonts w:cs="Times New Roman" w:ascii="Times New Roman" w:hAnsi="Times New Roman"/>
          <w:sz w:val="28"/>
          <w:szCs w:val="28"/>
        </w:rPr>
        <w:t>Форма ППП: оренда земельної ділянки + інвестиційні зобов’язання;</w:t>
      </w:r>
    </w:p>
    <w:p>
      <w:pPr>
        <w:pStyle w:val="ListParagraph"/>
        <w:numPr>
          <w:ilvl w:val="0"/>
          <w:numId w:val="4"/>
        </w:numPr>
        <w:spacing w:before="0" w:after="0"/>
        <w:ind w:hanging="284" w:left="851"/>
        <w:contextualSpacing/>
        <w:jc w:val="both"/>
        <w:rPr>
          <w:rFonts w:ascii="Times New Roman" w:hAnsi="Times New Roman" w:cs="Times New Roman"/>
          <w:sz w:val="28"/>
          <w:szCs w:val="28"/>
        </w:rPr>
      </w:pPr>
      <w:r>
        <w:rPr>
          <w:rFonts w:cs="Times New Roman" w:ascii="Times New Roman" w:hAnsi="Times New Roman"/>
          <w:sz w:val="28"/>
          <w:szCs w:val="28"/>
        </w:rPr>
        <w:t>інвестор: приватний партнер;</w:t>
      </w:r>
    </w:p>
    <w:p>
      <w:pPr>
        <w:pStyle w:val="ListParagraph"/>
        <w:numPr>
          <w:ilvl w:val="0"/>
          <w:numId w:val="4"/>
        </w:numPr>
        <w:spacing w:before="0" w:after="0"/>
        <w:ind w:hanging="284" w:left="851"/>
        <w:contextualSpacing/>
        <w:jc w:val="both"/>
        <w:rPr>
          <w:rFonts w:ascii="Times New Roman" w:hAnsi="Times New Roman" w:cs="Times New Roman"/>
          <w:sz w:val="28"/>
          <w:szCs w:val="28"/>
        </w:rPr>
      </w:pPr>
      <w:r>
        <w:rPr>
          <w:rFonts w:cs="Times New Roman" w:ascii="Times New Roman" w:hAnsi="Times New Roman"/>
          <w:sz w:val="28"/>
          <w:szCs w:val="28"/>
        </w:rPr>
        <w:t>загальний обсяг інвестицій: 20,0 млн грн (серединне значення);</w:t>
      </w:r>
    </w:p>
    <w:p>
      <w:pPr>
        <w:pStyle w:val="ListParagraph"/>
        <w:numPr>
          <w:ilvl w:val="0"/>
          <w:numId w:val="4"/>
        </w:numPr>
        <w:spacing w:before="0" w:after="0"/>
        <w:ind w:hanging="284" w:left="851"/>
        <w:contextualSpacing/>
        <w:jc w:val="both"/>
        <w:rPr>
          <w:rFonts w:ascii="Times New Roman" w:hAnsi="Times New Roman" w:cs="Times New Roman"/>
          <w:sz w:val="28"/>
          <w:szCs w:val="28"/>
        </w:rPr>
      </w:pPr>
      <w:r>
        <w:rPr>
          <w:rFonts w:cs="Times New Roman" w:ascii="Times New Roman" w:hAnsi="Times New Roman"/>
          <w:sz w:val="28"/>
          <w:szCs w:val="28"/>
        </w:rPr>
        <w:t>строк договору ППП: 49 років;</w:t>
      </w:r>
    </w:p>
    <w:p>
      <w:pPr>
        <w:pStyle w:val="ListParagraph"/>
        <w:numPr>
          <w:ilvl w:val="0"/>
          <w:numId w:val="4"/>
        </w:numPr>
        <w:spacing w:before="0" w:after="0"/>
        <w:ind w:hanging="284" w:left="851"/>
        <w:contextualSpacing/>
        <w:jc w:val="both"/>
        <w:rPr>
          <w:rFonts w:ascii="Times New Roman" w:hAnsi="Times New Roman" w:cs="Times New Roman"/>
          <w:sz w:val="28"/>
          <w:szCs w:val="28"/>
        </w:rPr>
      </w:pPr>
      <w:r>
        <w:rPr>
          <w:rFonts w:cs="Times New Roman" w:ascii="Times New Roman" w:hAnsi="Times New Roman"/>
          <w:sz w:val="28"/>
          <w:szCs w:val="28"/>
        </w:rPr>
        <w:t>форма експлуатації: комерційно-соціальна;</w:t>
      </w:r>
    </w:p>
    <w:p>
      <w:pPr>
        <w:pStyle w:val="ListParagraph"/>
        <w:numPr>
          <w:ilvl w:val="0"/>
          <w:numId w:val="4"/>
        </w:numPr>
        <w:spacing w:before="0" w:after="0"/>
        <w:ind w:hanging="284" w:left="851"/>
        <w:contextualSpacing/>
        <w:jc w:val="both"/>
        <w:rPr>
          <w:rFonts w:ascii="Times New Roman" w:hAnsi="Times New Roman" w:cs="Times New Roman"/>
          <w:sz w:val="28"/>
          <w:szCs w:val="28"/>
        </w:rPr>
      </w:pPr>
      <w:r>
        <w:rPr>
          <w:rFonts w:cs="Times New Roman" w:ascii="Times New Roman" w:hAnsi="Times New Roman"/>
          <w:sz w:val="28"/>
          <w:szCs w:val="28"/>
        </w:rPr>
        <w:t>фінансування: 100 % кошти приватного партнера;</w:t>
      </w:r>
    </w:p>
    <w:p>
      <w:pPr>
        <w:pStyle w:val="ListParagraph"/>
        <w:numPr>
          <w:ilvl w:val="0"/>
          <w:numId w:val="4"/>
        </w:numPr>
        <w:spacing w:before="0" w:after="0"/>
        <w:ind w:hanging="284" w:left="851"/>
        <w:contextualSpacing/>
        <w:jc w:val="both"/>
        <w:rPr>
          <w:rFonts w:ascii="Times New Roman" w:hAnsi="Times New Roman" w:cs="Times New Roman"/>
          <w:sz w:val="28"/>
          <w:szCs w:val="28"/>
        </w:rPr>
      </w:pPr>
      <w:r>
        <w:rPr>
          <w:rFonts w:cs="Times New Roman" w:ascii="Times New Roman" w:hAnsi="Times New Roman"/>
          <w:sz w:val="28"/>
          <w:szCs w:val="28"/>
        </w:rPr>
        <w:t>інфляція: не враховується (у постійних цінах);</w:t>
      </w:r>
    </w:p>
    <w:p>
      <w:pPr>
        <w:pStyle w:val="ListParagraph"/>
        <w:numPr>
          <w:ilvl w:val="0"/>
          <w:numId w:val="4"/>
        </w:numPr>
        <w:spacing w:before="0" w:after="0"/>
        <w:ind w:hanging="284" w:left="851"/>
        <w:contextualSpacing/>
        <w:jc w:val="both"/>
        <w:rPr>
          <w:rFonts w:ascii="Times New Roman" w:hAnsi="Times New Roman" w:cs="Times New Roman"/>
          <w:sz w:val="28"/>
          <w:szCs w:val="28"/>
        </w:rPr>
      </w:pPr>
      <w:r>
        <w:rPr>
          <w:rFonts w:cs="Times New Roman" w:ascii="Times New Roman" w:hAnsi="Times New Roman"/>
          <w:sz w:val="28"/>
          <w:szCs w:val="28"/>
        </w:rPr>
        <w:t>ставка дисконту: 12 % (середньозважена для інфраструктурних проєктів)</w:t>
      </w:r>
    </w:p>
    <w:p>
      <w:pPr>
        <w:pStyle w:val="ListParagraph"/>
        <w:numPr>
          <w:ilvl w:val="0"/>
          <w:numId w:val="4"/>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показники доходів та витрат наведені як середньорічні для типової фази експлуатації об’єкта протягом строку дії договору ППП.</w:t>
      </w:r>
    </w:p>
    <w:p>
      <w:pPr>
        <w:pStyle w:val="Normal"/>
        <w:spacing w:before="0" w:after="0"/>
        <w:jc w:val="center"/>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center"/>
        <w:rPr>
          <w:rFonts w:ascii="Times New Roman" w:hAnsi="Times New Roman" w:cs="Times New Roman"/>
          <w:sz w:val="28"/>
          <w:szCs w:val="28"/>
        </w:rPr>
      </w:pPr>
      <w:r>
        <w:rPr>
          <w:rFonts w:cs="Times New Roman" w:ascii="Times New Roman" w:hAnsi="Times New Roman"/>
          <w:sz w:val="28"/>
          <w:szCs w:val="28"/>
        </w:rPr>
        <w:t>Орієнтовний графік інвестицій (капітальні витрати)</w:t>
      </w:r>
    </w:p>
    <w:p>
      <w:pPr>
        <w:pStyle w:val="Normal"/>
        <w:spacing w:before="0" w:after="0"/>
        <w:ind w:firstLine="567"/>
        <w:jc w:val="right"/>
        <w:rPr>
          <w:rFonts w:ascii="Times New Roman" w:hAnsi="Times New Roman" w:cs="Times New Roman"/>
          <w:sz w:val="24"/>
          <w:szCs w:val="24"/>
        </w:rPr>
      </w:pPr>
      <w:r>
        <w:rPr>
          <w:rFonts w:cs="Times New Roman" w:ascii="Times New Roman" w:hAnsi="Times New Roman"/>
          <w:sz w:val="24"/>
          <w:szCs w:val="24"/>
        </w:rPr>
        <w:t>Таблиця 7.1</w:t>
      </w:r>
    </w:p>
    <w:tbl>
      <w:tblPr>
        <w:tblStyle w:val="a8"/>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440"/>
        <w:gridCol w:w="1957"/>
        <w:gridCol w:w="6379"/>
      </w:tblGrid>
      <w:tr>
        <w:trPr/>
        <w:tc>
          <w:tcPr>
            <w:tcW w:w="1440"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Період реалізації</w:t>
            </w:r>
          </w:p>
        </w:tc>
        <w:tc>
          <w:tcPr>
            <w:tcW w:w="1957"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Обсяг інвестицій,</w:t>
            </w:r>
          </w:p>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млн грн</w:t>
            </w:r>
          </w:p>
        </w:tc>
        <w:tc>
          <w:tcPr>
            <w:tcW w:w="6379"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cs="Times New Roman" w:ascii="Times New Roman" w:hAnsi="Times New Roman"/>
                <w:b/>
                <w:bCs/>
                <w:sz w:val="28"/>
                <w:szCs w:val="28"/>
              </w:rPr>
            </w:r>
          </w:p>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Основні роботи</w:t>
            </w:r>
          </w:p>
        </w:tc>
      </w:tr>
      <w:tr>
        <w:trPr/>
        <w:tc>
          <w:tcPr>
            <w:tcW w:w="144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Рік 1</w:t>
            </w:r>
          </w:p>
        </w:tc>
        <w:tc>
          <w:tcPr>
            <w:tcW w:w="195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7,0</w:t>
            </w:r>
          </w:p>
        </w:tc>
        <w:tc>
          <w:tcPr>
            <w:tcW w:w="6379"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ПКД, земляні роботи, дренаж</w:t>
            </w:r>
          </w:p>
        </w:tc>
      </w:tr>
      <w:tr>
        <w:trPr/>
        <w:tc>
          <w:tcPr>
            <w:tcW w:w="144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Рік 2</w:t>
            </w:r>
          </w:p>
        </w:tc>
        <w:tc>
          <w:tcPr>
            <w:tcW w:w="195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9,0</w:t>
            </w:r>
          </w:p>
        </w:tc>
        <w:tc>
          <w:tcPr>
            <w:tcW w:w="6379"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поле, освітлення, трибуни</w:t>
            </w:r>
          </w:p>
        </w:tc>
      </w:tr>
      <w:tr>
        <w:trPr/>
        <w:tc>
          <w:tcPr>
            <w:tcW w:w="144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Рік 3</w:t>
            </w:r>
          </w:p>
        </w:tc>
        <w:tc>
          <w:tcPr>
            <w:tcW w:w="195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4,0</w:t>
            </w:r>
          </w:p>
        </w:tc>
        <w:tc>
          <w:tcPr>
            <w:tcW w:w="6379"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адмінприміщення, благоустрій</w:t>
            </w:r>
          </w:p>
        </w:tc>
      </w:tr>
      <w:tr>
        <w:trPr/>
        <w:tc>
          <w:tcPr>
            <w:tcW w:w="1440" w:type="dxa"/>
            <w:tcBorders/>
          </w:tcPr>
          <w:p>
            <w:pPr>
              <w:pStyle w:val="Normal"/>
              <w:widowControl/>
              <w:suppressAutoHyphens w:val="true"/>
              <w:spacing w:lineRule="auto" w:line="240" w:before="0" w:after="0"/>
              <w:jc w:val="both"/>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Всього</w:t>
            </w:r>
          </w:p>
        </w:tc>
        <w:tc>
          <w:tcPr>
            <w:tcW w:w="1957"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20,0</w:t>
            </w:r>
          </w:p>
        </w:tc>
        <w:tc>
          <w:tcPr>
            <w:tcW w:w="6379"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r>
    </w:tbl>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jc w:val="both"/>
        <w:rPr>
          <w:rFonts w:ascii="Times New Roman" w:hAnsi="Times New Roman" w:cs="Times New Roman"/>
          <w:sz w:val="28"/>
          <w:szCs w:val="28"/>
        </w:rPr>
      </w:pPr>
      <w:r>
        <w:rPr/>
        <w:drawing>
          <wp:inline distT="0" distB="0" distL="0" distR="0">
            <wp:extent cx="6229350" cy="3662680"/>
            <wp:effectExtent l="0" t="0" r="0" b="0"/>
            <wp:docPr id="5" name="Діаграма 1" desc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pStyle w:val="Normal"/>
        <w:spacing w:before="0" w:after="0"/>
        <w:jc w:val="both"/>
        <w:rPr>
          <w:rFonts w:ascii="Times New Roman" w:hAnsi="Times New Roman" w:cs="Times New Roman"/>
          <w:sz w:val="18"/>
          <w:szCs w:val="18"/>
        </w:rPr>
      </w:pPr>
      <w:r>
        <w:rPr>
          <w:rFonts w:cs="Times New Roman" w:ascii="Times New Roman" w:hAnsi="Times New Roman"/>
          <w:sz w:val="18"/>
          <w:szCs w:val="1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Структура інвестицій характеризується наступною діаграмою (рис. 7.1)</w:t>
      </w:r>
    </w:p>
    <w:p>
      <w:pPr>
        <w:pStyle w:val="Normal"/>
        <w:spacing w:before="0" w:after="0"/>
        <w:jc w:val="both"/>
        <w:rPr>
          <w:rFonts w:ascii="Times New Roman" w:hAnsi="Times New Roman" w:cs="Times New Roman"/>
          <w:sz w:val="18"/>
          <w:szCs w:val="18"/>
        </w:rPr>
      </w:pPr>
      <w:r>
        <w:rPr>
          <w:rFonts w:cs="Times New Roman" w:ascii="Times New Roman" w:hAnsi="Times New Roman"/>
          <w:sz w:val="18"/>
          <w:szCs w:val="18"/>
        </w:rPr>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284"/>
        <w:jc w:val="both"/>
        <w:rPr>
          <w:rFonts w:ascii="Times New Roman" w:hAnsi="Times New Roman" w:cs="Times New Roman"/>
          <w:sz w:val="28"/>
          <w:szCs w:val="28"/>
        </w:rPr>
      </w:pPr>
      <w:r>
        <w:rPr>
          <w:rFonts w:cs="Times New Roman" w:ascii="Times New Roman" w:hAnsi="Times New Roman"/>
          <w:sz w:val="28"/>
          <w:szCs w:val="28"/>
        </w:rPr>
        <w:t>Операційна модель проєкту ППП:</w:t>
      </w:r>
    </w:p>
    <w:p>
      <w:pPr>
        <w:pStyle w:val="ListParagraph"/>
        <w:numPr>
          <w:ilvl w:val="0"/>
          <w:numId w:val="5"/>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Прогноз доходів: оренда футбольного поля - 6 год/день × 300 днів при середньому тарифі 1 200 грн/год ‒ 2,16 млн грн/рік;</w:t>
      </w:r>
    </w:p>
    <w:p>
      <w:pPr>
        <w:pStyle w:val="ListParagraph"/>
        <w:numPr>
          <w:ilvl w:val="0"/>
          <w:numId w:val="5"/>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проведення турнірів та змагань: 0,35 млн грн/рік</w:t>
      </w:r>
    </w:p>
    <w:p>
      <w:pPr>
        <w:pStyle w:val="ListParagraph"/>
        <w:numPr>
          <w:ilvl w:val="0"/>
          <w:numId w:val="5"/>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оренда приміщень / секцій: 0,25 млн грн/рік</w:t>
      </w:r>
    </w:p>
    <w:p>
      <w:pPr>
        <w:pStyle w:val="ListParagraph"/>
        <w:numPr>
          <w:ilvl w:val="0"/>
          <w:numId w:val="5"/>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супутні доходи (реклама, ігрові автомати тощо): 0,14 млн грн/рік</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Загальний прогнозований дохід: ≈ 2,90 млн грн/рік.</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При цьому усереднені операційні витрати на експлуатацію об</w:t>
      </w:r>
      <w:r>
        <w:rPr>
          <w:rFonts w:cs="Times New Roman" w:ascii="Times New Roman" w:hAnsi="Times New Roman"/>
          <w:sz w:val="28"/>
          <w:szCs w:val="28"/>
          <w:lang w:val="en-US"/>
        </w:rPr>
        <w:t>’</w:t>
      </w:r>
      <w:r>
        <w:rPr>
          <w:rFonts w:cs="Times New Roman" w:ascii="Times New Roman" w:hAnsi="Times New Roman"/>
          <w:sz w:val="28"/>
          <w:szCs w:val="28"/>
        </w:rPr>
        <w:t>єкту ППП складають 1,5 млн грн/рік, тому чистий операційний дохід (NOI):  NOI = 2,90 – 1,50 = 1,40 млн грн/рік.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 урахуванням довгострокового характеру договору публічно-приватного партнерства  фінансово-економічна модель проєкту повинна бути сформована з використанням комбінованого підходу: більш детальний прогноз грошових потоків на період 20 років експлуатації об’єкта (що відповідає загальноприйнятій практиці оцінки інфраструктурних проєктів) та узагальнений прогноз на весь строк дії договору ППП  з метою підтвердження довгострокової фінансової стійкості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Виходячи з основних припущень, а саме: період будівництва ‒ до 3 років, початок експлуатації ‒ з 4-го року реалізації, середньорічний чистий операційний дохід (NOI) ‒ близько 1,40 млн грн, розрахунок моделі у постійних цінах (без урахування інфляції), можна стверджувати, що грошові потоки проєкту матимуть стабільний позитивний характер після введення об’єкта в експлуатацію. Таким чином буде забезпечена можливість повного повернення інвестицій та формування належного фінансового результату протягом строку дії договору ППП.</w:t>
      </w:r>
    </w:p>
    <w:p>
      <w:pPr>
        <w:pStyle w:val="Normal"/>
        <w:spacing w:before="0" w:after="0"/>
        <w:ind w:firstLine="426"/>
        <w:jc w:val="both"/>
        <w:rPr>
          <w:rFonts w:ascii="Times New Roman" w:hAnsi="Times New Roman" w:cs="Times New Roman"/>
          <w:sz w:val="28"/>
          <w:szCs w:val="28"/>
        </w:rPr>
      </w:pPr>
      <w:r>
        <w:rPr>
          <w:rFonts w:cs="Times New Roman" w:ascii="Times New Roman" w:hAnsi="Times New Roman"/>
          <w:sz w:val="28"/>
          <w:szCs w:val="28"/>
        </w:rPr>
        <w:t>Оцінка економічної ефективності проєкту здійснена із застосуванням ставки дисконту 12 %, що відповідає рівню ризиків довгострокових інфраструктурних проєктів публічно-приватного партнерства.</w:t>
      </w:r>
      <w:r>
        <w:rPr/>
        <w:t xml:space="preserve"> </w:t>
      </w:r>
      <w:r>
        <w:rPr>
          <w:rFonts w:cs="Times New Roman" w:ascii="Times New Roman" w:hAnsi="Times New Roman"/>
          <w:sz w:val="28"/>
          <w:szCs w:val="28"/>
        </w:rPr>
        <w:t>Внутрішня норма дохідності (IRR) проєкту перевищує застосовану дисконтну ставку, що свідчить про фінансову привабливість проєкту та доцільність його реалізації на умовах публічно-приватного партнерства.</w:t>
      </w:r>
    </w:p>
    <w:p>
      <w:pPr>
        <w:pStyle w:val="Normal"/>
        <w:spacing w:before="0" w:after="0"/>
        <w:ind w:firstLine="284"/>
        <w:jc w:val="both"/>
        <w:rPr>
          <w:rFonts w:ascii="Times New Roman" w:hAnsi="Times New Roman" w:cs="Times New Roman"/>
          <w:sz w:val="28"/>
          <w:szCs w:val="28"/>
        </w:rPr>
      </w:pPr>
      <w:r>
        <w:rPr>
          <w:rFonts w:cs="Times New Roman" w:ascii="Times New Roman" w:hAnsi="Times New Roman"/>
          <w:sz w:val="28"/>
          <w:szCs w:val="28"/>
        </w:rPr>
        <w:t>Основні результати аналізу:</w:t>
      </w:r>
    </w:p>
    <w:p>
      <w:pPr>
        <w:pStyle w:val="ListParagraph"/>
        <w:numPr>
          <w:ilvl w:val="0"/>
          <w:numId w:val="6"/>
        </w:numPr>
        <w:spacing w:before="0" w:after="0"/>
        <w:ind w:firstLine="360" w:left="0"/>
        <w:contextualSpacing/>
        <w:jc w:val="both"/>
        <w:rPr>
          <w:rFonts w:ascii="Times New Roman" w:hAnsi="Times New Roman" w:cs="Times New Roman"/>
          <w:sz w:val="28"/>
          <w:szCs w:val="28"/>
        </w:rPr>
      </w:pPr>
      <w:r>
        <w:rPr>
          <w:rFonts w:cs="Times New Roman" w:ascii="Times New Roman" w:hAnsi="Times New Roman"/>
          <w:sz w:val="28"/>
          <w:szCs w:val="28"/>
        </w:rPr>
        <w:t>чиста приведена вартість (NPV) проєкту має позитивне значення протягом строку дії договору ППП, що підтверджує економічну доцільність реалізації проєкту;</w:t>
      </w:r>
    </w:p>
    <w:p>
      <w:pPr>
        <w:pStyle w:val="ListParagraph"/>
        <w:numPr>
          <w:ilvl w:val="0"/>
          <w:numId w:val="6"/>
        </w:numPr>
        <w:spacing w:before="0" w:after="0"/>
        <w:ind w:firstLine="360" w:left="0"/>
        <w:contextualSpacing/>
        <w:jc w:val="both"/>
        <w:rPr>
          <w:rFonts w:ascii="Times New Roman" w:hAnsi="Times New Roman" w:cs="Times New Roman"/>
          <w:sz w:val="28"/>
          <w:szCs w:val="28"/>
        </w:rPr>
      </w:pPr>
      <w:r>
        <w:rPr>
          <w:rFonts w:cs="Times New Roman" w:ascii="Times New Roman" w:hAnsi="Times New Roman"/>
          <w:sz w:val="28"/>
          <w:szCs w:val="28"/>
        </w:rPr>
        <w:t>внутрішня норма дохідності (IRR) перевищує застосовану дисконтну ставку, що свідчить про інвестиційну привабливість проєкту;</w:t>
      </w:r>
    </w:p>
    <w:p>
      <w:pPr>
        <w:pStyle w:val="ListParagraph"/>
        <w:numPr>
          <w:ilvl w:val="0"/>
          <w:numId w:val="6"/>
        </w:numPr>
        <w:spacing w:before="0" w:after="0"/>
        <w:ind w:firstLine="360" w:left="0"/>
        <w:contextualSpacing/>
        <w:jc w:val="both"/>
        <w:rPr>
          <w:rFonts w:ascii="Times New Roman" w:hAnsi="Times New Roman" w:cs="Times New Roman"/>
          <w:sz w:val="28"/>
          <w:szCs w:val="28"/>
        </w:rPr>
      </w:pPr>
      <w:r>
        <w:rPr>
          <w:rFonts w:cs="Times New Roman" w:ascii="Times New Roman" w:hAnsi="Times New Roman"/>
          <w:sz w:val="28"/>
          <w:szCs w:val="28"/>
        </w:rPr>
        <w:t>строк окупності інвестицій: досягається у першій половині строку дії договору ППП, що є прийнятним для соціально-інфраструктурних об’єктів.</w:t>
      </w:r>
    </w:p>
    <w:p>
      <w:pPr>
        <w:pStyle w:val="ListParagraph"/>
        <w:numPr>
          <w:ilvl w:val="0"/>
          <w:numId w:val="6"/>
        </w:numPr>
        <w:spacing w:before="0" w:after="0"/>
        <w:ind w:firstLine="502" w:left="-142"/>
        <w:contextualSpacing/>
        <w:jc w:val="both"/>
        <w:rPr>
          <w:rFonts w:ascii="Times New Roman" w:hAnsi="Times New Roman" w:cs="Times New Roman"/>
          <w:sz w:val="28"/>
          <w:szCs w:val="28"/>
        </w:rPr>
      </w:pPr>
      <w:r>
        <w:rPr>
          <w:rFonts w:cs="Times New Roman" w:ascii="Times New Roman" w:hAnsi="Times New Roman"/>
          <w:sz w:val="28"/>
          <w:szCs w:val="28"/>
        </w:rPr>
        <w:t>тривалий строк договору ППП знижує інвестиційні ризики приватного партнера, дозволяє рівномірно розподілити витрати на утримання та оновлення об’єкта і забезпечує довгострокову фінансову стабільність проєкту.</w:t>
      </w:r>
    </w:p>
    <w:p>
      <w:pPr>
        <w:pStyle w:val="ListParagraph"/>
        <w:spacing w:before="0" w:after="0"/>
        <w:ind w:firstLine="720" w:left="0"/>
        <w:contextualSpacing/>
        <w:jc w:val="both"/>
        <w:rPr>
          <w:rFonts w:ascii="Times New Roman" w:hAnsi="Times New Roman" w:cs="Times New Roman"/>
          <w:sz w:val="28"/>
          <w:szCs w:val="28"/>
        </w:rPr>
      </w:pPr>
      <w:r>
        <w:rPr>
          <w:rFonts w:cs="Times New Roman" w:ascii="Times New Roman" w:hAnsi="Times New Roman"/>
          <w:sz w:val="28"/>
          <w:szCs w:val="28"/>
        </w:rPr>
        <w:t>Аналізуючи чутливість та довгострокові ризики проєкту ППП можна стверджувати, що проєкт залишається фінансово життєздатним також за умов зменшення доходів до 10 –15 %, збільшення операційних витрат до 20 % та при проведенні періодичного капітального оновлення окремих елементів об’єкта (зокрема штучного покриття поля). Довгостроковий строк договору ППП дозволяє компенсувати циклічні витрати на капітальні ремонти, адаптувати тарифну політику до ринкових умов, забезпечити стабільне функціонування об’єкта без додаткового бюджетного фінансування.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Виходячи з зазначеного вище, встановлено, що реалізація проєкту публічно-приватного партнерства зі тривалим строком договору 49 є економічно доцільною, не потребує залучення коштів бюджету громади, забезпечує повне повернення інвестицій приватного партнера, створює умови для довгострокової експлуатації та розвитку об’єкта, відповідає принципам ефективності, стабільності та сталого розвитку.</w:t>
      </w:r>
    </w:p>
    <w:p>
      <w:pPr>
        <w:pStyle w:val="Normal"/>
        <w:spacing w:before="0" w:after="0"/>
        <w:ind w:firstLine="567"/>
        <w:jc w:val="both"/>
        <w:rPr>
          <w:rFonts w:ascii="Times New Roman" w:hAnsi="Times New Roman" w:cs="Times New Roman"/>
          <w:sz w:val="28"/>
          <w:szCs w:val="28"/>
          <w:lang w:val="en-US"/>
        </w:rPr>
      </w:pPr>
      <w:r>
        <w:rPr>
          <w:rFonts w:cs="Times New Roman" w:ascii="Times New Roman" w:hAnsi="Times New Roman"/>
          <w:sz w:val="28"/>
          <w:szCs w:val="28"/>
        </w:rPr>
        <w:t>Тривалий строк дії договору ППП є ключовим фактором, який забезпечує баланс інтересів територіальної громади та приватного партнера, зменшує фінансові ризики та підвищує інвестиційну привабливість проєкту.</w:t>
      </w:r>
    </w:p>
    <w:p>
      <w:pPr>
        <w:pStyle w:val="Normal"/>
        <w:spacing w:before="0" w:after="0"/>
        <w:ind w:firstLine="567"/>
        <w:jc w:val="both"/>
        <w:rPr>
          <w:rFonts w:ascii="Times New Roman" w:hAnsi="Times New Roman" w:cs="Times New Roman"/>
          <w:sz w:val="28"/>
          <w:szCs w:val="28"/>
          <w:lang w:val="en-US"/>
        </w:rPr>
      </w:pPr>
      <w:r>
        <w:rPr>
          <w:rFonts w:cs="Times New Roman" w:ascii="Times New Roman" w:hAnsi="Times New Roman"/>
          <w:sz w:val="28"/>
          <w:szCs w:val="28"/>
          <w:lang w:val="en-US"/>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r>
    </w:p>
    <w:p>
      <w:pPr>
        <w:pStyle w:val="Normal"/>
        <w:spacing w:before="0" w:after="0"/>
        <w:ind w:firstLine="567"/>
        <w:jc w:val="both"/>
        <w:rPr>
          <w:rFonts w:ascii="Times New Roman" w:hAnsi="Times New Roman" w:cs="Times New Roman"/>
          <w:b/>
          <w:bCs/>
          <w:sz w:val="28"/>
          <w:szCs w:val="28"/>
          <w:lang w:val="en-US"/>
        </w:rPr>
      </w:pPr>
      <w:r>
        <w:rPr>
          <w:rFonts w:cs="Times New Roman" w:ascii="Times New Roman" w:hAnsi="Times New Roman"/>
          <w:b/>
          <w:bCs/>
          <w:sz w:val="28"/>
          <w:szCs w:val="28"/>
        </w:rPr>
        <w:t>8</w:t>
      </w:r>
      <w:r>
        <w:rPr>
          <w:rFonts w:cs="Times New Roman" w:ascii="Times New Roman" w:hAnsi="Times New Roman"/>
          <w:b/>
          <w:bCs/>
          <w:sz w:val="28"/>
          <w:szCs w:val="28"/>
          <w:lang w:val="en-US"/>
        </w:rPr>
        <w:t>.</w:t>
      </w:r>
      <w:r>
        <w:rPr>
          <w:rFonts w:cs="Times New Roman" w:ascii="Times New Roman" w:hAnsi="Times New Roman"/>
          <w:b/>
          <w:bCs/>
          <w:sz w:val="28"/>
          <w:szCs w:val="28"/>
        </w:rPr>
        <w:t> </w:t>
      </w:r>
      <w:r>
        <w:rPr>
          <w:rFonts w:cs="Times New Roman" w:ascii="Times New Roman" w:hAnsi="Times New Roman"/>
          <w:b/>
          <w:bCs/>
          <w:sz w:val="28"/>
          <w:szCs w:val="28"/>
          <w:lang w:val="en-US"/>
        </w:rPr>
        <w:t>Орієнтовний строк реалізації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Орієнтовний строк реалізації проєкту публічно-приватного партнерства визначається з урахуванням характеру об’єкта спортивної інфраструктури, обсягу інвестицій, технологічних особливостей будівництва, а також необхідності забезпечення довгострокової експлуатації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Cтрок реалізації проєкту становить до 49 років та включає: підготовчий етап, проєктування та будівництво, етап введення об’єкта в експлуатацію, довгострокова експлуатація та утримання об’єкта, завершальний етап (передача об’єкта після закінчення договору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Тривалий строк експлуатації об’єкта обумовлений значним обсягом початкових інвестицій приватного партнера, необхідністю забезпечення повернення інвестицій та отримання прийнятного фінансового результату, довгостроковим характером використання об’єкта спортивної інфраструктури, можливістю поетапного оновлення та модернізації окремих елементів об’єкта протягом строку дії договору ППП, зниженням фінансових та операційних ризиків для приватного партнера. Такий строк відповідає практиці реалізації інфраструктурних проєктів у формі публічно-приватного партнерства та забезпечує баланс інтересів публічного і приватного партнерів.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Орієнтовна тривалість основних етапів: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 Підготовчий етап ‒ до 12 місяців (ухвалення необхідних рішень, розроблення та погодження проєктної документації, проходження експертиз, підготовка земельної ділянки).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2. Проєктування та будівництво об’єкта ‒ до 24 місяців (будівництво футбольного поля зі штучним покриттям, зон для розминки, трибун, адміністративно-побутових приміщень, інженерних мереж, благоустрій території).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 Введення об’єкта в експлуатацію ‒ до 3 місяців (завершення будівельних робіт, отримання дозвільних документів, прийняття об’єкта в експлуатацію).</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4. Експлуатація об’єкта ‒ до 46 років (надання спортивних та супутніх послуг, утримання об’єкта, поточні та</w:t>
      </w:r>
      <w:r>
        <w:rPr>
          <w:rFonts w:cs="Times New Roman" w:ascii="Times New Roman" w:hAnsi="Times New Roman"/>
          <w:sz w:val="28"/>
          <w:szCs w:val="28"/>
          <w:lang w:val="en-US"/>
        </w:rPr>
        <w:t xml:space="preserve"> </w:t>
      </w:r>
      <w:r>
        <w:rPr>
          <w:rFonts w:cs="Times New Roman" w:ascii="Times New Roman" w:hAnsi="Times New Roman"/>
          <w:sz w:val="28"/>
          <w:szCs w:val="28"/>
        </w:rPr>
        <w:t>капітальні ремонти, оновлення інфраструктури).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Строк реалізації проєкту публічно-приватного партнерства у 49 років є економічно та технічно обґрунтованим, відповідає цілям проєкту, забезпечує стабільну експлуатацію об’єкта та створює умови для ефективного залучення приватних інвестицій без додаткового навантаження на бюджет територіальної громади.</w:t>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 xml:space="preserve">9. </w:t>
      </w:r>
      <w:bookmarkStart w:id="4" w:name="_Hlk218238508"/>
      <w:r>
        <w:rPr>
          <w:rFonts w:cs="Times New Roman" w:ascii="Times New Roman" w:hAnsi="Times New Roman"/>
          <w:b/>
          <w:bCs/>
          <w:sz w:val="28"/>
          <w:szCs w:val="28"/>
        </w:rPr>
        <w:t>Визначення джерел фінансування, обсягів витрат для подальшого утримання та використання майна і розподіл ризиків між партнерами</w:t>
      </w:r>
      <w:bookmarkEnd w:id="4"/>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Фінансування проєкту публічно-приватного партнерства здійснюється відповідно до вимог Закону України «Про публічно-приватне партнерство» та умов договору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Основні джерела фінансування: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кошти приватного партнера ‒ як основне джерело фінансування капітальних інвестицій у створення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залучені фінансові ресурси приватного партнера (за потреби), включно з банківським фінансуванням та іншими не забороненими законодавством джерелами;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доходи від експлуатації об’єкта, які спрямовуються на покриття операційних витрат, утримання об’єкта та повернення інвестицій.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Реалізація проєкту не передбачає залучення коштів державного чи місцевих бюджетів на етапах будівництва та експлуатації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Витрати на подальше утримання та використання майна складаються з поточних (утримання футбольного поля зі штучним покриттям, оплата комунальних послуг (електропостачання, водопостачання, водовідведення), утримання персоналу та адміністративне управління, забезпечення безпеки, охорони та громадського порядку, поточні ремонти та технічне обслуговування, утримання інженерних мереж та систем оповіщення) та довгострокових (капітальні оновлення, заміна або оновлення штучного покриття футбольного поля, модернізація систем освітлення та інженерних мереж, капітальні ремонти адміністративно-побутових приміщень, оновлення елементів благоустрою та трибун).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Зазначені витрати планується покривати за рахунок доходів від експлуатації об’єкта та фінансових ресурсів приватного партнера без залучення бюджетних коштів.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Розподіл ризиків у межах проєкту публічно-приватного партнерства здійснюється відповідно до принципу передачі ризиків тій стороні, яка має кращі можливості для їх управління.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 ризиків, які покладаються на приватного партнера, належать: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інвестиційний ризик (перевищення вартості будівництва, зростання цін на матеріали);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будівельний ризик (порушення строків будівництва, дефекти виконання робіт);</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операційний ризик (збільшення витрат на експлуатацію, знос обладнання);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ризик попиту (недоотримання запланованих доходів);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фінансовий ризик (зміна умов фінансування, процентних ставок);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ризик утримання та оновлення об’єкта протягом строку дії договору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Публічний партнер бере на себе:</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регуляторний ризик, пов’язаний зі змінами у нормативно-правовому регулюванні, що безпосередньо впливають на виконання договору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ризик прийняття управлінських рішень, необхідних для реалізації проєкту в межах повноважень органу місцевого самоврядування.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Сторони спільно несуть ризики, пов’язані з:</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форс-мажорними обставинами;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надзвичайними ситуаціями;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суттєвими змінами макроекономічних умов, які не можуть бути передбачені на момент укладення договору.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Порядок розподілу таких ризиків та механізми компенсації визначаються договором публічно-приватного партнерства.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чином, запропонована модель фінансування та розподілу ризиків забезпечує мінімізацію фінансового навантаження на бюджет територіальної громади, передачу основних інвестиційних та операційних ризиків приватному партнеру, довгострокову фінансову стабільність проєкту, баланс інтересів публічного та приватного партнерів.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 xml:space="preserve">10. </w:t>
      </w:r>
      <w:bookmarkStart w:id="5" w:name="_Hlk218238547"/>
      <w:r>
        <w:rPr>
          <w:rFonts w:cs="Times New Roman" w:ascii="Times New Roman" w:hAnsi="Times New Roman"/>
          <w:b/>
          <w:bCs/>
          <w:sz w:val="28"/>
          <w:szCs w:val="28"/>
        </w:rPr>
        <w:t>Загальна характеристика ринку спортивних послуг</w:t>
      </w:r>
      <w:bookmarkEnd w:id="5"/>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Ринок спортивних та фізкультурно-оздоровчих послуг в Україні демонструє стійку тенденцію до зростання, зокрема у сегменті організованих занять спортом, дитячо-юнацького спорту, аматорських ліг та комерційних спортивних послуг.</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Попит на спортивну інфраструктуру формується під впливом таких факторів: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зростання суспільної уваги до здорового способу життя;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розвитку масового та дитячо-юнацького спорту;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підтримки спорту з боку держави та органів місцевого самоврядування;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обмеженої кількості сучасних спортивних об’єктів, доступних для регулярного використання.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У більшості територіальних громад наявні спортивні об’єкти морально та фізично застарілі, не відповідають сучасним вимогам безпеки та/або доступності, мають обмежений режим використання або сезонний характер. Наявна інфраструктура не покриває фактичний попит з боку дитячо-юнацьких спортивних шкіл, аматорських спортивних команд, приватних спортивних клубів, закладів освіти, організаторів турнірів і змагань тощо.</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Це створює структурний дефіцит якісних спортивних майданчиків із можливістю регулярної експлуатації.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Згадані вище потенційні користувачі послуг об’єктів спортивної інфраструктури формують регулярний і прогнозований попит. Такий попит на спортивні послуги має платоспроможний характер, що підтверджується поширеною практикою платної оренди спортивних майданчиків, стабільною діяльністю приватних спортивних клубів і секцій, готовністю користувачів оплачувати послуги сучасної, якісної та безпечної інфраструктури, наявністю регулярних витрат домогосподарств на заняття спортом.</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Рівень тарифів, передбачений фінансовою моделлю проєкту, відповідає середньоринковим показникам та не створює бар’єрів для попиту.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Попит на спортивні послуги має довгостроковий характер, що зумовлено постійною потребою у спортивній інфраструктурі для навчального процесу та тренувань, зростанням кількості організованих спортивних заходів, розвитком масового спорту та аматорських ліг, неможливістю повної заміни фізичної спортивної інфраструктури альтернативними форматами.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У довгостроковій перспективі також очікується збереження стабільного попиту на послуги об’єкта ППП. Прогноз попиту сформуємо з урахуванням таких базових припущень: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об’єкт ‒ стадіон зі штучним покриттям та освітленням;</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можливість експлуатації протягом усього року;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середня тривалість одного сеансу оренди ‒ 1 година;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режим роботи ‒ до 12 годин на добу;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експлуатація ‒ 300 днів на рік (з урахуванням технічних перерв).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Максимально можлива кількість годин 12 год/день × 300 днів = 3 600 годин/рік. Це технічний максимум, який не використовується повністю в прогнозах.</w:t>
      </w:r>
      <w:r>
        <w:rPr/>
        <w:t xml:space="preserve"> </w:t>
      </w:r>
      <w:r>
        <w:rPr>
          <w:rFonts w:cs="Times New Roman" w:ascii="Times New Roman" w:hAnsi="Times New Roman"/>
          <w:sz w:val="28"/>
          <w:szCs w:val="28"/>
        </w:rPr>
        <w:t xml:space="preserve">Для базового сценарію застосовується коефіцієнт завантаженості 50 –60 %, що відповідає практиці експлуатації подібних об’єктів. Фактична кількість платних годин: 3 600 × 50 % = 1 800 годин/рік.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center"/>
        <w:rPr>
          <w:rFonts w:ascii="Times New Roman" w:hAnsi="Times New Roman" w:cs="Times New Roman"/>
          <w:sz w:val="28"/>
          <w:szCs w:val="28"/>
        </w:rPr>
      </w:pPr>
      <w:r>
        <w:rPr>
          <w:rFonts w:cs="Times New Roman" w:ascii="Times New Roman" w:hAnsi="Times New Roman"/>
          <w:sz w:val="28"/>
          <w:szCs w:val="28"/>
        </w:rPr>
        <w:t xml:space="preserve">Структура попиту за категоріями користувачів </w:t>
      </w:r>
    </w:p>
    <w:p>
      <w:pPr>
        <w:pStyle w:val="Normal"/>
        <w:spacing w:before="0" w:after="0"/>
        <w:ind w:firstLine="567"/>
        <w:jc w:val="right"/>
        <w:rPr>
          <w:rFonts w:ascii="Times New Roman" w:hAnsi="Times New Roman" w:cs="Times New Roman"/>
          <w:sz w:val="24"/>
          <w:szCs w:val="24"/>
        </w:rPr>
      </w:pPr>
      <w:r>
        <w:rPr>
          <w:rFonts w:cs="Times New Roman" w:ascii="Times New Roman" w:hAnsi="Times New Roman"/>
          <w:sz w:val="24"/>
          <w:szCs w:val="24"/>
        </w:rPr>
        <w:t>Таблиця 10.1</w:t>
      </w:r>
    </w:p>
    <w:tbl>
      <w:tblPr>
        <w:tblStyle w:val="a8"/>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209"/>
        <w:gridCol w:w="3203"/>
        <w:gridCol w:w="3506"/>
      </w:tblGrid>
      <w:tr>
        <w:trPr/>
        <w:tc>
          <w:tcPr>
            <w:tcW w:w="3209"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Категорія</w:t>
            </w:r>
          </w:p>
        </w:tc>
        <w:tc>
          <w:tcPr>
            <w:tcW w:w="3203"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Частка</w:t>
            </w:r>
          </w:p>
        </w:tc>
        <w:tc>
          <w:tcPr>
            <w:tcW w:w="3506"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Годин/рік</w:t>
            </w:r>
          </w:p>
        </w:tc>
      </w:tr>
      <w:tr>
        <w:trPr/>
        <w:tc>
          <w:tcPr>
            <w:tcW w:w="3209"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ДЮСШ, секції</w:t>
            </w:r>
          </w:p>
        </w:tc>
        <w:tc>
          <w:tcPr>
            <w:tcW w:w="320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30%</w:t>
            </w:r>
          </w:p>
        </w:tc>
        <w:tc>
          <w:tcPr>
            <w:tcW w:w="3506"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540</w:t>
            </w:r>
          </w:p>
        </w:tc>
      </w:tr>
      <w:tr>
        <w:trPr/>
        <w:tc>
          <w:tcPr>
            <w:tcW w:w="3209"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Аматорські команди</w:t>
            </w:r>
          </w:p>
        </w:tc>
        <w:tc>
          <w:tcPr>
            <w:tcW w:w="320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35%</w:t>
            </w:r>
          </w:p>
        </w:tc>
        <w:tc>
          <w:tcPr>
            <w:tcW w:w="3506"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630</w:t>
            </w:r>
          </w:p>
        </w:tc>
      </w:tr>
      <w:tr>
        <w:trPr/>
        <w:tc>
          <w:tcPr>
            <w:tcW w:w="3209"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Приватні клуби</w:t>
            </w:r>
          </w:p>
        </w:tc>
        <w:tc>
          <w:tcPr>
            <w:tcW w:w="320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20%</w:t>
            </w:r>
          </w:p>
        </w:tc>
        <w:tc>
          <w:tcPr>
            <w:tcW w:w="3506"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360</w:t>
            </w:r>
          </w:p>
        </w:tc>
      </w:tr>
      <w:tr>
        <w:trPr/>
        <w:tc>
          <w:tcPr>
            <w:tcW w:w="3209"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Турніри та заходи</w:t>
            </w:r>
          </w:p>
        </w:tc>
        <w:tc>
          <w:tcPr>
            <w:tcW w:w="320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10%</w:t>
            </w:r>
          </w:p>
        </w:tc>
        <w:tc>
          <w:tcPr>
            <w:tcW w:w="3506"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180</w:t>
            </w:r>
          </w:p>
        </w:tc>
      </w:tr>
      <w:tr>
        <w:trPr/>
        <w:tc>
          <w:tcPr>
            <w:tcW w:w="3209"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Індивідуальні користувачі</w:t>
            </w:r>
          </w:p>
        </w:tc>
        <w:tc>
          <w:tcPr>
            <w:tcW w:w="320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5%</w:t>
            </w:r>
          </w:p>
        </w:tc>
        <w:tc>
          <w:tcPr>
            <w:tcW w:w="3506"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90</w:t>
            </w:r>
          </w:p>
        </w:tc>
      </w:tr>
      <w:tr>
        <w:trPr/>
        <w:tc>
          <w:tcPr>
            <w:tcW w:w="3209" w:type="dxa"/>
            <w:tcBorders/>
          </w:tcPr>
          <w:p>
            <w:pPr>
              <w:pStyle w:val="Normal"/>
              <w:widowControl/>
              <w:suppressAutoHyphens w:val="true"/>
              <w:spacing w:lineRule="auto" w:line="240" w:before="0" w:after="0"/>
              <w:jc w:val="both"/>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Разом</w:t>
            </w:r>
          </w:p>
        </w:tc>
        <w:tc>
          <w:tcPr>
            <w:tcW w:w="3203"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100%</w:t>
            </w:r>
          </w:p>
        </w:tc>
        <w:tc>
          <w:tcPr>
            <w:tcW w:w="3506"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1 800</w:t>
            </w:r>
          </w:p>
        </w:tc>
      </w:tr>
    </w:tbl>
    <w:p>
      <w:pPr>
        <w:pStyle w:val="Normal"/>
        <w:spacing w:before="0" w:after="0"/>
        <w:ind w:firstLine="567"/>
        <w:jc w:val="both"/>
        <w:rPr>
          <w:rFonts w:ascii="Times New Roman" w:hAnsi="Times New Roman" w:cs="Times New Roman"/>
          <w:sz w:val="18"/>
          <w:szCs w:val="18"/>
        </w:rPr>
      </w:pPr>
      <w:r>
        <w:rPr>
          <w:rFonts w:cs="Times New Roman" w:ascii="Times New Roman" w:hAnsi="Times New Roman"/>
          <w:sz w:val="18"/>
          <w:szCs w:val="1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Достатньо консервативний сценарій завантаження (1 рік – 45%, 2 рік – 55%, 3 рік і далі – 60%) вказують на те, що попит зберігатиме стійкість та платоспроможність, доходи будуть прогнозованими.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Стосовно конкурентного середовища варто зазначити, що ринок спортивних послуг у громаді характеризується обмеженою кількістю альтернативних об’єктів із сучасним покриттям та освітленням, високим рівнем завантаженості наявних майданчиків, відсутністю достатньої кількості об’єктів, доступних для комерційного використання на постійній основі.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чином, реалізація проєкту не призведе до надмірної конкуренції, а навпаки ‒ компенсує дефіцит спортивної інфраструктури.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Виходячи з вищезазначеного, стверджуємо що реалізація проєкту публічно-приватного партнерства відповідає потребам ринку та створює умови для стабільної експлуатації об’єкта протягом усього строку дії договору.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11</w:t>
      </w:r>
      <w:bookmarkStart w:id="6" w:name="_Hlk218238581"/>
      <w:r>
        <w:rPr>
          <w:rFonts w:cs="Times New Roman" w:ascii="Times New Roman" w:hAnsi="Times New Roman"/>
          <w:b/>
          <w:bCs/>
          <w:sz w:val="28"/>
          <w:szCs w:val="28"/>
        </w:rPr>
        <w:t>. Обґрунтування доцільності здійснення публічно-приватного партнерства</w:t>
      </w:r>
      <w:bookmarkEnd w:id="6"/>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11.1.</w:t>
        <w:tab/>
        <w:t>Аналіз можливих варіантів розв’язання проблеми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 метою визначення оптимального способу реалізації проєкту «Будівництво та експлуатація стадіону з штучним покриттям за адресою м. Луцьк, вул. Теремнівська, 40-г», з метою розвитку спортивної інфраструктури громади,  проведено попередній аналіз кількох альтернативних варіантів розв’язання проблеми.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Порівняння варіантів здійснювалося за критеріями: фінансова доцільність, строки реалізації, рівень участі громади, ефективність використання майна, соціальний ефект та сталість результату.</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Варіант 1 ‒ Реалізація проєкту виключно за кошти місцевого бюджету</w:t>
      </w:r>
    </w:p>
    <w:p>
      <w:pPr>
        <w:pStyle w:val="Normal"/>
        <w:spacing w:before="0" w:after="0"/>
        <w:ind w:firstLine="567"/>
        <w:jc w:val="both"/>
        <w:rPr>
          <w:rFonts w:ascii="Times New Roman" w:hAnsi="Times New Roman" w:cs="Times New Roman"/>
          <w:color w:val="FF0000"/>
          <w:sz w:val="28"/>
          <w:szCs w:val="28"/>
        </w:rPr>
      </w:pPr>
      <w:r>
        <w:rPr>
          <w:rFonts w:cs="Times New Roman" w:ascii="Times New Roman" w:hAnsi="Times New Roman"/>
          <w:sz w:val="28"/>
          <w:szCs w:val="28"/>
        </w:rPr>
        <w:t xml:space="preserve">Характеристика варіанту: будівництво та утримання об’єкта за кошти бюджету громади, управління об’єктом комунальним підприємством або департаментом молоді та спорту, фінансування капітальних і поточних витрат  з бюджету (інвестиційні витрати 15-20 млн грн, щорічні витрати 1,5 млн грн, додаткові капітальні витрати).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При розгляді варіанту реалізації проєкту за рахунок коштів місцевого бюджету додатково необхідно враховувати ряд суто нормативно-правових обмежень та правових режимів, які істотно впливають на його ефективність.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Відповідно до чинного законодавства України комунальні установи та заклади створюються органами місцевого самоврядування для виконання соціальних, культурних, освітніх, спортивних та інших публічних функцій і не є суб’єктами підприємницької діяльності у загальному розумінні господарського законодавства. При цьому вони не можуть вільно встановлювати тарифи на послуги, так як їх діяльність регулюється відповідними постановами Кабміну та місцевими програмами, а підприємницька діяльність обмежена, здійснення комерційних операцій потребує проходження процедур закупівель відповідно до Закону України «Про публічні закупівлі», частина доходів має спрямовуватися на власне утримання, а не повністю реінвестуватися у розвиток.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Комунальні заклади, якщо мають право надання платних послуг, то зустрічаються з законодавчими та процедурними обмеженнями: тарифи повинні бути узгоджені з власником (ОМС), не можуть швидко змінюватися відповідно до кон</w:t>
      </w:r>
      <w:r>
        <w:rPr>
          <w:rFonts w:cs="Times New Roman" w:ascii="Times New Roman" w:hAnsi="Times New Roman"/>
          <w:sz w:val="28"/>
          <w:szCs w:val="28"/>
          <w:lang w:val="en-US"/>
        </w:rPr>
        <w:t>’</w:t>
      </w:r>
      <w:r>
        <w:rPr>
          <w:rFonts w:cs="Times New Roman" w:ascii="Times New Roman" w:hAnsi="Times New Roman"/>
          <w:sz w:val="28"/>
          <w:szCs w:val="28"/>
        </w:rPr>
        <w:t xml:space="preserve">юнктури ринку,  підпадають під регулювання нормами антимонопольного законодавства.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В умовах бюджетної моделі це не створює можливості для комунального закладу максимізувати дохід та отримати фінансову незалежність.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Переваги варіанту: повний контроль за плануванням і використанням об’єкта з боку громади; гарантія суспільного характеру використання стадіону.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Недоліки варіанту: відсутність необхідних коштів у бюджеті громади (приблизна вартість проєкту ‒ 15-20 млн грн без витрат на обслуговування та експлуатацію); значне навантаження на місцеві фінанси в умовах пріоритетного фінансування інших сфер (освіта, медицина, оборона); ризики затягування строків будівництва через бюджетні обмеження; відсутність гнучких механізмів залучення досвіду приватного сектора в управлінні спортивними об’єктами.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Висновок: варіант економічно малоефективний і не відповідає фінансовим можливостям громади у короткостроковій перспективі та обмежує можливості в довгостроковій перспективі.</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Варіант 2 ‒ Реалізація проєкту шляхом залучення грантів або міжнародної технічної допомоги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Характеристика варіанту: пошук донорського фінансування (ЄС, ПРООН, фонди розвитку спорту тощо) для будівництва або реконструкції спортивного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Реалізація проєкту зі створення та експлуатації стадіону зі штучним покриттям теоретично можлива шляхом залучення коштів міжнародних донорських організацій, грантових програм або міжнародної технічної допомоги (МТД). Проте детальний аналіз умов такого фінансування свідчить про суттєві обмеження та ризики, які роблять цей варіант малопридатним для досягнення цілей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Грантові програми та МТД, як правило мають обмежені обсяги фінансування, які рідко покривають повну вартість інфраструктурних об’єктів середнього масштабу. В більшості випадків МТД фінансує окремі компоненти проєкту (проєктування, закупівля обладнання тощо), але не повний життєвий цикл об’єкта. Грантові програми не гарантують фінансування експлуатаційних витрат після завершення проєкту. У випадку стадіону зі штучним покриттям це означає, що навіть у разі отримання гранту  виникає потреба додаткового бюджетного фінансування для завершення будівництва та подальшого утримання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Процеси отримання грантів або МТД характеризуються високою конкуренцією між громадами та організаціями, тривалими строками розгляду заявок, відсутністю гарантій отримання фінансування навіть за умови підготовки якісної проєктної документації. Таким чином, реалізація проєкту у значній мірі залежить від зовнішніх факторів, які не контролюються органами місцевого самоврядування, що ускладнює планування строків реалізації.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Грантові та донорські програми, як правило, передбачають жорсткі умови та терміни використання коштів, заборону або істотні обмеження на здійснення комерційної діяльності на об’єкті, вимогу забезпечення безоплатного або пільгового доступу до об’єкта протягом визначеного періоду. У контексті цього проєкту це означає, що стадіон не зможе функціонувати як економічно самодостатній об’єкт, не генеруватиме стабільні доходи для покриття витрат на утримання, потребуватиме постійної фінансової підтримки з бюджету.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Більшість грантових програм орієнтовані на коротко- або середньострокові проєкти (2–5 років) та досягнення соціального ефекту у визначений період. При цьому довгострокове утримання та модернізація об’єкта (10–30 років і більше) не є предметом відповідальності донора. Відповідальність за фізичний стан та матеріально-технічне забезпечення об’єкта після завершення гранту повністю покладається на громаду.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Крім того, реалізація проєктів МТД супроводжується складними процедурами звітності, необхідністю погодження змін у проєкті з донором, обмеженою можливістю адаптації об’єкта до змін ринкового попиту. Це суттєво знижує операційну гнучкість управління спортивним об’єктом у довгостроковій перспективі.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Переваги варіанту: можливість отримання безповоротної фінансової допомоги; соціальна складова проєкту відповідає пріоритетам міжнародних донорів (спорт, інклюзія, розвиток громад).</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Недоліки: тривалий процес підготовки заявок, що включає в себе витрати на розробку технічної документації та проектування при відсутності гарантії отримання фінансування; обмеження у виборі технічних рішень; в переважній більшості випадків вимоги співфінансування з бюджету громади; ризики втрати актуальності проєкту через затягування строків розгляду донорських програм; обмеження можливості комерційного використання стадіону.</w:t>
      </w:r>
    </w:p>
    <w:p>
      <w:pPr>
        <w:pStyle w:val="Normal"/>
        <w:spacing w:before="0" w:after="0"/>
        <w:ind w:firstLine="567"/>
        <w:jc w:val="both"/>
        <w:rPr>
          <w:rFonts w:ascii="Times New Roman" w:hAnsi="Times New Roman" w:cs="Times New Roman"/>
          <w:sz w:val="28"/>
          <w:szCs w:val="28"/>
          <w:lang w:val="en-US"/>
        </w:rPr>
      </w:pPr>
      <w:r>
        <w:rPr>
          <w:rFonts w:cs="Times New Roman" w:ascii="Times New Roman" w:hAnsi="Times New Roman"/>
          <w:sz w:val="28"/>
          <w:szCs w:val="28"/>
        </w:rPr>
        <w:t>Висновок: варіант має потенціал лише як додаткове або допоміжне джерело фінансування, але не може бути основним механізмом реалізації проєкту.</w:t>
      </w:r>
    </w:p>
    <w:p>
      <w:pPr>
        <w:pStyle w:val="Normal"/>
        <w:spacing w:before="0" w:after="0"/>
        <w:ind w:firstLine="567"/>
        <w:jc w:val="both"/>
        <w:rPr>
          <w:rFonts w:ascii="Times New Roman" w:hAnsi="Times New Roman" w:cs="Times New Roman"/>
          <w:i/>
          <w:i/>
          <w:iCs/>
          <w:sz w:val="28"/>
          <w:szCs w:val="28"/>
          <w:lang w:val="en-US"/>
        </w:rPr>
      </w:pPr>
      <w:r>
        <w:rPr>
          <w:rFonts w:cs="Times New Roman" w:ascii="Times New Roman" w:hAnsi="Times New Roman"/>
          <w:i/>
          <w:iCs/>
          <w:sz w:val="28"/>
          <w:szCs w:val="28"/>
          <w:lang w:val="en-US"/>
        </w:rPr>
      </w:r>
    </w:p>
    <w:p>
      <w:pPr>
        <w:pStyle w:val="Normal"/>
        <w:spacing w:before="0" w:after="0"/>
        <w:ind w:firstLine="567"/>
        <w:jc w:val="both"/>
        <w:rPr>
          <w:rFonts w:ascii="Times New Roman" w:hAnsi="Times New Roman" w:cs="Times New Roman"/>
          <w:i/>
          <w:i/>
          <w:iCs/>
          <w:sz w:val="28"/>
          <w:szCs w:val="28"/>
          <w:lang w:val="en-US"/>
        </w:rPr>
      </w:pPr>
      <w:r>
        <w:rPr>
          <w:rFonts w:cs="Times New Roman" w:ascii="Times New Roman" w:hAnsi="Times New Roman"/>
          <w:i/>
          <w:iCs/>
          <w:sz w:val="28"/>
          <w:szCs w:val="28"/>
          <w:lang w:val="en-US"/>
        </w:rPr>
        <w:t>Варіант 3. Реалізація проєкту у форматі публічно-приватного партнерства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Характеристика варіанту: будівництво об’єкта здійснюється приватним партнером за власні кошти (100 % фінансування), із подальшим використанням об’єкта відповідно до умов договору про ППП, який визначає баланс між суспільним і комерційним інтересом; витрати на утримання та експлуатацію стадіону повністю належать приватному партнеру; здійснюється постійний публічний контроль за виконанням умов договору.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Статтею 3 Закону України 4510-IX «Про публічно-приватне партнерство»  визначено ознаки та основні принципи здійснення публічно-приватного партнерства, зокрема: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 внесення приватним партнером інвестицій, забезпечення приватним партнером повного або часткового фінансування, створення та/або будівництво (нове будівництво, реконструкція, реставрація, капітальний ремонт, технічне переоснащення) і технічне обслуговування об’єкта ППП, з передачею або без передачі приватному партнеру права на управління та/або експлуатацію об’єкта ППП та/або права на надання суспільно значущих послуг;</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2) довготривалість строку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 передача приватному партнеру частини ризиків, що пов’язані із забезпеченням приватним партнером повного або часткового фінансування, створення та/або будівництва (нове будівництво, реконструкція, реставрація, капітальний ремонт, технічне переоснащення) і технічного обслуговування та/або управління, та/або експлуатації об’єкта ППП, та інших ризиків, що виникають під час реалізації проекту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 розділі 8 подані об</w:t>
      </w:r>
      <w:r>
        <w:rPr>
          <w:rFonts w:cs="Times New Roman" w:ascii="Times New Roman" w:hAnsi="Times New Roman"/>
          <w:sz w:val="28"/>
          <w:szCs w:val="28"/>
          <w:lang w:val="en-US"/>
        </w:rPr>
        <w:t>’</w:t>
      </w:r>
      <w:r>
        <w:rPr>
          <w:rFonts w:cs="Times New Roman" w:ascii="Times New Roman" w:hAnsi="Times New Roman"/>
          <w:sz w:val="28"/>
          <w:szCs w:val="28"/>
        </w:rPr>
        <w:t xml:space="preserve">єм та структура інвестицій, графік інвестування, операційна модель та оцінка економічної ефективності проєкту ППП, також в розділі 10 описаний розподіл ризиків між партнерами у випадку реалізації ППП.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Проведений аналіз вказує на переваги та недоліки реалізації проєкту у формі приватно-публічного партнерства.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Переваги: відсутність бюджетних витрат на будівництво; розподіл ризиків між сторонами (будівельних, фінансових, експлуатаційних); забезпечення суспільного доступу до об’єкта, встановленого договором; використання досвіду та інновацій приватного партнера; можливість реалізації проєкту у стислі строки (2–3 роки); стимулювання залучення нових інвестицій у громаду.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Недоліки: потреба у підготовці якісної конкурсної документації, в порівнянні з іншими варіантами; необхідність контролю за дотриманням умов договору протягом усього строку партнерства.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Висновок: реалізація проєкту у формі публічно-приватного партнерства є економічно доцільною,  забезпечує найвищий рівень Value for Money,  відповідає інтересам територіальної громади,  створює сучасний спортивний об’єкт без бюджетного навантаження.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11.2</w:t>
      </w:r>
      <w:r>
        <w:rPr/>
        <w:t xml:space="preserve"> </w:t>
      </w:r>
      <w:r>
        <w:rPr>
          <w:rFonts w:cs="Times New Roman" w:ascii="Times New Roman" w:hAnsi="Times New Roman"/>
          <w:sz w:val="28"/>
          <w:szCs w:val="28"/>
        </w:rPr>
        <w:t>Порівняльний аналіз альтернативних варіантів реалізації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center"/>
        <w:rPr>
          <w:rFonts w:ascii="Times New Roman" w:hAnsi="Times New Roman" w:cs="Times New Roman"/>
          <w:sz w:val="28"/>
          <w:szCs w:val="28"/>
        </w:rPr>
      </w:pPr>
      <w:bookmarkStart w:id="7" w:name="_Hlk218187443"/>
      <w:r>
        <w:rPr>
          <w:rFonts w:cs="Times New Roman" w:ascii="Times New Roman" w:hAnsi="Times New Roman"/>
          <w:sz w:val="28"/>
          <w:szCs w:val="28"/>
        </w:rPr>
        <w:t xml:space="preserve">Узагальнений </w:t>
      </w:r>
      <w:bookmarkStart w:id="8" w:name="_Hlk218161078"/>
      <w:r>
        <w:rPr>
          <w:rFonts w:cs="Times New Roman" w:ascii="Times New Roman" w:hAnsi="Times New Roman"/>
          <w:sz w:val="28"/>
          <w:szCs w:val="28"/>
        </w:rPr>
        <w:t>порівняльний аналіз альтернативних варіантів</w:t>
      </w:r>
      <w:bookmarkEnd w:id="7"/>
    </w:p>
    <w:p>
      <w:pPr>
        <w:pStyle w:val="Normal"/>
        <w:spacing w:before="0" w:after="0"/>
        <w:ind w:firstLine="567"/>
        <w:jc w:val="center"/>
        <w:rPr>
          <w:rFonts w:ascii="Times New Roman" w:hAnsi="Times New Roman" w:cs="Times New Roman"/>
          <w:sz w:val="28"/>
          <w:szCs w:val="28"/>
        </w:rPr>
      </w:pPr>
      <w:r>
        <w:rPr>
          <w:rFonts w:cs="Times New Roman" w:ascii="Times New Roman" w:hAnsi="Times New Roman"/>
          <w:sz w:val="28"/>
          <w:szCs w:val="28"/>
        </w:rPr>
        <w:t>реалізації проєкту</w:t>
      </w:r>
      <w:bookmarkEnd w:id="8"/>
    </w:p>
    <w:p>
      <w:pPr>
        <w:pStyle w:val="Normal"/>
        <w:spacing w:before="0" w:after="0"/>
        <w:ind w:firstLine="567"/>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Таблиця 11.1</w:t>
      </w:r>
    </w:p>
    <w:tbl>
      <w:tblPr>
        <w:tblStyle w:val="a8"/>
        <w:tblW w:w="977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041"/>
        <w:gridCol w:w="2330"/>
        <w:gridCol w:w="2575"/>
        <w:gridCol w:w="2825"/>
      </w:tblGrid>
      <w:tr>
        <w:trPr/>
        <w:tc>
          <w:tcPr>
            <w:tcW w:w="2041"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Критерій</w:t>
            </w:r>
          </w:p>
        </w:tc>
        <w:tc>
          <w:tcPr>
            <w:tcW w:w="2330"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Варіант1: Бюджетне фінансування</w:t>
            </w:r>
          </w:p>
        </w:tc>
        <w:tc>
          <w:tcPr>
            <w:tcW w:w="2575"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Варіант 2:</w:t>
            </w:r>
          </w:p>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Гранти / МТД</w:t>
            </w:r>
          </w:p>
        </w:tc>
        <w:tc>
          <w:tcPr>
            <w:tcW w:w="2825"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Варіант 3:</w:t>
            </w:r>
          </w:p>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 xml:space="preserve"> </w:t>
            </w:r>
            <w:r>
              <w:rPr>
                <w:rFonts w:eastAsia="Calibri" w:cs="Times New Roman" w:ascii="Times New Roman" w:hAnsi="Times New Roman"/>
                <w:b/>
                <w:bCs/>
                <w:kern w:val="2"/>
                <w:sz w:val="28"/>
                <w:szCs w:val="28"/>
                <w:lang w:val="uk-UA" w:eastAsia="en-US" w:bidi="ar-SA"/>
              </w:rPr>
              <w:t>ППП</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Джерело інвестицій</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Місцевий бюджет</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Донорські кошти</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Приватний партнер</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Обсяг початкових інвестицій</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15~20 млн грн (100% бюджет)</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Часткове (залежить від умов гранту)</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15~20 млн грн (100% приватний партнер)</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Навантаження на бюджет</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Високе</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Середнє\відкладене</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Мінімальне</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Гарантованість фінансування</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Залежить від можливостей бюджету</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Середня, нестабільна</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Висока (договірна)</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Строк реалізації</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3-5 років</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Невизначений</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2-3 роки</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Контроль витрат</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Власний</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Донорський</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Власний\контрактний (КРІ)</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Гнучкість управління</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Низька</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Низька</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Висока</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Комерційна діяльність</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Обмежена</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Обмежена умовами гранту</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Повноцінна</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Можливість встановлення ринкових тарифів</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Обмежена</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Обмежена</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Вільна</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Якість утримання</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Залежить від можливостей бюджету</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Невизначена</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Договірна відповідальність</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Модернізація об</w:t>
            </w:r>
            <w:r>
              <w:rPr>
                <w:rFonts w:eastAsia="Calibri" w:cs="Times New Roman" w:ascii="Times New Roman" w:hAnsi="Times New Roman"/>
                <w:kern w:val="2"/>
                <w:sz w:val="28"/>
                <w:szCs w:val="28"/>
                <w:lang w:val="en-US" w:eastAsia="en-US" w:bidi="ar-SA"/>
              </w:rPr>
              <w:t>’</w:t>
            </w:r>
            <w:r>
              <w:rPr>
                <w:rFonts w:eastAsia="Calibri" w:cs="Times New Roman" w:ascii="Times New Roman" w:hAnsi="Times New Roman"/>
                <w:kern w:val="2"/>
                <w:sz w:val="28"/>
                <w:szCs w:val="28"/>
                <w:lang w:val="uk-UA" w:eastAsia="en-US" w:bidi="ar-SA"/>
              </w:rPr>
              <w:t>єкта</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Обмежена</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Не гарантована</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Передбачена</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Ризики перевищення кошторису</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Покриваються коштами громади</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Покриваються коштами громади</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Покриваються приватним партнером</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Ризики експлуатації</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Покриваються коштами громади</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Покриваються коштами громади</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Покриваються приватним партнером</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Довгострокова стійкість</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Низька</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Низька</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Висока</w:t>
            </w:r>
          </w:p>
        </w:tc>
      </w:tr>
      <w:tr>
        <w:trPr/>
        <w:tc>
          <w:tcPr>
            <w:tcW w:w="2041"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Відповідність принципам VfM</w:t>
            </w:r>
          </w:p>
        </w:tc>
        <w:tc>
          <w:tcPr>
            <w:tcW w:w="233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Низька</w:t>
            </w:r>
          </w:p>
        </w:tc>
        <w:tc>
          <w:tcPr>
            <w:tcW w:w="257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Середня</w:t>
            </w:r>
          </w:p>
        </w:tc>
        <w:tc>
          <w:tcPr>
            <w:tcW w:w="28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Висока</w:t>
            </w:r>
          </w:p>
        </w:tc>
      </w:tr>
    </w:tbl>
    <w:p>
      <w:pPr>
        <w:pStyle w:val="Normal"/>
        <w:spacing w:before="0" w:after="0"/>
        <w:ind w:hanging="0" w:left="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11.3 Value for Money (VfM) – аналіз</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Value for Money (VfM) ‒ це оцінка того, який варіант забезпечує найкраще співвідношення між витратами, ризиками та якістю результату протягом усього життєвого циклу об’єкта, а не лише на етапі будівництва.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center"/>
        <w:rPr>
          <w:rFonts w:ascii="Times New Roman" w:hAnsi="Times New Roman" w:cs="Times New Roman"/>
          <w:sz w:val="28"/>
          <w:szCs w:val="28"/>
        </w:rPr>
      </w:pPr>
      <w:bookmarkStart w:id="9" w:name="_Hlk218187505"/>
      <w:r>
        <w:rPr>
          <w:rFonts w:cs="Times New Roman" w:ascii="Times New Roman" w:hAnsi="Times New Roman"/>
          <w:sz w:val="28"/>
          <w:szCs w:val="28"/>
        </w:rPr>
        <w:t>Порівняльний VfM-аналіз</w:t>
      </w:r>
      <w:bookmarkEnd w:id="9"/>
      <w:r>
        <w:rPr>
          <w:rFonts w:cs="Times New Roman" w:ascii="Times New Roman" w:hAnsi="Times New Roman"/>
          <w:sz w:val="28"/>
          <w:szCs w:val="28"/>
        </w:rPr>
        <w:t xml:space="preserve"> за ключовими компонентами </w:t>
      </w:r>
    </w:p>
    <w:p>
      <w:pPr>
        <w:pStyle w:val="Normal"/>
        <w:spacing w:before="0" w:after="0"/>
        <w:ind w:firstLine="567"/>
        <w:jc w:val="center"/>
        <w:rPr>
          <w:rFonts w:ascii="Times New Roman" w:hAnsi="Times New Roman" w:cs="Times New Roman"/>
          <w:sz w:val="24"/>
          <w:szCs w:val="24"/>
        </w:rPr>
      </w:pPr>
      <w:r>
        <w:rPr>
          <w:rFonts w:cs="Times New Roman" w:ascii="Times New Roman" w:hAnsi="Times New Roman"/>
          <w:sz w:val="28"/>
          <w:szCs w:val="28"/>
        </w:rPr>
        <w:t xml:space="preserve">                                                                                                                </w:t>
      </w:r>
      <w:r>
        <w:rPr>
          <w:rFonts w:cs="Times New Roman" w:ascii="Times New Roman" w:hAnsi="Times New Roman"/>
          <w:sz w:val="24"/>
          <w:szCs w:val="24"/>
        </w:rPr>
        <w:t>Таблиця 11.2</w:t>
      </w:r>
    </w:p>
    <w:tbl>
      <w:tblPr>
        <w:tblStyle w:val="a8"/>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973"/>
        <w:gridCol w:w="1984"/>
        <w:gridCol w:w="1925"/>
        <w:gridCol w:w="1892"/>
        <w:gridCol w:w="2002"/>
      </w:tblGrid>
      <w:tr>
        <w:trPr/>
        <w:tc>
          <w:tcPr>
            <w:tcW w:w="1973"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Компонент</w:t>
            </w:r>
          </w:p>
        </w:tc>
        <w:tc>
          <w:tcPr>
            <w:tcW w:w="1984"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Варіант1: Бюджетне фінансування</w:t>
            </w:r>
          </w:p>
        </w:tc>
        <w:tc>
          <w:tcPr>
            <w:tcW w:w="1925"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Варіант 2: Гранти / МТД</w:t>
            </w:r>
          </w:p>
        </w:tc>
        <w:tc>
          <w:tcPr>
            <w:tcW w:w="1892"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Варіант 3:</w:t>
            </w:r>
          </w:p>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ППП</w:t>
            </w:r>
          </w:p>
        </w:tc>
        <w:tc>
          <w:tcPr>
            <w:tcW w:w="2002"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Висновок</w:t>
            </w:r>
          </w:p>
        </w:tc>
      </w:tr>
      <w:tr>
        <w:trPr/>
        <w:tc>
          <w:tcPr>
            <w:tcW w:w="1973"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Капітальні витрати (CAPEX)</w:t>
            </w:r>
          </w:p>
        </w:tc>
        <w:tc>
          <w:tcPr>
            <w:tcW w:w="1984"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15-20 млн грн одразу з бюджету громади</w:t>
            </w:r>
          </w:p>
        </w:tc>
        <w:tc>
          <w:tcPr>
            <w:tcW w:w="19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Часткове фінансування, можливі «розриви» у фінансуванні</w:t>
            </w:r>
          </w:p>
        </w:tc>
        <w:tc>
          <w:tcPr>
            <w:tcW w:w="189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20,0 млн грн ‒кошти приватного партнера</w:t>
            </w:r>
          </w:p>
        </w:tc>
        <w:tc>
          <w:tcPr>
            <w:tcW w:w="200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ППП усуває бюджетне навантаження</w:t>
            </w:r>
          </w:p>
        </w:tc>
      </w:tr>
      <w:tr>
        <w:trPr/>
        <w:tc>
          <w:tcPr>
            <w:tcW w:w="1973"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Операційні витрати (OPEX) за 49 років (60-70 млн грн)</w:t>
            </w:r>
          </w:p>
        </w:tc>
        <w:tc>
          <w:tcPr>
            <w:tcW w:w="1984"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Витрати несе місцевий бюджет</w:t>
            </w:r>
          </w:p>
        </w:tc>
        <w:tc>
          <w:tcPr>
            <w:tcW w:w="19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Витрати несе місцевий бюджет</w:t>
            </w:r>
          </w:p>
        </w:tc>
        <w:tc>
          <w:tcPr>
            <w:tcW w:w="189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Витрати несе приватний партнер</w:t>
            </w:r>
          </w:p>
        </w:tc>
        <w:tc>
          <w:tcPr>
            <w:tcW w:w="200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ППП мінімізує довгострокові витрати громади</w:t>
            </w:r>
          </w:p>
        </w:tc>
      </w:tr>
      <w:tr>
        <w:trPr/>
        <w:tc>
          <w:tcPr>
            <w:tcW w:w="1973"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Розподіл ризиків:</w:t>
            </w:r>
          </w:p>
        </w:tc>
        <w:tc>
          <w:tcPr>
            <w:tcW w:w="1984"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c>
          <w:tcPr>
            <w:tcW w:w="19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c>
          <w:tcPr>
            <w:tcW w:w="189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c>
          <w:tcPr>
            <w:tcW w:w="2002" w:type="dxa"/>
            <w:vMerge w:val="restart"/>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У ППП ризики передані стороні, яка може ними управляти</w:t>
            </w:r>
          </w:p>
        </w:tc>
      </w:tr>
      <w:tr>
        <w:trPr/>
        <w:tc>
          <w:tcPr>
            <w:tcW w:w="1973" w:type="dxa"/>
            <w:tcBorders/>
          </w:tcPr>
          <w:p>
            <w:pPr>
              <w:pStyle w:val="Normal"/>
              <w:widowControl/>
              <w:suppressAutoHyphens w:val="true"/>
              <w:spacing w:lineRule="auto" w:line="240" w:before="0" w:after="0"/>
              <w:jc w:val="right"/>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а) будівельний</w:t>
            </w:r>
          </w:p>
        </w:tc>
        <w:tc>
          <w:tcPr>
            <w:tcW w:w="1984"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Громада</w:t>
            </w:r>
          </w:p>
        </w:tc>
        <w:tc>
          <w:tcPr>
            <w:tcW w:w="19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Громада</w:t>
            </w:r>
          </w:p>
        </w:tc>
        <w:tc>
          <w:tcPr>
            <w:tcW w:w="189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Приватний партнер</w:t>
            </w:r>
          </w:p>
        </w:tc>
        <w:tc>
          <w:tcPr>
            <w:tcW w:w="2002" w:type="dxa"/>
            <w:vMerge w:val="continue"/>
            <w:tcBorders/>
          </w:tcPr>
          <w:p>
            <w:pPr>
              <w:pStyle w:val="Normal"/>
              <w:widowControl/>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r>
      <w:tr>
        <w:trPr/>
        <w:tc>
          <w:tcPr>
            <w:tcW w:w="197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б) фінансовий</w:t>
            </w:r>
          </w:p>
        </w:tc>
        <w:tc>
          <w:tcPr>
            <w:tcW w:w="1984"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Громада</w:t>
            </w:r>
          </w:p>
        </w:tc>
        <w:tc>
          <w:tcPr>
            <w:tcW w:w="19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Громада</w:t>
            </w:r>
          </w:p>
        </w:tc>
        <w:tc>
          <w:tcPr>
            <w:tcW w:w="189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Приватний партнер</w:t>
            </w:r>
          </w:p>
        </w:tc>
        <w:tc>
          <w:tcPr>
            <w:tcW w:w="2002" w:type="dxa"/>
            <w:vMerge w:val="continue"/>
            <w:tcBorders/>
          </w:tcPr>
          <w:p>
            <w:pPr>
              <w:pStyle w:val="Normal"/>
              <w:widowControl/>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r>
      <w:tr>
        <w:trPr/>
        <w:tc>
          <w:tcPr>
            <w:tcW w:w="1973" w:type="dxa"/>
            <w:tcBorders/>
          </w:tcPr>
          <w:p>
            <w:pPr>
              <w:pStyle w:val="Normal"/>
              <w:widowControl/>
              <w:suppressAutoHyphens w:val="true"/>
              <w:spacing w:lineRule="auto" w:line="240" w:before="0" w:after="0"/>
              <w:jc w:val="left"/>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 ризик попиту</w:t>
            </w:r>
          </w:p>
        </w:tc>
        <w:tc>
          <w:tcPr>
            <w:tcW w:w="1984"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Громада</w:t>
            </w:r>
          </w:p>
        </w:tc>
        <w:tc>
          <w:tcPr>
            <w:tcW w:w="19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Громада</w:t>
            </w:r>
          </w:p>
        </w:tc>
        <w:tc>
          <w:tcPr>
            <w:tcW w:w="189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Приватний партнер</w:t>
            </w:r>
          </w:p>
        </w:tc>
        <w:tc>
          <w:tcPr>
            <w:tcW w:w="2002" w:type="dxa"/>
            <w:vMerge w:val="continue"/>
            <w:tcBorders/>
          </w:tcPr>
          <w:p>
            <w:pPr>
              <w:pStyle w:val="Normal"/>
              <w:widowControl/>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r>
      <w:tr>
        <w:trPr/>
        <w:tc>
          <w:tcPr>
            <w:tcW w:w="1973" w:type="dxa"/>
            <w:tcBorders/>
          </w:tcPr>
          <w:p>
            <w:pPr>
              <w:pStyle w:val="Normal"/>
              <w:widowControl/>
              <w:suppressAutoHyphens w:val="true"/>
              <w:spacing w:lineRule="auto" w:line="240" w:before="0" w:after="0"/>
              <w:jc w:val="right"/>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 експлуатації</w:t>
            </w:r>
          </w:p>
        </w:tc>
        <w:tc>
          <w:tcPr>
            <w:tcW w:w="1984"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Громада</w:t>
            </w:r>
          </w:p>
        </w:tc>
        <w:tc>
          <w:tcPr>
            <w:tcW w:w="19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Громада</w:t>
            </w:r>
          </w:p>
        </w:tc>
        <w:tc>
          <w:tcPr>
            <w:tcW w:w="189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Приватний партнер</w:t>
            </w:r>
          </w:p>
        </w:tc>
        <w:tc>
          <w:tcPr>
            <w:tcW w:w="2002" w:type="dxa"/>
            <w:vMerge w:val="continue"/>
            <w:tcBorders/>
          </w:tcPr>
          <w:p>
            <w:pPr>
              <w:pStyle w:val="Normal"/>
              <w:widowControl/>
              <w:suppressAutoHyphens w:val="true"/>
              <w:spacing w:lineRule="auto" w:line="240" w:before="0" w:after="0"/>
              <w:jc w:val="both"/>
              <w:rPr>
                <w:rFonts w:ascii="Times New Roman" w:hAnsi="Times New Roman" w:cs="Times New Roman"/>
                <w:sz w:val="28"/>
                <w:szCs w:val="28"/>
              </w:rPr>
            </w:pPr>
            <w:r>
              <w:rPr>
                <w:rFonts w:cs="Times New Roman" w:ascii="Times New Roman" w:hAnsi="Times New Roman"/>
                <w:sz w:val="28"/>
                <w:szCs w:val="28"/>
              </w:rPr>
            </w:r>
          </w:p>
        </w:tc>
      </w:tr>
      <w:tr>
        <w:trPr/>
        <w:tc>
          <w:tcPr>
            <w:tcW w:w="1973" w:type="dxa"/>
            <w:tcBorders/>
          </w:tcPr>
          <w:p>
            <w:pPr>
              <w:pStyle w:val="Normal"/>
              <w:widowControl/>
              <w:suppressAutoHyphens w:val="true"/>
              <w:spacing w:lineRule="auto" w:line="240" w:before="0" w:after="0"/>
              <w:jc w:val="left"/>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Якість та контроль результату</w:t>
            </w:r>
          </w:p>
        </w:tc>
        <w:tc>
          <w:tcPr>
            <w:tcW w:w="1984"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контроль обмежений процедурами закупівель</w:t>
            </w:r>
          </w:p>
        </w:tc>
        <w:tc>
          <w:tcPr>
            <w:tcW w:w="1925"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контроль донорський, не орієнтований на бізнес-ефективність</w:t>
            </w:r>
          </w:p>
        </w:tc>
        <w:tc>
          <w:tcPr>
            <w:tcW w:w="1892" w:type="dxa"/>
            <w:tcBorders/>
          </w:tcPr>
          <w:p>
            <w:pPr>
              <w:pStyle w:val="Normal"/>
              <w:widowControl/>
              <w:suppressAutoHyphens w:val="true"/>
              <w:spacing w:lineRule="auto" w:line="240" w:before="0" w:after="0"/>
              <w:jc w:val="both"/>
              <w:rPr>
                <w:rFonts w:ascii="Times New Roman" w:hAnsi="Times New Roman" w:cs="Times New Roman"/>
                <w:sz w:val="28"/>
                <w:szCs w:val="28"/>
                <w:lang w:val="en-US"/>
              </w:rPr>
            </w:pPr>
            <w:r>
              <w:rPr>
                <w:rFonts w:eastAsia="Calibri" w:cs="Times New Roman" w:ascii="Times New Roman" w:hAnsi="Times New Roman"/>
                <w:kern w:val="2"/>
                <w:sz w:val="28"/>
                <w:szCs w:val="28"/>
                <w:lang w:val="uk-UA" w:eastAsia="en-US" w:bidi="ar-SA"/>
              </w:rPr>
              <w:t>Чіткі KPI щодо строків, якості, доступності,</w:t>
            </w:r>
          </w:p>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технічного стану</w:t>
            </w:r>
          </w:p>
        </w:tc>
        <w:tc>
          <w:tcPr>
            <w:tcW w:w="2002"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ППП забезпечує вимірювану якість</w:t>
            </w:r>
          </w:p>
        </w:tc>
      </w:tr>
    </w:tbl>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hanging="0" w:left="0"/>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center"/>
        <w:rPr>
          <w:rFonts w:ascii="Times New Roman" w:hAnsi="Times New Roman" w:cs="Times New Roman"/>
          <w:sz w:val="28"/>
          <w:szCs w:val="28"/>
        </w:rPr>
      </w:pPr>
      <w:bookmarkStart w:id="10" w:name="_Hlk218187802"/>
      <w:r>
        <w:rPr>
          <w:rFonts w:cs="Times New Roman" w:ascii="Times New Roman" w:hAnsi="Times New Roman"/>
          <w:sz w:val="28"/>
          <w:szCs w:val="28"/>
        </w:rPr>
        <w:t>Інтегральний VfM-висновок</w:t>
      </w:r>
      <w:bookmarkEnd w:id="10"/>
    </w:p>
    <w:p>
      <w:pPr>
        <w:pStyle w:val="Normal"/>
        <w:spacing w:before="0" w:after="0"/>
        <w:ind w:firstLine="567"/>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Таблиця 11.3</w:t>
      </w:r>
    </w:p>
    <w:tbl>
      <w:tblPr>
        <w:tblStyle w:val="a8"/>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400"/>
        <w:gridCol w:w="2413"/>
        <w:gridCol w:w="2407"/>
        <w:gridCol w:w="2555"/>
      </w:tblGrid>
      <w:tr>
        <w:trPr/>
        <w:tc>
          <w:tcPr>
            <w:tcW w:w="2400"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Критерій</w:t>
            </w:r>
          </w:p>
        </w:tc>
        <w:tc>
          <w:tcPr>
            <w:tcW w:w="241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b/>
                <w:bCs/>
                <w:kern w:val="2"/>
                <w:sz w:val="28"/>
                <w:szCs w:val="28"/>
                <w:lang w:val="uk-UA" w:eastAsia="en-US" w:bidi="ar-SA"/>
              </w:rPr>
              <w:t>Варіант1: Бюджетне фінансування</w:t>
            </w:r>
          </w:p>
        </w:tc>
        <w:tc>
          <w:tcPr>
            <w:tcW w:w="240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b/>
                <w:bCs/>
                <w:kern w:val="2"/>
                <w:sz w:val="28"/>
                <w:szCs w:val="28"/>
                <w:lang w:val="uk-UA" w:eastAsia="en-US" w:bidi="ar-SA"/>
              </w:rPr>
              <w:t>Варіант 2: Гранти / МТД</w:t>
            </w:r>
          </w:p>
        </w:tc>
        <w:tc>
          <w:tcPr>
            <w:tcW w:w="2555" w:type="dxa"/>
            <w:tcBorders/>
          </w:tcPr>
          <w:p>
            <w:pPr>
              <w:pStyle w:val="Normal"/>
              <w:widowControl/>
              <w:suppressAutoHyphens w:val="true"/>
              <w:spacing w:lineRule="auto" w:line="240" w:before="0" w:after="0"/>
              <w:jc w:val="center"/>
              <w:rPr>
                <w:rFonts w:ascii="Times New Roman" w:hAnsi="Times New Roman" w:cs="Times New Roman"/>
                <w:b/>
                <w:bCs/>
                <w:sz w:val="28"/>
                <w:szCs w:val="28"/>
              </w:rPr>
            </w:pPr>
            <w:r>
              <w:rPr>
                <w:rFonts w:eastAsia="Calibri" w:cs="Times New Roman" w:ascii="Times New Roman" w:hAnsi="Times New Roman"/>
                <w:b/>
                <w:bCs/>
                <w:kern w:val="2"/>
                <w:sz w:val="28"/>
                <w:szCs w:val="28"/>
                <w:lang w:val="uk-UA" w:eastAsia="en-US" w:bidi="ar-SA"/>
              </w:rPr>
              <w:t>Варіант 3:</w:t>
            </w:r>
          </w:p>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b/>
                <w:bCs/>
                <w:kern w:val="2"/>
                <w:sz w:val="28"/>
                <w:szCs w:val="28"/>
                <w:lang w:val="uk-UA" w:eastAsia="en-US" w:bidi="ar-SA"/>
              </w:rPr>
              <w:t>ППП</w:t>
            </w:r>
          </w:p>
        </w:tc>
      </w:tr>
      <w:tr>
        <w:trPr/>
        <w:tc>
          <w:tcPr>
            <w:tcW w:w="240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Загальні витрати громади</w:t>
            </w:r>
          </w:p>
        </w:tc>
        <w:tc>
          <w:tcPr>
            <w:tcW w:w="241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Високі</w:t>
            </w:r>
          </w:p>
        </w:tc>
        <w:tc>
          <w:tcPr>
            <w:tcW w:w="240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Середні</w:t>
            </w:r>
          </w:p>
        </w:tc>
        <w:tc>
          <w:tcPr>
            <w:tcW w:w="2555"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Низькі</w:t>
            </w:r>
          </w:p>
        </w:tc>
      </w:tr>
      <w:tr>
        <w:trPr/>
        <w:tc>
          <w:tcPr>
            <w:tcW w:w="240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Контроль якості</w:t>
            </w:r>
          </w:p>
        </w:tc>
        <w:tc>
          <w:tcPr>
            <w:tcW w:w="241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Обмежений</w:t>
            </w:r>
          </w:p>
        </w:tc>
        <w:tc>
          <w:tcPr>
            <w:tcW w:w="240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Обмежений</w:t>
            </w:r>
          </w:p>
        </w:tc>
        <w:tc>
          <w:tcPr>
            <w:tcW w:w="2555"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Високий</w:t>
            </w:r>
          </w:p>
        </w:tc>
      </w:tr>
      <w:tr>
        <w:trPr/>
        <w:tc>
          <w:tcPr>
            <w:tcW w:w="240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Ризики</w:t>
            </w:r>
          </w:p>
        </w:tc>
        <w:tc>
          <w:tcPr>
            <w:tcW w:w="241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Високі</w:t>
            </w:r>
          </w:p>
        </w:tc>
        <w:tc>
          <w:tcPr>
            <w:tcW w:w="240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Високі</w:t>
            </w:r>
          </w:p>
        </w:tc>
        <w:tc>
          <w:tcPr>
            <w:tcW w:w="2555"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Низькі</w:t>
            </w:r>
          </w:p>
        </w:tc>
      </w:tr>
      <w:tr>
        <w:trPr/>
        <w:tc>
          <w:tcPr>
            <w:tcW w:w="2400" w:type="dxa"/>
            <w:tcBorders/>
          </w:tcPr>
          <w:p>
            <w:pPr>
              <w:pStyle w:val="Normal"/>
              <w:widowControl/>
              <w:suppressAutoHyphens w:val="true"/>
              <w:spacing w:lineRule="auto" w:line="240" w:before="0" w:after="0"/>
              <w:jc w:val="both"/>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Довгострокова ефективність</w:t>
            </w:r>
          </w:p>
        </w:tc>
        <w:tc>
          <w:tcPr>
            <w:tcW w:w="2413"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Низька</w:t>
            </w:r>
          </w:p>
        </w:tc>
        <w:tc>
          <w:tcPr>
            <w:tcW w:w="2407"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Низька</w:t>
            </w:r>
          </w:p>
        </w:tc>
        <w:tc>
          <w:tcPr>
            <w:tcW w:w="2555" w:type="dxa"/>
            <w:tcBorders/>
          </w:tcPr>
          <w:p>
            <w:pPr>
              <w:pStyle w:val="Normal"/>
              <w:widowControl/>
              <w:suppressAutoHyphens w:val="true"/>
              <w:spacing w:lineRule="auto" w:line="240" w:before="0" w:after="0"/>
              <w:jc w:val="center"/>
              <w:rPr>
                <w:rFonts w:ascii="Times New Roman" w:hAnsi="Times New Roman" w:cs="Times New Roman"/>
                <w:sz w:val="28"/>
                <w:szCs w:val="28"/>
              </w:rPr>
            </w:pPr>
            <w:r>
              <w:rPr>
                <w:rFonts w:eastAsia="Calibri" w:cs="Times New Roman" w:ascii="Times New Roman" w:hAnsi="Times New Roman"/>
                <w:kern w:val="2"/>
                <w:sz w:val="28"/>
                <w:szCs w:val="28"/>
                <w:lang w:val="uk-UA" w:eastAsia="en-US" w:bidi="ar-SA"/>
              </w:rPr>
              <w:t>Висока</w:t>
            </w:r>
          </w:p>
        </w:tc>
      </w:tr>
    </w:tbl>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Отже, за результатами порівняльного аналізу встановлено, що модель публічно-приватного партнерства забезпечує найвищий рівень Value for Money, оскільки мінімізує прямі та непрямі витрати бюджету громади, передає ключові ризики приватному партнеру, забезпечує якісне утримання об’єкта протягом усього строку договору, створює економічно стійку модель функціонування спортивної інфраструктури.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Виходячи з зазначеного вище, можемо відмітити основні переваги моделі приватно-публічного партнерства при реалізації проєкту «Будівництво та експлуатація стадіону з штучним покриттям за адресою м. Луцьк, вул. Теремнівська, 40-г»: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Економічна доцільність: дозволяє реалізувати проєкт без залучення коштів місцевого бюджету, що особливо важливо в умовах обмежених фінансових ресурсів громади; у порівнянні з бюджетною та грантовою моделями, ППП мінімізує сукупні витрати громади, забезпечує стабільне фінансування, виключає ризик незавершеного будівництва.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Оптимальний розподіл ризиків: усі ключові ризики передаються приватному партнеру ‒ стороні, яка має досвід управління спортивними об’єктами та зацікавлена в ефективній експлуатації; це відповідає принципам Value for Money та міжнародній практиці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Якість та контроль: договір ППП передбачає чіткі KPI щодо строків, стандарти якості, вимоги до доступності та безбар’єрності, регулярний технічний аудит. Це створює механізм контролю, відсутній у бюджетній та грантовій моделях.</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Довгострокова стійкість: тривалий термін договору ППП дозволяє повернути інвестиції, планувати модернізацію, забезпечити стабільну роботу об’єкта без бюджетних дотацій.</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За результатами аналізу альтернативних варіантів встановлено, що реалізація проєкту у формі публічно-приватного партнерства  є економічно доцільною,  забезпечує найвищий рівень Value for Money,  відповідає інтересам територіальної громади,  створює сучасний спортивний об’єкт без бюджетного навантаження.</w:t>
      </w:r>
    </w:p>
    <w:p>
      <w:pPr>
        <w:pStyle w:val="ListParagraph"/>
        <w:spacing w:before="0" w:after="0"/>
        <w:ind w:firstLine="567" w:left="0"/>
        <w:contextualSpacing/>
        <w:jc w:val="both"/>
        <w:rPr>
          <w:rFonts w:ascii="Times New Roman" w:hAnsi="Times New Roman" w:cs="Times New Roman"/>
          <w:b/>
          <w:bCs/>
          <w:sz w:val="28"/>
          <w:szCs w:val="28"/>
        </w:rPr>
      </w:pPr>
      <w:r>
        <w:rPr>
          <w:rFonts w:cs="Times New Roman" w:ascii="Times New Roman" w:hAnsi="Times New Roman"/>
          <w:b/>
          <w:bCs/>
          <w:sz w:val="28"/>
          <w:szCs w:val="28"/>
        </w:rPr>
      </w:r>
    </w:p>
    <w:p>
      <w:pPr>
        <w:pStyle w:val="ListParagraph"/>
        <w:spacing w:before="0" w:after="0"/>
        <w:ind w:firstLine="567" w:left="0"/>
        <w:contextualSpacing/>
        <w:jc w:val="both"/>
        <w:rPr>
          <w:rFonts w:ascii="Times New Roman" w:hAnsi="Times New Roman" w:cs="Times New Roman"/>
          <w:b/>
          <w:bCs/>
          <w:sz w:val="28"/>
          <w:szCs w:val="28"/>
        </w:rPr>
      </w:pPr>
      <w:r>
        <w:rPr>
          <w:rFonts w:cs="Times New Roman" w:ascii="Times New Roman" w:hAnsi="Times New Roman"/>
          <w:b/>
          <w:bCs/>
          <w:sz w:val="28"/>
          <w:szCs w:val="28"/>
        </w:rPr>
        <w:t xml:space="preserve">12. </w:t>
      </w:r>
      <w:bookmarkStart w:id="11" w:name="_Hlk218238685"/>
      <w:r>
        <w:rPr>
          <w:rFonts w:cs="Times New Roman" w:ascii="Times New Roman" w:hAnsi="Times New Roman"/>
          <w:b/>
          <w:bCs/>
          <w:sz w:val="28"/>
          <w:szCs w:val="28"/>
        </w:rPr>
        <w:t>Сценарний аналіз фінансово-економічних показників проєкту</w:t>
      </w:r>
      <w:bookmarkEnd w:id="11"/>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Сценарний аналіз здійснено з метою оцінки фінансово-економічної стійкості проєкту публічно-приватного партнерства за різних умов функціонування об’єкта, а також перевірки здатності приватного партнера забезпечити будівництво, експлуатацію та утримання стадіону протягом усього строку дії договору ППП.</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Аналіз проведено на основі трьох сценаріїв розвитку подій: песимістичного, базового (оптимального), оптимістичного.</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Для всіх сценаріїв використано однакові базові припущення: обсяг інвестицій: 20,0 млн грн, строк договору ППП (49 років), джерело фінансування (100 % кошти приватного партнера), об’єкт (стадіон зі штучним покриттям), відсутність бюджетного фінансування експлуатації.</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Змінними параметрами є: рівень завантаження об’єкта, обсяг доходів, рівень операційних витрат.</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Для усіх трьох сценаріїв зроблений загальний підхід до фінансових розрахунків. Для оцінки фінансової ефективності проєкту публічно-приватного партнерства використовувалися загальноприйняті показники інвестиційного аналізу: внутрішня норма дохідності (IRR) та строк окупності інвестицій.</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Для кожного сценарію формується окремий прогноз грошового потоку, який складається з інвестиційного потоку (відтік – інвестиції приватного партнера в сумі 20,0 млн грн зі знаком «мінус») та операційного потоку (притік – щорічний чистий грошовий потік, що визначається за формулою: «Чистий грошовий потік = Доходи – Операційні витрати (OPEX)»).  Саме дохідна частина змінюється між сценаріями.</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Для кожного сценарію визначається:</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а) строк окупності ‒ період, протягом якого накопичений чистий грошовий потік стає додатним та компенсує початкові інвестиції. Для розрахунку здійснюється кумулятивне накопичення річного чистого грошового потоку та фіксується рік, у якому накопичений потік ≥ 20 млн грн;</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б) внутрішня норма дохідності (IRR) ‒ це така ставка дисконту, за якої чиста приведена вартість (NPV) проєкту дорівнює нулю, тобто IRR показує середню річну дохідність інвестицій з урахуванням часу.</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 xml:space="preserve">Іншими словами, шукається така ставка </w:t>
      </w:r>
      <w:r>
        <w:rPr>
          <w:rFonts w:cs="Times New Roman" w:ascii="Times New Roman" w:hAnsi="Times New Roman"/>
          <w:i/>
          <w:iCs/>
          <w:sz w:val="28"/>
          <w:szCs w:val="28"/>
          <w:lang w:val="en-US"/>
        </w:rPr>
        <w:t>r</w:t>
      </w:r>
      <w:r>
        <w:rPr>
          <w:rFonts w:cs="Times New Roman" w:ascii="Times New Roman" w:hAnsi="Times New Roman"/>
          <w:sz w:val="28"/>
          <w:szCs w:val="28"/>
        </w:rPr>
        <w:t xml:space="preserve">, при якій </w:t>
      </w:r>
    </w:p>
    <w:p>
      <w:pPr>
        <w:pStyle w:val="ListParagraph"/>
        <w:spacing w:before="0" w:after="0"/>
        <w:ind w:firstLine="567" w:left="0"/>
        <w:contextualSpacing/>
        <w:jc w:val="center"/>
        <w:rPr>
          <w:rFonts w:ascii="Times New Roman" w:hAnsi="Times New Roman" w:cs="Times New Roman"/>
          <w:i/>
          <w:i/>
          <w:sz w:val="28"/>
          <w:szCs w:val="28"/>
          <w:lang w:val="en-US"/>
        </w:rPr>
      </w:pPr>
      <w:r>
        <w:rPr/>
      </w:r>
      <m:oMathPara xmlns:m="http://schemas.openxmlformats.org/officeDocument/2006/math">
        <m:oMathParaPr>
          <m:jc m:val="center"/>
        </m:oMathParaPr>
        <m:oMath>
          <m:r>
            <w:rPr>
              <w:rFonts w:ascii="Cambria Math" w:hAnsi="Cambria Math"/>
            </w:rPr>
            <m:t xml:space="preserve">−</m:t>
          </m:r>
          <m:r>
            <w:rPr>
              <w:rFonts w:ascii="Cambria Math" w:hAnsi="Cambria Math"/>
            </w:rPr>
            <m:t xml:space="preserve">20</m:t>
          </m:r>
          <m:r>
            <w:rPr>
              <w:rFonts w:ascii="Cambria Math" w:hAnsi="Cambria Math"/>
            </w:rPr>
            <m:t xml:space="preserve">+</m:t>
          </m:r>
          <m:nary>
            <m:naryPr>
              <m:chr m:val="∑"/>
            </m:naryPr>
            <m:sub>
              <m:r>
                <w:rPr>
                  <w:rFonts w:ascii="Cambria Math" w:hAnsi="Cambria Math"/>
                </w:rPr>
                <m:t xml:space="preserve">t</m:t>
              </m:r>
              <m:r>
                <w:rPr>
                  <w:rFonts w:ascii="Cambria Math" w:hAnsi="Cambria Math"/>
                </w:rPr>
                <m:t xml:space="preserve">=</m:t>
              </m:r>
              <m:r>
                <w:rPr>
                  <w:rFonts w:ascii="Cambria Math" w:hAnsi="Cambria Math"/>
                </w:rPr>
                <m:t xml:space="preserve">1</m:t>
              </m:r>
            </m:sub>
            <m:sup>
              <m:r>
                <w:rPr>
                  <w:rFonts w:ascii="Cambria Math" w:hAnsi="Cambria Math"/>
                </w:rPr>
                <m:t xml:space="preserve">49</m:t>
              </m:r>
            </m:sup>
            <m:e>
              <m:f>
                <m:num>
                  <m:r>
                    <w:rPr>
                      <w:rFonts w:ascii="Cambria Math" w:hAnsi="Cambria Math"/>
                    </w:rPr>
                    <m:t xml:space="preserve">1</m:t>
                  </m:r>
                </m:num>
                <m:den>
                  <m:sSup>
                    <m:e>
                      <m:d>
                        <m:dPr>
                          <m:begChr m:val="("/>
                          <m:endChr m:val=")"/>
                        </m:dPr>
                        <m:e>
                          <m:r>
                            <w:rPr>
                              <w:rFonts w:ascii="Cambria Math" w:hAnsi="Cambria Math"/>
                            </w:rPr>
                            <m:t xml:space="preserve">1</m:t>
                          </m:r>
                          <m:r>
                            <w:rPr>
                              <w:rFonts w:ascii="Cambria Math" w:hAnsi="Cambria Math"/>
                            </w:rPr>
                            <m:t xml:space="preserve">+</m:t>
                          </m:r>
                          <m:r>
                            <w:rPr>
                              <w:rFonts w:ascii="Cambria Math" w:hAnsi="Cambria Math"/>
                            </w:rPr>
                            <m:t xml:space="preserve">r</m:t>
                          </m:r>
                        </m:e>
                      </m:d>
                    </m:e>
                    <m:sup>
                      <m:r>
                        <w:rPr>
                          <w:rFonts w:ascii="Cambria Math" w:hAnsi="Cambria Math"/>
                        </w:rPr>
                        <m:t xml:space="preserve">t</m:t>
                      </m:r>
                    </m:sup>
                  </m:sSup>
                </m:den>
              </m:f>
            </m:e>
          </m:nary>
          <m:r>
            <w:rPr>
              <w:rFonts w:ascii="Cambria Math" w:hAnsi="Cambria Math"/>
            </w:rPr>
            <m:t xml:space="preserve">=</m:t>
          </m:r>
          <m:r>
            <w:rPr>
              <w:rFonts w:ascii="Cambria Math" w:hAnsi="Cambria Math"/>
            </w:rPr>
            <m:t xml:space="preserve">0</m:t>
          </m:r>
        </m:oMath>
      </m:oMathPara>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Розрахунки виконано на основі прогнозованих грошових потоків (cash flow) проєкту протягом строку дії договору ППП ‒ 49 років.</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3.1. Песимістичний сценарій</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Песимістичний сценарій передбачає нижчий за очікуваний рівень попиту на спортивні послуги в перші роки експлуатації об’єкта, зумовлений макроекономічними чинниками або повільнішим формуванням клієнтської бази.</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Основні параметри сценарію:</w:t>
      </w:r>
    </w:p>
    <w:p>
      <w:pPr>
        <w:pStyle w:val="ListParagraph"/>
        <w:numPr>
          <w:ilvl w:val="0"/>
          <w:numId w:val="7"/>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 </w:t>
      </w:r>
      <w:r>
        <w:rPr>
          <w:rFonts w:cs="Times New Roman" w:ascii="Times New Roman" w:hAnsi="Times New Roman"/>
          <w:sz w:val="28"/>
          <w:szCs w:val="28"/>
        </w:rPr>
        <w:t>середній рівень завантаження об’єкта: 60–65%;</w:t>
      </w:r>
    </w:p>
    <w:p>
      <w:pPr>
        <w:pStyle w:val="ListParagraph"/>
        <w:numPr>
          <w:ilvl w:val="0"/>
          <w:numId w:val="7"/>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 </w:t>
      </w:r>
      <w:r>
        <w:rPr>
          <w:rFonts w:cs="Times New Roman" w:ascii="Times New Roman" w:hAnsi="Times New Roman"/>
          <w:sz w:val="28"/>
          <w:szCs w:val="28"/>
        </w:rPr>
        <w:t>річний дохід: 1,7–1,8 млн грн;</w:t>
      </w:r>
    </w:p>
    <w:p>
      <w:pPr>
        <w:pStyle w:val="ListParagraph"/>
        <w:numPr>
          <w:ilvl w:val="0"/>
          <w:numId w:val="7"/>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 </w:t>
      </w:r>
      <w:r>
        <w:rPr>
          <w:rFonts w:cs="Times New Roman" w:ascii="Times New Roman" w:hAnsi="Times New Roman"/>
          <w:sz w:val="28"/>
          <w:szCs w:val="28"/>
        </w:rPr>
        <w:t>операційні витрати: 1,4–1,45 млн грн/рік;</w:t>
      </w:r>
    </w:p>
    <w:p>
      <w:pPr>
        <w:pStyle w:val="ListParagraph"/>
        <w:numPr>
          <w:ilvl w:val="0"/>
          <w:numId w:val="7"/>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 </w:t>
      </w:r>
      <w:r>
        <w:rPr>
          <w:rFonts w:cs="Times New Roman" w:ascii="Times New Roman" w:hAnsi="Times New Roman"/>
          <w:sz w:val="28"/>
          <w:szCs w:val="28"/>
        </w:rPr>
        <w:t>чистий операційний дохід: 0,3–0,4 млн грн/рік.</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Фінансові показники:</w:t>
      </w:r>
    </w:p>
    <w:p>
      <w:pPr>
        <w:pStyle w:val="ListParagraph"/>
        <w:numPr>
          <w:ilvl w:val="0"/>
          <w:numId w:val="7"/>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 </w:t>
      </w:r>
      <w:r>
        <w:rPr>
          <w:rFonts w:cs="Times New Roman" w:ascii="Times New Roman" w:hAnsi="Times New Roman"/>
          <w:sz w:val="28"/>
          <w:szCs w:val="28"/>
        </w:rPr>
        <w:t>внутрішня норма дохідності (IRR): 7–8%;</w:t>
      </w:r>
    </w:p>
    <w:p>
      <w:pPr>
        <w:pStyle w:val="ListParagraph"/>
        <w:numPr>
          <w:ilvl w:val="0"/>
          <w:numId w:val="7"/>
        </w:numPr>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 </w:t>
      </w:r>
      <w:r>
        <w:rPr>
          <w:rFonts w:cs="Times New Roman" w:ascii="Times New Roman" w:hAnsi="Times New Roman"/>
          <w:sz w:val="28"/>
          <w:szCs w:val="28"/>
        </w:rPr>
        <w:t xml:space="preserve">орієнтовний строк окупності: </w:t>
      </w:r>
      <w:r>
        <w:rPr>
          <w:rFonts w:cs="Times New Roman" w:ascii="Times New Roman" w:hAnsi="Times New Roman"/>
          <w:sz w:val="28"/>
          <w:szCs w:val="28"/>
          <w:lang w:val="en-US"/>
        </w:rPr>
        <w:t>(</w:t>
      </w:r>
      <w:r>
        <w:rPr>
          <w:rFonts w:cs="Times New Roman" w:ascii="Times New Roman" w:hAnsi="Times New Roman"/>
          <w:sz w:val="28"/>
          <w:szCs w:val="28"/>
        </w:rPr>
        <w:t xml:space="preserve">20 / 0,35 </w:t>
      </w:r>
      <w:r>
        <w:rPr>
          <w:rFonts w:cs="Times New Roman" w:ascii="Times New Roman" w:hAnsi="Times New Roman"/>
          <w:sz w:val="28"/>
          <w:szCs w:val="28"/>
          <w:lang w:val="en-US"/>
        </w:rPr>
        <w:t>)</w:t>
      </w:r>
      <w:r>
        <w:rPr>
          <w:rFonts w:cs="Times New Roman" w:ascii="Times New Roman" w:hAnsi="Times New Roman"/>
          <w:sz w:val="28"/>
          <w:szCs w:val="28"/>
        </w:rPr>
        <w:t>≈ 57 років (без урахування зростання доходів), з урахуванням поступового зростання попиту ‒25–28 років.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3.2. Базовий (оптимальний) сценарій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Базовий сценарій відображає найбільш імовірні умови реалізації проєкту з урахуванням поточного стану ринку спортивних послуг, демографічних показників громади та досвіду експлуатації аналогічних об’єктів.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Основні параметри сценарію:</w:t>
      </w:r>
    </w:p>
    <w:p>
      <w:pPr>
        <w:pStyle w:val="ListParagraph"/>
        <w:numPr>
          <w:ilvl w:val="0"/>
          <w:numId w:val="7"/>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середній рівень завантаження об’єкта: 75–80%;</w:t>
      </w:r>
    </w:p>
    <w:p>
      <w:pPr>
        <w:pStyle w:val="ListParagraph"/>
        <w:numPr>
          <w:ilvl w:val="0"/>
          <w:numId w:val="7"/>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річний дохід: 2,2–2,4 млн грн;</w:t>
      </w:r>
    </w:p>
    <w:p>
      <w:pPr>
        <w:pStyle w:val="ListParagraph"/>
        <w:numPr>
          <w:ilvl w:val="0"/>
          <w:numId w:val="7"/>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операційні витрати: 1,3 млн грн/рік;</w:t>
      </w:r>
    </w:p>
    <w:p>
      <w:pPr>
        <w:pStyle w:val="ListParagraph"/>
        <w:numPr>
          <w:ilvl w:val="0"/>
          <w:numId w:val="7"/>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чистий операційний дохід: 0,9 –1,1 млн грн/рік.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Фінансові показники:</w:t>
      </w:r>
    </w:p>
    <w:p>
      <w:pPr>
        <w:pStyle w:val="ListParagraph"/>
        <w:numPr>
          <w:ilvl w:val="0"/>
          <w:numId w:val="8"/>
        </w:numPr>
        <w:spacing w:before="0" w:after="0"/>
        <w:ind w:hanging="425" w:left="709"/>
        <w:contextualSpacing/>
        <w:jc w:val="both"/>
        <w:rPr>
          <w:rFonts w:ascii="Times New Roman" w:hAnsi="Times New Roman" w:cs="Times New Roman"/>
          <w:sz w:val="28"/>
          <w:szCs w:val="28"/>
        </w:rPr>
      </w:pPr>
      <w:r>
        <w:rPr>
          <w:rFonts w:cs="Times New Roman" w:ascii="Times New Roman" w:hAnsi="Times New Roman"/>
          <w:sz w:val="28"/>
          <w:szCs w:val="28"/>
        </w:rPr>
        <w:t>внутрішня норма дохідності (IRR): 10 –12%;</w:t>
      </w:r>
    </w:p>
    <w:p>
      <w:pPr>
        <w:pStyle w:val="ListParagraph"/>
        <w:numPr>
          <w:ilvl w:val="0"/>
          <w:numId w:val="8"/>
        </w:numPr>
        <w:spacing w:before="0" w:after="0"/>
        <w:ind w:hanging="425" w:left="709"/>
        <w:contextualSpacing/>
        <w:jc w:val="both"/>
        <w:rPr>
          <w:rFonts w:ascii="Times New Roman" w:hAnsi="Times New Roman" w:cs="Times New Roman"/>
          <w:sz w:val="28"/>
          <w:szCs w:val="28"/>
        </w:rPr>
      </w:pPr>
      <w:r>
        <w:rPr>
          <w:rFonts w:cs="Times New Roman" w:ascii="Times New Roman" w:hAnsi="Times New Roman"/>
          <w:sz w:val="28"/>
          <w:szCs w:val="28"/>
        </w:rPr>
        <w:t>орієнтовний строк окупності (20 / 1,0) = 20 років, з урахуванням етапності ‒ 18 –22 роки.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3.3. Оптимістичний сценарій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Оптимістичний сценарій передбачає активний розвиток спортивної інфраструктури громади, високий попит на оренду спортивних майданчиків, проведення турнірів та залучення додаткових сервісів.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Основні параметри сценарію:</w:t>
      </w:r>
    </w:p>
    <w:p>
      <w:pPr>
        <w:pStyle w:val="ListParagraph"/>
        <w:numPr>
          <w:ilvl w:val="0"/>
          <w:numId w:val="9"/>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середній рівень завантаження об’єкта: 90 % і більше;</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річний дохід: 2,8–3,0 млн грн;</w:t>
      </w:r>
    </w:p>
    <w:p>
      <w:pPr>
        <w:pStyle w:val="ListParagraph"/>
        <w:numPr>
          <w:ilvl w:val="0"/>
          <w:numId w:val="9"/>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операційні витрати: 1,3–1,35 млн грн/рік;</w:t>
      </w:r>
    </w:p>
    <w:p>
      <w:pPr>
        <w:pStyle w:val="ListParagraph"/>
        <w:numPr>
          <w:ilvl w:val="0"/>
          <w:numId w:val="9"/>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чистий операційний дохід: 1,5–1,7 млн грн/рік.</w:t>
      </w:r>
    </w:p>
    <w:p>
      <w:pPr>
        <w:pStyle w:val="Normal"/>
        <w:spacing w:before="0" w:after="0"/>
        <w:ind w:firstLine="709"/>
        <w:jc w:val="both"/>
        <w:rPr>
          <w:rFonts w:ascii="Times New Roman" w:hAnsi="Times New Roman" w:cs="Times New Roman"/>
          <w:sz w:val="28"/>
          <w:szCs w:val="28"/>
        </w:rPr>
      </w:pPr>
      <w:r>
        <w:rPr>
          <w:rFonts w:cs="Times New Roman" w:ascii="Times New Roman" w:hAnsi="Times New Roman"/>
          <w:sz w:val="28"/>
          <w:szCs w:val="28"/>
        </w:rPr>
        <w:t>Фінансові показники:</w:t>
      </w:r>
    </w:p>
    <w:p>
      <w:pPr>
        <w:pStyle w:val="ListParagraph"/>
        <w:numPr>
          <w:ilvl w:val="0"/>
          <w:numId w:val="10"/>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внутрішня норма дохідності (IRR): 13–15%;</w:t>
      </w:r>
    </w:p>
    <w:p>
      <w:pPr>
        <w:pStyle w:val="ListParagraph"/>
        <w:numPr>
          <w:ilvl w:val="0"/>
          <w:numId w:val="10"/>
        </w:numPr>
        <w:spacing w:before="0" w:after="0"/>
        <w:contextualSpacing/>
        <w:jc w:val="both"/>
        <w:rPr>
          <w:rFonts w:ascii="Times New Roman" w:hAnsi="Times New Roman" w:cs="Times New Roman"/>
          <w:sz w:val="28"/>
          <w:szCs w:val="28"/>
        </w:rPr>
      </w:pPr>
      <w:r>
        <w:rPr>
          <w:rFonts w:cs="Times New Roman" w:ascii="Times New Roman" w:hAnsi="Times New Roman"/>
          <w:sz w:val="28"/>
          <w:szCs w:val="28"/>
        </w:rPr>
        <w:t>орієнтовний строк окупності (20 / 1,6) ≈ 12,5 років, з урахуванням реалістичного графіка ‒ 14-16 років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center"/>
        <w:rPr>
          <w:rFonts w:ascii="Times New Roman" w:hAnsi="Times New Roman" w:cs="Times New Roman"/>
          <w:sz w:val="28"/>
          <w:szCs w:val="28"/>
        </w:rPr>
      </w:pPr>
      <w:r>
        <w:rPr>
          <w:rFonts w:cs="Times New Roman" w:ascii="Times New Roman" w:hAnsi="Times New Roman"/>
          <w:sz w:val="28"/>
          <w:szCs w:val="28"/>
        </w:rPr>
        <w:t>Порівняльна таблиця сценаріїв</w:t>
      </w:r>
    </w:p>
    <w:p>
      <w:pPr>
        <w:pStyle w:val="Normal"/>
        <w:spacing w:before="0" w:after="0"/>
        <w:ind w:firstLine="567"/>
        <w:jc w:val="center"/>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Таблиця 12.1</w:t>
      </w:r>
    </w:p>
    <w:tbl>
      <w:tblPr>
        <w:tblStyle w:val="a8"/>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849"/>
        <w:gridCol w:w="2108"/>
        <w:gridCol w:w="2268"/>
        <w:gridCol w:w="2550"/>
      </w:tblGrid>
      <w:tr>
        <w:trPr/>
        <w:tc>
          <w:tcPr>
            <w:tcW w:w="2849" w:type="dxa"/>
            <w:tcBorders/>
          </w:tcPr>
          <w:p>
            <w:pPr>
              <w:pStyle w:val="Normal"/>
              <w:widowControl/>
              <w:suppressAutoHyphens w:val="true"/>
              <w:spacing w:lineRule="auto" w:line="240" w:before="0" w:after="0"/>
              <w:jc w:val="center"/>
              <w:rPr>
                <w:rFonts w:ascii="Times New Roman" w:hAnsi="Times New Roman" w:cs="Times New Roman"/>
                <w:b/>
                <w:bCs/>
                <w:sz w:val="24"/>
                <w:szCs w:val="24"/>
              </w:rPr>
            </w:pPr>
            <w:r>
              <w:rPr>
                <w:rFonts w:eastAsia="Calibri" w:cs="Times New Roman" w:ascii="Times New Roman" w:hAnsi="Times New Roman"/>
                <w:b/>
                <w:bCs/>
                <w:kern w:val="2"/>
                <w:sz w:val="24"/>
                <w:szCs w:val="24"/>
                <w:lang w:val="uk-UA" w:eastAsia="en-US" w:bidi="ar-SA"/>
              </w:rPr>
              <w:t>Показник</w:t>
            </w:r>
          </w:p>
        </w:tc>
        <w:tc>
          <w:tcPr>
            <w:tcW w:w="2108" w:type="dxa"/>
            <w:tcBorders/>
          </w:tcPr>
          <w:p>
            <w:pPr>
              <w:pStyle w:val="Normal"/>
              <w:widowControl/>
              <w:suppressAutoHyphens w:val="true"/>
              <w:spacing w:lineRule="auto" w:line="240" w:before="0" w:after="0"/>
              <w:jc w:val="center"/>
              <w:rPr>
                <w:rFonts w:ascii="Times New Roman" w:hAnsi="Times New Roman" w:cs="Times New Roman"/>
                <w:b/>
                <w:bCs/>
                <w:sz w:val="24"/>
                <w:szCs w:val="24"/>
              </w:rPr>
            </w:pPr>
            <w:r>
              <w:rPr>
                <w:rFonts w:eastAsia="Calibri" w:cs="Times New Roman" w:ascii="Times New Roman" w:hAnsi="Times New Roman"/>
                <w:b/>
                <w:bCs/>
                <w:kern w:val="2"/>
                <w:sz w:val="24"/>
                <w:szCs w:val="24"/>
                <w:lang w:val="uk-UA" w:eastAsia="en-US" w:bidi="ar-SA"/>
              </w:rPr>
              <w:t>Песимістичний сценарій</w:t>
            </w:r>
          </w:p>
        </w:tc>
        <w:tc>
          <w:tcPr>
            <w:tcW w:w="2268" w:type="dxa"/>
            <w:tcBorders/>
          </w:tcPr>
          <w:p>
            <w:pPr>
              <w:pStyle w:val="Normal"/>
              <w:widowControl/>
              <w:suppressAutoHyphens w:val="true"/>
              <w:spacing w:lineRule="auto" w:line="240" w:before="0" w:after="0"/>
              <w:jc w:val="center"/>
              <w:rPr>
                <w:rFonts w:ascii="Times New Roman" w:hAnsi="Times New Roman" w:cs="Times New Roman"/>
                <w:b/>
                <w:bCs/>
                <w:sz w:val="24"/>
                <w:szCs w:val="24"/>
              </w:rPr>
            </w:pPr>
            <w:r>
              <w:rPr>
                <w:rFonts w:eastAsia="Calibri" w:cs="Times New Roman" w:ascii="Times New Roman" w:hAnsi="Times New Roman"/>
                <w:b/>
                <w:bCs/>
                <w:kern w:val="2"/>
                <w:sz w:val="24"/>
                <w:szCs w:val="24"/>
                <w:lang w:val="uk-UA" w:eastAsia="en-US" w:bidi="ar-SA"/>
              </w:rPr>
              <w:t>Базовий сценарій</w:t>
            </w:r>
          </w:p>
        </w:tc>
        <w:tc>
          <w:tcPr>
            <w:tcW w:w="2550" w:type="dxa"/>
            <w:tcBorders/>
          </w:tcPr>
          <w:p>
            <w:pPr>
              <w:pStyle w:val="Normal"/>
              <w:widowControl/>
              <w:suppressAutoHyphens w:val="true"/>
              <w:spacing w:lineRule="auto" w:line="240" w:before="0" w:after="0"/>
              <w:jc w:val="center"/>
              <w:rPr>
                <w:rFonts w:ascii="Times New Roman" w:hAnsi="Times New Roman" w:cs="Times New Roman"/>
                <w:b/>
                <w:bCs/>
                <w:sz w:val="24"/>
                <w:szCs w:val="24"/>
              </w:rPr>
            </w:pPr>
            <w:r>
              <w:rPr>
                <w:rFonts w:eastAsia="Calibri" w:cs="Times New Roman" w:ascii="Times New Roman" w:hAnsi="Times New Roman"/>
                <w:b/>
                <w:bCs/>
                <w:kern w:val="2"/>
                <w:sz w:val="24"/>
                <w:szCs w:val="24"/>
                <w:lang w:val="uk-UA" w:eastAsia="en-US" w:bidi="ar-SA"/>
              </w:rPr>
              <w:t>Оптимістичний сценарій</w:t>
            </w:r>
          </w:p>
        </w:tc>
      </w:tr>
      <w:tr>
        <w:trPr/>
        <w:tc>
          <w:tcPr>
            <w:tcW w:w="2849" w:type="dxa"/>
            <w:tcBorders/>
          </w:tcPr>
          <w:p>
            <w:pPr>
              <w:pStyle w:val="Normal"/>
              <w:widowControl/>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Завантаження об</w:t>
            </w:r>
            <w:r>
              <w:rPr>
                <w:rFonts w:eastAsia="Calibri" w:cs="Times New Roman" w:ascii="Times New Roman" w:hAnsi="Times New Roman"/>
                <w:kern w:val="2"/>
                <w:sz w:val="24"/>
                <w:szCs w:val="24"/>
                <w:lang w:val="en-US" w:eastAsia="en-US" w:bidi="ar-SA"/>
              </w:rPr>
              <w:t>’</w:t>
            </w:r>
            <w:r>
              <w:rPr>
                <w:rFonts w:eastAsia="Calibri" w:cs="Times New Roman" w:ascii="Times New Roman" w:hAnsi="Times New Roman"/>
                <w:kern w:val="2"/>
                <w:sz w:val="24"/>
                <w:szCs w:val="24"/>
                <w:lang w:val="uk-UA" w:eastAsia="en-US" w:bidi="ar-SA"/>
              </w:rPr>
              <w:t>єкта</w:t>
            </w:r>
          </w:p>
        </w:tc>
        <w:tc>
          <w:tcPr>
            <w:tcW w:w="210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60-65%</w:t>
            </w:r>
          </w:p>
        </w:tc>
        <w:tc>
          <w:tcPr>
            <w:tcW w:w="226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75-80%</w:t>
            </w:r>
          </w:p>
        </w:tc>
        <w:tc>
          <w:tcPr>
            <w:tcW w:w="2550"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80% +</w:t>
            </w:r>
          </w:p>
        </w:tc>
      </w:tr>
      <w:tr>
        <w:trPr/>
        <w:tc>
          <w:tcPr>
            <w:tcW w:w="2849" w:type="dxa"/>
            <w:tcBorders/>
          </w:tcPr>
          <w:p>
            <w:pPr>
              <w:pStyle w:val="Normal"/>
              <w:widowControl/>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Доходи, млн грн/рік</w:t>
            </w:r>
          </w:p>
        </w:tc>
        <w:tc>
          <w:tcPr>
            <w:tcW w:w="210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1,7–1,8</w:t>
            </w:r>
          </w:p>
        </w:tc>
        <w:tc>
          <w:tcPr>
            <w:tcW w:w="226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2,2–2,4</w:t>
            </w:r>
          </w:p>
        </w:tc>
        <w:tc>
          <w:tcPr>
            <w:tcW w:w="2550"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2,8–3,0</w:t>
            </w:r>
          </w:p>
        </w:tc>
      </w:tr>
      <w:tr>
        <w:trPr/>
        <w:tc>
          <w:tcPr>
            <w:tcW w:w="2849" w:type="dxa"/>
            <w:tcBorders/>
          </w:tcPr>
          <w:p>
            <w:pPr>
              <w:pStyle w:val="Normal"/>
              <w:widowControl/>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2"/>
                <w:sz w:val="24"/>
                <w:szCs w:val="24"/>
                <w:lang w:val="en-US" w:eastAsia="en-US" w:bidi="ar-SA"/>
              </w:rPr>
              <w:t>OPEX</w:t>
            </w:r>
            <w:r>
              <w:rPr>
                <w:rFonts w:eastAsia="Calibri" w:cs="Times New Roman" w:ascii="Times New Roman" w:hAnsi="Times New Roman"/>
                <w:kern w:val="2"/>
                <w:sz w:val="24"/>
                <w:szCs w:val="24"/>
                <w:lang w:val="uk-UA" w:eastAsia="en-US" w:bidi="ar-SA"/>
              </w:rPr>
              <w:t>, млн грн/рік</w:t>
            </w:r>
          </w:p>
        </w:tc>
        <w:tc>
          <w:tcPr>
            <w:tcW w:w="210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1,7–1,8</w:t>
            </w:r>
          </w:p>
        </w:tc>
        <w:tc>
          <w:tcPr>
            <w:tcW w:w="226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1,4–1,45</w:t>
            </w:r>
          </w:p>
        </w:tc>
        <w:tc>
          <w:tcPr>
            <w:tcW w:w="2550"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1,3</w:t>
            </w:r>
          </w:p>
        </w:tc>
      </w:tr>
      <w:tr>
        <w:trPr/>
        <w:tc>
          <w:tcPr>
            <w:tcW w:w="2849" w:type="dxa"/>
            <w:tcBorders/>
          </w:tcPr>
          <w:p>
            <w:pPr>
              <w:pStyle w:val="Normal"/>
              <w:widowControl/>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Чистий дохід, млн грн/рік</w:t>
            </w:r>
          </w:p>
        </w:tc>
        <w:tc>
          <w:tcPr>
            <w:tcW w:w="210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0,3–0,4</w:t>
            </w:r>
          </w:p>
        </w:tc>
        <w:tc>
          <w:tcPr>
            <w:tcW w:w="226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0,9–1,1</w:t>
            </w:r>
          </w:p>
        </w:tc>
        <w:tc>
          <w:tcPr>
            <w:tcW w:w="2550"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1,5–1,7</w:t>
            </w:r>
          </w:p>
        </w:tc>
      </w:tr>
      <w:tr>
        <w:trPr/>
        <w:tc>
          <w:tcPr>
            <w:tcW w:w="2849" w:type="dxa"/>
            <w:tcBorders/>
          </w:tcPr>
          <w:p>
            <w:pPr>
              <w:pStyle w:val="Normal"/>
              <w:widowControl/>
              <w:suppressAutoHyphens w:val="true"/>
              <w:spacing w:lineRule="auto" w:line="240" w:before="0" w:after="0"/>
              <w:jc w:val="both"/>
              <w:rPr>
                <w:rFonts w:ascii="Times New Roman" w:hAnsi="Times New Roman" w:cs="Times New Roman"/>
                <w:sz w:val="24"/>
                <w:szCs w:val="24"/>
                <w:lang w:val="en-US"/>
              </w:rPr>
            </w:pPr>
            <w:r>
              <w:rPr>
                <w:rFonts w:eastAsia="Calibri" w:cs="Times New Roman" w:ascii="Times New Roman" w:hAnsi="Times New Roman"/>
                <w:kern w:val="2"/>
                <w:sz w:val="24"/>
                <w:szCs w:val="24"/>
                <w:lang w:val="en-US" w:eastAsia="en-US" w:bidi="ar-SA"/>
              </w:rPr>
              <w:t>IRR</w:t>
            </w:r>
          </w:p>
        </w:tc>
        <w:tc>
          <w:tcPr>
            <w:tcW w:w="210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7–8%</w:t>
            </w:r>
          </w:p>
        </w:tc>
        <w:tc>
          <w:tcPr>
            <w:tcW w:w="226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10–12%</w:t>
            </w:r>
          </w:p>
        </w:tc>
        <w:tc>
          <w:tcPr>
            <w:tcW w:w="2550"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10–12%</w:t>
            </w:r>
          </w:p>
        </w:tc>
      </w:tr>
      <w:tr>
        <w:trPr/>
        <w:tc>
          <w:tcPr>
            <w:tcW w:w="2849" w:type="dxa"/>
            <w:tcBorders/>
          </w:tcPr>
          <w:p>
            <w:pPr>
              <w:pStyle w:val="Normal"/>
              <w:widowControl/>
              <w:suppressAutoHyphens w:val="true"/>
              <w:spacing w:lineRule="auto" w:line="240" w:before="0" w:after="0"/>
              <w:jc w:val="both"/>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Строк окупності</w:t>
            </w:r>
          </w:p>
        </w:tc>
        <w:tc>
          <w:tcPr>
            <w:tcW w:w="210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25–28 років</w:t>
            </w:r>
          </w:p>
        </w:tc>
        <w:tc>
          <w:tcPr>
            <w:tcW w:w="2268"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18–22 роки</w:t>
            </w:r>
          </w:p>
        </w:tc>
        <w:tc>
          <w:tcPr>
            <w:tcW w:w="2550" w:type="dxa"/>
            <w:tcBorders/>
          </w:tcPr>
          <w:p>
            <w:pPr>
              <w:pStyle w:val="Normal"/>
              <w:widowControl/>
              <w:suppressAutoHyphens w:val="true"/>
              <w:spacing w:lineRule="auto" w:line="240" w:before="0" w:after="0"/>
              <w:jc w:val="center"/>
              <w:rPr>
                <w:rFonts w:ascii="Times New Roman" w:hAnsi="Times New Roman" w:cs="Times New Roman"/>
                <w:sz w:val="24"/>
                <w:szCs w:val="24"/>
              </w:rPr>
            </w:pPr>
            <w:r>
              <w:rPr>
                <w:rFonts w:eastAsia="Calibri" w:cs="Times New Roman" w:ascii="Times New Roman" w:hAnsi="Times New Roman"/>
                <w:kern w:val="2"/>
                <w:sz w:val="24"/>
                <w:szCs w:val="24"/>
                <w:lang w:val="uk-UA" w:eastAsia="en-US" w:bidi="ar-SA"/>
              </w:rPr>
              <w:t>14–16 років</w:t>
            </w:r>
          </w:p>
        </w:tc>
      </w:tr>
    </w:tbl>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 результатами сценарного аналізу встановлено, що проєкт є фінансово життєздатним за всіма розглянутими сценаріями. Навіть у песимістичному сценарії проєкт не потребує бюджетної підтримки, фінансові ризики повністю зосереджені на стороні приватного партнера. Модель публічно-приватного партнерства забезпечує стійкість проєкту в довгостроковій перспективі.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чином, результати сценарного аналізу підтверджують доцільність реалізації проєкту у формі публічно-приватного партнерства та відповідність принципам Value for Money.</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 xml:space="preserve">13. </w:t>
      </w:r>
      <w:bookmarkStart w:id="12" w:name="_Hlk218238730"/>
      <w:r>
        <w:rPr>
          <w:rFonts w:cs="Times New Roman" w:ascii="Times New Roman" w:hAnsi="Times New Roman"/>
          <w:b/>
          <w:bCs/>
          <w:sz w:val="28"/>
          <w:szCs w:val="28"/>
        </w:rPr>
        <w:t>Визначення форми здійснення публічно-приватного партнерства</w:t>
      </w:r>
      <w:bookmarkEnd w:id="12"/>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Відповідно до статті 5 Закону України «Про публічно-приватне партнерство», публічно-приватне партнерство може здійснюватися у різних договірних формах, які передбачають залучення приватного партнера до створення, утримання та/або експлуатації об’єктів, що перебувають у державній або комунальній власності, із розподілом ризиків між сторонами.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Закон не обмежує сторони у виборі конкретної форми договору, за умови що така форма відповідає законодавству України, забезпечує досягнення цілей проєкту, передбачає інвестиційні зобов’язання приватного партнера, гарантує захист інтересів територіальної громади. Договір, укладений у рамках публічно-приватного партнерства, може містити елементи різних договорів (змішаний договір), умови яких визначаються відповідно до цивільного законодавства України.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 урахуванням характеру об’єкта, обсягу інвестицій та результатів фінансово-економічного аналізу, для реалізації проєкту потенційно можуть розглядатися такі форми договорів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концесійний договір;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договір управління;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договір про спільну діяльність;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договір оренди з інвестиційними зобов’язаннями.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Кожна з наведених форм має власні правові та економічні особливості, однак не всі вони однаковою мірою відповідають специфіці даного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 урахуванням правових, фінансових та організаційних аспектів встановлено, що реалізація проєкту у формі договору оренди з інвестиційними зобов’язаннями приватного партнера є найбільш доцільною формою здійснення публічно-приватного партнерства для даного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Такий підхід обумовлений наступними факторами:</w:t>
      </w:r>
    </w:p>
    <w:p>
      <w:pPr>
        <w:pStyle w:val="ListParagraph"/>
        <w:spacing w:before="0" w:after="0"/>
        <w:ind w:firstLine="567" w:left="0"/>
        <w:contextualSpacing/>
        <w:jc w:val="both"/>
        <w:rPr>
          <w:rFonts w:ascii="Times New Roman" w:hAnsi="Times New Roman" w:cs="Times New Roman"/>
          <w:sz w:val="28"/>
          <w:szCs w:val="28"/>
        </w:rPr>
      </w:pPr>
      <w:r>
        <w:rPr>
          <w:rFonts w:cs="Times New Roman" w:ascii="Times New Roman" w:hAnsi="Times New Roman"/>
          <w:sz w:val="28"/>
          <w:szCs w:val="28"/>
        </w:rPr>
        <w:t>1) Об’єктом ППП є стадіон зі штучним покриттям, який належить до об’єктів спортивної інфраструктури та не потребує складних інженерних або стратегічних рішень, характерних для концесійних об’єктів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Договір оренди дозволяє зберегти об’єкт у комунальній власності, передати приватному партнеру право користування та експлуатації, закріпити обов’язок здійснення інвестицій у створення та розвиток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2)  Умови договору оренди можуть передбачати обов’язковий обсяг інвестицій приватного партнера (не менше 20 млн грн), строки здійснення інвестицій, вимоги до якості та функціональних характеристик об’єкта, відповідальність за невиконання інвестиційних зобов’язань.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чином, договір оренди з інвестиційними зобов’язаннями створює чіткий, юридично захищений механізм залучення приватного капіталу без фінансового навантаження на місцевий бюджет.</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 Договір оренди з інвестиційними зобов’язаннями дозволяє ефективно розподілити ризики між сторонами, а саме інвестиційні, будівельні та експлуатаційні ризики покладаються на приватного партнера, публічний партнер зберігає контроль за цільовим використанням об’єкта та дотриманням соціальних стандартів. Ризики, пов’язані з правовим статусом земельної ділянки, залишаються у сфері відповідальності органу місцевого самоврядування.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Такий розподіл відповідає підходам, закладеним у Законі України «Про публічно-приватне партнерство», згідно з яким ризики повинні передаватися тій стороні, яка має кращі можливості для їх управління.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4) Договір оренди з інвестиційними зобов’язаннями забезпечує гнучке управління об’єктом, дозволяє встановлювати ринкові тарифи, створює стимули для підвищення якості послуг, забезпечує довгострокову фінансову стійкість об’єкта. Це є критично важливим для спортивної інфраструктури, яка функціонує в умовах ринку.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 xml:space="preserve">14. </w:t>
      </w:r>
      <w:bookmarkStart w:id="13" w:name="_Hlk218238769"/>
      <w:r>
        <w:rPr>
          <w:rFonts w:cs="Times New Roman" w:ascii="Times New Roman" w:hAnsi="Times New Roman"/>
          <w:b/>
          <w:bCs/>
          <w:sz w:val="28"/>
          <w:szCs w:val="28"/>
        </w:rPr>
        <w:t>Загальна характеристика екологічного впливу проєкту</w:t>
      </w:r>
      <w:bookmarkEnd w:id="13"/>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створення та експлуатації стадіону зі штучним покриттям у межах публічно-приватного партнерства належить до об’єктів соціально-спортивної інфраструктури, реалізація яких не передбачає значного негативного впливу на довкілля.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не пов’язаний з промисловою діяльністю, використанням небезпечних речовин або технологій, що можуть призвести до суттєвого погіршення стану навколишнього природного середовища. Екологічні впливи мають локальний та тимчасовий характер, переважно на етапі будівництва.</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14.1</w:t>
        <w:tab/>
        <w:t>Вплив на повітряне середовище</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На етапі будівництва можливий тимчасовий вплив на повітряне середовище, зумовлений роботою будівельної техніки, перевезенням будівельних матеріалів, утворенням пилу. Ці впливи мають короткостроковий характер та зменшуються шляхом зволоження будівельного майданчика, обмеження часу роботи техніки, використання спеціалізованої будівельної техніки.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Під час експлуатації стадіону істотного негативного впливу на повітряне середовище не очікується. Об’єкт не є джерелом постійних викидів забруднюючих речовин.</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14.2 Вплив на ґрунти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На етапі будівництва передбачається локальне порушення ґрунтового покриву в межах земельної ділянки. Мінімізація впливу забезпечується шляхом зняття та збереження родючого шару ґрунту, його подальшого використання при благоустрої території, дотримання будівельних норм і стандартів.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Після завершення будівництва стан ґрунтів стабілізується.</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13.3</w:t>
      </w:r>
      <w:r>
        <w:rPr>
          <w:i/>
          <w:iCs/>
        </w:rPr>
        <w:t xml:space="preserve"> </w:t>
      </w:r>
      <w:r>
        <w:rPr>
          <w:rFonts w:cs="Times New Roman" w:ascii="Times New Roman" w:hAnsi="Times New Roman"/>
          <w:i/>
          <w:iCs/>
          <w:sz w:val="28"/>
          <w:szCs w:val="28"/>
        </w:rPr>
        <w:t>Вплив на рослинний світ</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Реалізація проєкту не передбачає знищення об’єктів природно-заповідного фонду або цінних зелених насаджень. Можливі окремі роботи з пересадки зелених насаджень, компенсаційного озеленення території. Проєкт також передбачає благоустрій та додаткове озеленення прилеглої території.</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14.4 Вплив на тваринний світ</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Оскільки проєкт реалізується в межах урбанізованої території, вплив на тваринний світ є мінімальним. Проєкт не передбачає втручання в середовища існування рідкісних або зникаючих видів.</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14.5 Вплив на водне середовище</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не передбачає скидів забруднюючих речовин у поверхневі або підземні води, використання значних обсягів водних ресурсів. Водовідведення здійснюватиметься через існуючі або проєктні інженерні мережі відповідно до вимог чинного законодавства.</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14.6 Вплив на техногенне середовище</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не створює джерел підвищеної техногенної небезпеки. Об’єкт експлуатуватиметься відповідно до будівельних норм, норм пожежної безпеки, вимог охорони праці.</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14.7 Інші екологічні аспекти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Шумове навантаження: рівень шуму під час експлуатації стадіону не перевищуватиме допустимих норм та матиме обмежений часовий характер.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Поводження з відходами: утворення відходів здійснюватиметься у незначних обсягах та регулюватиметься відповідно до чинного законодавства.</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14.8 Загальний екологічний висновок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 результатами аналізу встановлено, що реалізація проєкту не має значного негативного впливу на довкілля, не потребує проведення процедури оцінки впливу на довкілля (ОВД), відповідає екологічним та санітарним нормам, має позитивний соціально-екологічний ефект.</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чином, екологічні наслідки проєкту є прийнятними та не створюють перешкод для його реалізації.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 xml:space="preserve">15. </w:t>
      </w:r>
      <w:bookmarkStart w:id="14" w:name="_Hlk218238821"/>
      <w:r>
        <w:rPr>
          <w:rFonts w:cs="Times New Roman" w:ascii="Times New Roman" w:hAnsi="Times New Roman"/>
          <w:b/>
          <w:bCs/>
          <w:sz w:val="28"/>
          <w:szCs w:val="28"/>
        </w:rPr>
        <w:t>Соціальні наслідки реалізації проєкту публічно-приватного партнерства</w:t>
      </w:r>
      <w:bookmarkEnd w:id="14"/>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Реалізація проєкту зі створення та експлуатації стадіону зі штучним покриттям у формі публічно-приватного партнерства має виражений позитивний соціальний ефект для територіальної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спрямований на розвиток спортивної інфраструктури, підвищення рівня доступності занять фізичною культурою та формування безпечного і сучасного громадського простору.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Створення нового стадіону забезпечить: розширення доступу мешканців громади до сучасної спортивної інфраструктури, можливість регулярних занять фізичною культурою для різних вікових груп, підвищення рівня залучення дітей та молоді до спорту.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Особлива увага в межах проєкту приділяється доступності об’єкта для осіб з інвалідністю, безбар’єрному середовищу та безпечному користуванню об’єктом. Проєкт передбачає створення умов для рівного доступу всіх категорій населення, зокрема: облаштування пандусів та понижених бордюрів, доступні санітарно-гігієнічні приміщення, місця для глядачів з обмеженими можливостями, безпечні маршрути руху територією стадіону.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Це сприяє соціальній інтеграції та дотриманню принципів інклюзивності.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Функціонування стадіону також сприятиме підвищенню рівня фізичної активності населення, формуванню здорового способу життя та зниженню соціальних ризиків, пов’язаних з малорухливим способом життя.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створює умови для проведення масових спортивних заходів, турнірів та громадських подій.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У процесі реалізації проєкту створюються тимчасові (на етапі будівництва) та постійні (адміністративний та обслуговуючий персонал) робочі місця. Це має позитивний вплив на зайнятість населення та місцевий ринок праці.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Стадіон виступатиме як осередок спортивного та громадського життя, платформа для взаємодії різних соціальних груп та простір для проведення заходів, що сприяють соціальній згуртованості.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сприятиме формуванню позитивного іміджу громади та підвищенню її привабливості.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Окремо варто відмітити безпековий аспект, оскільки проєкт передбачає організацію освітлення території, контроль доступу, дотримання норм громадської безпеки під час заходів. Це зменшує ризики правопорушень та підвищує рівень безпеки громадського простору.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Реалізація проєкту не передбачає переселення населення, не порушує прав мешканців прилеглих територій, не створює соціальної напруги.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Можливі тимчасові незручності на етапі будівництва матимуть обмежений характер.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 результатами проведеного аналізу встановлено, що реалізація проєкту публічно-приватного партнерства має значний позитивний соціальний ефект, відповідає інтересам територіальної громади, сприяє сталому соціальному розвитку та не створює негативних соціальних наслідків.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16. Визначення соціально-економічних та екологічних перспектив після закінчення строку дії договору публічно-приватного партнерства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Договір публічно-приватного партнерства укладається строком на 49 років, що відповідає довгостроковому характеру проєкту та забезпечує повний життєвий цикл об’єкта. Після завершення строку дії договору ППП територіальна громада отримує у своє розпорядження функціонуючий об’єкт спортивної інфраструктури, створений та утримуваний за рахунок приватних інвестицій.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Виділимо наступні соціально-економічні перспективи після завершення ППП: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 Отримання громадою повноцінного інфраструктурного активу.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Після завершення строку дії договору ППП стадіон переходить у розпорядження громади у працездатному стані, об’єкт не обтяжений борговими зобов’язаннями. Таким чином громада отримує матеріальний актив, створений без бюджетних витрат. Це формує довгострокову соціально-економічну вигоду для територіальної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2. Підвищення вартості комунального майна.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 період дії договору ППП об’єкт набуває стабільного функціонального значення. В громаді та мікрорайоні формується попит на спортивні та супутні послуги та підвищується привабливість прилеглої території. У результаті збільшується загальна вартість комунальних активів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 Можливість подальшого використання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Після завершення ППП громада матиме можливість самостійно управляти об’єктом та\або передати його в управління комунальному закладу. Не виключається також можливість укладання нового договору ППП або оренди з адаптацією функціональне призначення до актуальних потреб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4. Стійкий соціальний ефект</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Протягом дії договору ППП формується культура систематичних занять спортом. Стадіон стає соціальним осередком громади та завдяки цьому створюються сталі соціальні зв’язки. Після завершення договору цей соціальний ефект зберігається та розвивається.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Також виділимо екологічні перспективи після завершення ППП: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w:t>
      </w:r>
      <w:r>
        <w:rPr/>
        <w:t xml:space="preserve"> </w:t>
      </w:r>
      <w:r>
        <w:rPr>
          <w:rFonts w:cs="Times New Roman" w:ascii="Times New Roman" w:hAnsi="Times New Roman"/>
          <w:sz w:val="28"/>
          <w:szCs w:val="28"/>
        </w:rPr>
        <w:t>Стабілізований вплив на довкілля.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Після завершення строку ППП екологічні впливи стабілізуються на мінімальному рівні, об’єкт не створюватиме джерел забруднення та будуть відсутні накопичені екологічні ризики.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2. Збереження екологічних стандартів експлуатації.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Протягом строку дії ППП приватний партнер зобов’язаний дотримуватися екологічних та санітарних норм, здійснювати поточні ремонти, забезпечувати належний технічний стан інженерних систем. Це гарантує передачу об’єкта у стані, придатному для подальшої експлуатації.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3. Можливість екологічної модернізації.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Після завершення договору громада матиме можливість впроваджувати енергоефективні рішення, адаптувати об’єкт до нових екологічних стандартів, інтегрувати стадіон у міські екологічні програми.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4. Відсутність відкладених екологічних зобов’язань.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Реалізація проєкту у формі ППП не створює для громади прихованих екологічних зобов’язань. Не буде потрібно жодних додаткових витрат на ліквідацію наслідків діяльності чи ризиків деградації території. Усі екологічні зобов’язання виконуються приватним партнером у межах строку дії договору.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Таким чином, реалізація проєкту у формі публічно-приватного партнерства створює сталу соціально-економічну та екологічну спадщину для громади після завершення строку дії договору.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17. Інформація про ризики при здійсненні публічно-приватного партнерства, їх оцінка, розподіл між партнерами та форма управління ризиками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Реалізація проєкту публічно-приватного партнерства пов’язана з наявністю фінансових, інвестиційних, технічних, правових та операційних ризиків.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Основним принципом управління ризиками в межах цього проєкту є передача ризику тій стороні, яка має найкращі можливості для його контролю та мінімізації.</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Ризики класифіковано за рівнем значущості на високі, середні та низькі.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17.1</w:t>
      </w:r>
      <w:r>
        <w:rPr/>
        <w:t xml:space="preserve"> </w:t>
      </w:r>
      <w:r>
        <w:rPr>
          <w:rFonts w:cs="Times New Roman" w:ascii="Times New Roman" w:hAnsi="Times New Roman"/>
          <w:sz w:val="28"/>
          <w:szCs w:val="28"/>
        </w:rPr>
        <w:t xml:space="preserve"> Інвестиційний (фінансовий) ризик.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Сутність ризику: перевищення фактичних інвестиційних витрат над запланованими (20,0 млн грн).</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Рівень ризику: високий.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Ймовірність виникнення: середня.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Сторона управління: приватний партнер.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Спосіб управління ризиком: фіксація обсягу інвестицій у договорі ППП, використання власних та залучених коштів приватного партнера, заборона компенсації перевищення витрат з бюджету громади.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17.2 Ризик попиту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Сутність ризику: нижчий за прогнозований попит на спортивні послуги.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Рівень ризику: високий.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Ймовірність виникнення: середня.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Сторона управління: приватний партнер.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Спосіб управління ризиком: диверсифікація послуг (оренда поля, турніри, тренування, масові заходи), гнучка тарифна політика, маркетингові заходи та партнерства зі спортивними школами.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17.3 Будівельний ризик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Сутність ризику: затримка строків будівництва або відхилення від проєктних рішень.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Рівень ризику: середній.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Ймовірність виникнення: низько–середня.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Сторона управління: приватний партнер.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Спосіб управління ризиком: укладення договорів з підрядниками, контроль виконання інвестиційних зобов’язань, штрафні санкції за порушення строків.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17.4 Операційний ризик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Сутність ризику: зростання витрат на утримання та експлуатацію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Рівень ризику: середній.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Ймовірність виникнення: середня.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Сторона управління: приватний партнер.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Спосіб управління ризиком: оптимізація операційних витрат, застосування енергоефективних рішень, довгострокове планування технічного обслуговування.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17.5</w:t>
      </w:r>
      <w:r>
        <w:rPr/>
        <w:t xml:space="preserve">  </w:t>
      </w:r>
      <w:r>
        <w:rPr>
          <w:rFonts w:cs="Times New Roman" w:ascii="Times New Roman" w:hAnsi="Times New Roman"/>
          <w:sz w:val="28"/>
          <w:szCs w:val="28"/>
        </w:rPr>
        <w:t>Регуляторний ризик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Сутність ризику: зміни законодавства, що впливають на умови реалізації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Рівень ризику: середній.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Ймовірність виникнення: низька.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Сторона управління: спільно публічний і приватний партнери.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 xml:space="preserve">Спосіб управління ризиком: включення стабілізаційних застережень у договір ППП, адаптація умов договору відповідно до змін законодавства. </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17.6 Земельний ризик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Сутність ризику: обмеження у користуванні земельною ділянкою.</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Рівень ризику: низький.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Ймовірність виникнення: низька.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Сторона управління: публічний партнер.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Спосіб управління ризиком: надання земельної ділянки на законних підставах, забезпечення цільового призначення землі.</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17.7 Екологічний ризик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Сутність ризику: негативний вплив на довкілля.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Рівень ризику: низький.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Ймовірність виникнення: низька.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Сторона управління: приватний партнер.</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Спосіб управління ризиком: дотримання екологічних норм, використання безпечних матеріалів та технологій.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17.8 Соціальний ризик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Сутність ризику: соціальне несприйняття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Рівень ризику: низький.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Ймовірність виникнення: низька.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Сторона управління: спільно партнери.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Спосіб управління ризиком: інформування громадськості, забезпечення доступності та соціальної спрямованості об’єкта.</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Узагальнений висновок щодо ризиків.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Аналіз ризиків показує, що більшість ключових ризиків передаються приватному партнеру, бюджетні ризики для громади є мінімальними, а механізми управління ризиками є достатніми та реалістичними.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Такий розподіл ризиків відповідає принципам Закону України «Про публічно-приватне партнерство» та підтверджує доцільність обраної моделі реалізації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spacing w:before="0" w:after="0"/>
        <w:ind w:firstLine="567"/>
        <w:jc w:val="both"/>
        <w:rPr>
          <w:rFonts w:ascii="Times New Roman" w:hAnsi="Times New Roman" w:cs="Times New Roman"/>
          <w:b/>
          <w:bCs/>
          <w:sz w:val="28"/>
          <w:szCs w:val="28"/>
        </w:rPr>
      </w:pPr>
      <w:r>
        <w:rPr>
          <w:rFonts w:cs="Times New Roman" w:ascii="Times New Roman" w:hAnsi="Times New Roman"/>
          <w:b/>
          <w:bCs/>
          <w:sz w:val="28"/>
          <w:szCs w:val="28"/>
        </w:rPr>
        <w:t xml:space="preserve">18. </w:t>
      </w:r>
      <w:bookmarkStart w:id="15" w:name="_Hlk218239005"/>
      <w:r>
        <w:rPr>
          <w:rFonts w:cs="Times New Roman" w:ascii="Times New Roman" w:hAnsi="Times New Roman"/>
          <w:b/>
          <w:bCs/>
          <w:sz w:val="28"/>
          <w:szCs w:val="28"/>
        </w:rPr>
        <w:t>Загальний висновок техніко-економічного обґрунтування</w:t>
      </w:r>
      <w:bookmarkEnd w:id="15"/>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 результатами проведеного техніко-економічного обґрунтування реалізації проєкту публічно-приватного партнерства щодо будівництва, облаштування та експлуатації стадіону зі штучним покриттям на території Луцької міської територіальної громади встановлено наступне.</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1. Загальна оцінка проєкту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спрямований на створення сучасного об’єкта спортивної інфраструктури загальноміського значення, який забезпечить: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розвиток масового спорту та фізичної культури;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доступ населення до якісних спортивних послуг;</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ефективне використання комунальної земельної ділянки;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залучення приватних інвестицій без навантаження на місцевий бюджет.</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Загальний обсяг інвестицій приватного партнера становить близько 20,0  млн грн, що повністю покриває витрати на будівництво, оснащення та запуск об’єкта в експлуатацію.</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2. Доцільність застосування публічно-приватного партнерства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У ході ТЕО розглянуто альтернативні варіанти реалізації проєкту, зокрема: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реалізацію за кошти місцевого бюджету;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реалізацію за рахунок грантів або міжнародної технічної допомоги;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реалізацію у формі публічно-приватного партнерства.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Порівняльний аналіз показав, що модель ППП є найбільш ефективною, оскільки: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мінімізує бюджетні витрати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переносить інвестиційні, фінансові та операційні ризики на приватного партнера;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забезпечує стабільну експлуатацію об’єкта протягом усього строку договору;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створює довгострокову соціально-економічну вигоду для громади.</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3. Фінансово-економічна ефективність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Фінансовий аналіз проєкту підтвердив: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позитивну внутрішню норму дохідності (IRR);</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прийнятний строк окупності інвестицій;</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фінансову стійкість проєкту у різних сценаріях розвитку (песимістичному, базовому, оптимістичному).</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Для територіальної громади реалізація проєкту у формі ППП забезпечує позитивний показник Value for Money, що означає вищу ефективність порівняно з традиційними бюджетними моделями.</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4. Соціальні та екологічні результати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має виражений соціальний ефект, зокрема: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покращення умов для занять спортом дітей, молоді та дорослого населення;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підвищення рівня фізичної активності та здоров’я мешканців;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забезпечення доступності та безбар’єрності для осіб з інвалідністю та маломобільних груп населення;</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формування позитивного іміджу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Екологічні наслідки проєкту є мінімальними та контрольованими, а після завершення строку дії договору ППП об’єкт не створює довгострокових екологічних ризиків.</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5. Строк реалізації та форма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пропонується реалізувати у формі договору оренди з інвестиційними зобов’язаннями відповідно до Закону України «Про публічно-приватне партнерство».</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Орієнтовний строк дії договору ППП ‒ 49 років, що забезпечує:</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повну реалізацію життєвого циклу об’єкта;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повернення інвестицій приватного партнера;</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належний технічний стан об’єкта на момент його повернення громаді.</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6. Перспективи після завершення ППП</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Після завершення строку дії договору публічно-приватного партнерства територіальна громада отримає:</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сучасний, функціонуючий спортивний об’єкт;</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відсутність боргових та інвестиційних зобов’язань;</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можливість подальшого використання об’єкта в інтересах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Це формує довгострокову соціально-економічну та інфраструктурну спадщину.</w:t>
      </w:r>
    </w:p>
    <w:p>
      <w:pPr>
        <w:pStyle w:val="Normal"/>
        <w:spacing w:before="0" w:after="0"/>
        <w:ind w:firstLine="567"/>
        <w:jc w:val="both"/>
        <w:rPr>
          <w:rFonts w:ascii="Times New Roman" w:hAnsi="Times New Roman" w:cs="Times New Roman"/>
          <w:i/>
          <w:i/>
          <w:iCs/>
          <w:sz w:val="28"/>
          <w:szCs w:val="28"/>
        </w:rPr>
      </w:pPr>
      <w:r>
        <w:rPr>
          <w:rFonts w:cs="Times New Roman" w:ascii="Times New Roman" w:hAnsi="Times New Roman"/>
          <w:i/>
          <w:iCs/>
          <w:sz w:val="28"/>
          <w:szCs w:val="28"/>
        </w:rPr>
        <w:t>7. Підсумковий висновок</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З урахуванням результатів техніко-економічного аналізу, соціально-економічних та екологічних наслідків, а також порівняння альтернативних варіантів робимо висновок, що реалізація проєкту у формі публічно-приватного партнерства є доцільною, економічно обґрунтованою та відповідає інтересам територіальної громади.</w:t>
      </w:r>
    </w:p>
    <w:p>
      <w:pPr>
        <w:pStyle w:val="Normal"/>
        <w:spacing w:before="0" w:after="0"/>
        <w:ind w:firstLine="567"/>
        <w:jc w:val="both"/>
        <w:rPr>
          <w:rFonts w:ascii="Times New Roman" w:hAnsi="Times New Roman" w:cs="Times New Roman"/>
          <w:sz w:val="28"/>
          <w:szCs w:val="28"/>
        </w:rPr>
      </w:pPr>
      <w:r>
        <w:rPr>
          <w:rFonts w:cs="Times New Roman" w:ascii="Times New Roman" w:hAnsi="Times New Roman"/>
          <w:sz w:val="28"/>
          <w:szCs w:val="28"/>
        </w:rPr>
        <w:t>Проєкт може бути рекомендований до подальшої реалізації шляхом прийняття рішення про здійснення публічно-приватного партнерства та підготовки договору публічно-приватного партнерства.</w:t>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417" w:right="707" w:gutter="0" w:header="850" w:top="1400" w:footer="708" w:bottom="85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67134498"/>
    </w:sdtPr>
    <w:sdtContent>
      <w:p>
        <w:pPr>
          <w:pStyle w:val="Footer"/>
          <w:jc w:val="center"/>
          <w:rPr/>
        </w:pPr>
        <w:r>
          <w:rPr/>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67134498"/>
    </w:sdtPr>
    <w:sdtContent>
      <w:p>
        <w:pPr>
          <w:pStyle w:val="Footer"/>
          <w:jc w:val="center"/>
          <w:rPr/>
        </w:pPr>
        <w:r>
          <w:rPr/>
        </w:r>
      </w:p>
    </w:sdtContent>
  </w:sdt>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sz w:val="28"/>
        <w:szCs w:val="28"/>
      </w:rPr>
    </w:pPr>
    <w:bookmarkStart w:id="16" w:name="PageNumWizard_HEADER_Типовий_стиль_сторі"/>
    <w:r>
      <w:rPr>
        <w:rFonts w:ascii="Times New Roman" w:hAnsi="Times New Roman"/>
        <w:sz w:val="28"/>
        <w:szCs w:val="28"/>
      </w:rPr>
      <w:fldChar w:fldCharType="begin"/>
    </w:r>
    <w:r>
      <w:rPr>
        <w:sz w:val="28"/>
        <w:szCs w:val="28"/>
        <w:rFonts w:ascii="Times New Roman" w:hAnsi="Times New Roman"/>
      </w:rPr>
      <w:instrText xml:space="preserve"> PAGE </w:instrText>
    </w:r>
    <w:r>
      <w:rPr>
        <w:sz w:val="28"/>
        <w:szCs w:val="28"/>
        <w:rFonts w:ascii="Times New Roman" w:hAnsi="Times New Roman"/>
      </w:rPr>
      <w:fldChar w:fldCharType="separate"/>
    </w:r>
    <w:r>
      <w:rPr>
        <w:sz w:val="28"/>
        <w:szCs w:val="28"/>
        <w:rFonts w:ascii="Times New Roman" w:hAnsi="Times New Roman"/>
      </w:rPr>
      <w:t>43</w:t>
    </w:r>
    <w:r>
      <w:rPr>
        <w:sz w:val="28"/>
        <w:szCs w:val="28"/>
        <w:rFonts w:ascii="Times New Roman" w:hAnsi="Times New Roman"/>
      </w:rPr>
      <w:fldChar w:fldCharType="end"/>
    </w:r>
    <w:bookmarkEnd w:id="16"/>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854" w:hanging="360"/>
      </w:pPr>
      <w:rPr>
        <w:rFonts w:ascii="Times New Roman" w:hAnsi="Times New Roman" w:cs="Times New Roman" w:hint="default"/>
      </w:rPr>
    </w:lvl>
    <w:lvl w:ilvl="1">
      <w:start w:val="1"/>
      <w:numFmt w:val="bullet"/>
      <w:lvlText w:val="o"/>
      <w:lvlJc w:val="left"/>
      <w:pPr>
        <w:tabs>
          <w:tab w:val="num" w:pos="0"/>
        </w:tabs>
        <w:ind w:left="1574" w:hanging="360"/>
      </w:pPr>
      <w:rPr>
        <w:rFonts w:ascii="Courier New" w:hAnsi="Courier New" w:cs="Courier New" w:hint="default"/>
      </w:rPr>
    </w:lvl>
    <w:lvl w:ilvl="2">
      <w:start w:val="1"/>
      <w:numFmt w:val="bullet"/>
      <w:lvlText w:val=""/>
      <w:lvlJc w:val="left"/>
      <w:pPr>
        <w:tabs>
          <w:tab w:val="num" w:pos="0"/>
        </w:tabs>
        <w:ind w:left="2294" w:hanging="360"/>
      </w:pPr>
      <w:rPr>
        <w:rFonts w:ascii="Wingdings" w:hAnsi="Wingdings" w:cs="Wingdings" w:hint="default"/>
      </w:rPr>
    </w:lvl>
    <w:lvl w:ilvl="3">
      <w:start w:val="1"/>
      <w:numFmt w:val="bullet"/>
      <w:lvlText w:val=""/>
      <w:lvlJc w:val="left"/>
      <w:pPr>
        <w:tabs>
          <w:tab w:val="num" w:pos="0"/>
        </w:tabs>
        <w:ind w:left="3014" w:hanging="360"/>
      </w:pPr>
      <w:rPr>
        <w:rFonts w:ascii="Symbol" w:hAnsi="Symbol" w:cs="Symbol" w:hint="default"/>
      </w:rPr>
    </w:lvl>
    <w:lvl w:ilvl="4">
      <w:start w:val="1"/>
      <w:numFmt w:val="bullet"/>
      <w:lvlText w:val="o"/>
      <w:lvlJc w:val="left"/>
      <w:pPr>
        <w:tabs>
          <w:tab w:val="num" w:pos="0"/>
        </w:tabs>
        <w:ind w:left="3734" w:hanging="360"/>
      </w:pPr>
      <w:rPr>
        <w:rFonts w:ascii="Courier New" w:hAnsi="Courier New" w:cs="Courier New" w:hint="default"/>
      </w:rPr>
    </w:lvl>
    <w:lvl w:ilvl="5">
      <w:start w:val="1"/>
      <w:numFmt w:val="bullet"/>
      <w:lvlText w:val=""/>
      <w:lvlJc w:val="left"/>
      <w:pPr>
        <w:tabs>
          <w:tab w:val="num" w:pos="0"/>
        </w:tabs>
        <w:ind w:left="4454" w:hanging="360"/>
      </w:pPr>
      <w:rPr>
        <w:rFonts w:ascii="Wingdings" w:hAnsi="Wingdings" w:cs="Wingdings" w:hint="default"/>
      </w:rPr>
    </w:lvl>
    <w:lvl w:ilvl="6">
      <w:start w:val="1"/>
      <w:numFmt w:val="bullet"/>
      <w:lvlText w:val=""/>
      <w:lvlJc w:val="left"/>
      <w:pPr>
        <w:tabs>
          <w:tab w:val="num" w:pos="0"/>
        </w:tabs>
        <w:ind w:left="5174" w:hanging="360"/>
      </w:pPr>
      <w:rPr>
        <w:rFonts w:ascii="Symbol" w:hAnsi="Symbol" w:cs="Symbol" w:hint="default"/>
      </w:rPr>
    </w:lvl>
    <w:lvl w:ilvl="7">
      <w:start w:val="1"/>
      <w:numFmt w:val="bullet"/>
      <w:lvlText w:val="o"/>
      <w:lvlJc w:val="left"/>
      <w:pPr>
        <w:tabs>
          <w:tab w:val="num" w:pos="0"/>
        </w:tabs>
        <w:ind w:left="5894" w:hanging="360"/>
      </w:pPr>
      <w:rPr>
        <w:rFonts w:ascii="Courier New" w:hAnsi="Courier New" w:cs="Courier New" w:hint="default"/>
      </w:rPr>
    </w:lvl>
    <w:lvl w:ilvl="8">
      <w:start w:val="1"/>
      <w:numFmt w:val="bullet"/>
      <w:lvlText w:val=""/>
      <w:lvlJc w:val="left"/>
      <w:pPr>
        <w:tabs>
          <w:tab w:val="num" w:pos="0"/>
        </w:tabs>
        <w:ind w:left="6614" w:hanging="360"/>
      </w:pPr>
      <w:rPr>
        <w:rFonts w:ascii="Wingdings" w:hAnsi="Wingdings" w:cs="Wingdings" w:hint="default"/>
      </w:rPr>
    </w:lvl>
  </w:abstractNum>
  <w:abstractNum w:abstractNumId="2">
    <w:lvl w:ilvl="0">
      <w:numFmt w:val="bullet"/>
      <w:lvlText w:val="-"/>
      <w:lvlJc w:val="left"/>
      <w:pPr>
        <w:tabs>
          <w:tab w:val="num" w:pos="0"/>
        </w:tabs>
        <w:ind w:left="1574" w:hanging="360"/>
      </w:pPr>
      <w:rPr>
        <w:rFonts w:ascii="Times New Roman" w:hAnsi="Times New Roman" w:cs="Times New Roman" w:hint="default"/>
      </w:rPr>
    </w:lvl>
    <w:lvl w:ilvl="1">
      <w:start w:val="1"/>
      <w:numFmt w:val="bullet"/>
      <w:lvlText w:val="o"/>
      <w:lvlJc w:val="left"/>
      <w:pPr>
        <w:tabs>
          <w:tab w:val="num" w:pos="0"/>
        </w:tabs>
        <w:ind w:left="2294" w:hanging="360"/>
      </w:pPr>
      <w:rPr>
        <w:rFonts w:ascii="Courier New" w:hAnsi="Courier New" w:cs="Courier New" w:hint="default"/>
      </w:rPr>
    </w:lvl>
    <w:lvl w:ilvl="2">
      <w:start w:val="1"/>
      <w:numFmt w:val="bullet"/>
      <w:lvlText w:val=""/>
      <w:lvlJc w:val="left"/>
      <w:pPr>
        <w:tabs>
          <w:tab w:val="num" w:pos="0"/>
        </w:tabs>
        <w:ind w:left="3014" w:hanging="360"/>
      </w:pPr>
      <w:rPr>
        <w:rFonts w:ascii="Wingdings" w:hAnsi="Wingdings" w:cs="Wingdings" w:hint="default"/>
      </w:rPr>
    </w:lvl>
    <w:lvl w:ilvl="3">
      <w:start w:val="1"/>
      <w:numFmt w:val="bullet"/>
      <w:lvlText w:val=""/>
      <w:lvlJc w:val="left"/>
      <w:pPr>
        <w:tabs>
          <w:tab w:val="num" w:pos="0"/>
        </w:tabs>
        <w:ind w:left="3734" w:hanging="360"/>
      </w:pPr>
      <w:rPr>
        <w:rFonts w:ascii="Symbol" w:hAnsi="Symbol" w:cs="Symbol" w:hint="default"/>
      </w:rPr>
    </w:lvl>
    <w:lvl w:ilvl="4">
      <w:start w:val="1"/>
      <w:numFmt w:val="bullet"/>
      <w:lvlText w:val="o"/>
      <w:lvlJc w:val="left"/>
      <w:pPr>
        <w:tabs>
          <w:tab w:val="num" w:pos="0"/>
        </w:tabs>
        <w:ind w:left="4454" w:hanging="360"/>
      </w:pPr>
      <w:rPr>
        <w:rFonts w:ascii="Courier New" w:hAnsi="Courier New" w:cs="Courier New" w:hint="default"/>
      </w:rPr>
    </w:lvl>
    <w:lvl w:ilvl="5">
      <w:start w:val="1"/>
      <w:numFmt w:val="bullet"/>
      <w:lvlText w:val=""/>
      <w:lvlJc w:val="left"/>
      <w:pPr>
        <w:tabs>
          <w:tab w:val="num" w:pos="0"/>
        </w:tabs>
        <w:ind w:left="5174" w:hanging="360"/>
      </w:pPr>
      <w:rPr>
        <w:rFonts w:ascii="Wingdings" w:hAnsi="Wingdings" w:cs="Wingdings" w:hint="default"/>
      </w:rPr>
    </w:lvl>
    <w:lvl w:ilvl="6">
      <w:start w:val="1"/>
      <w:numFmt w:val="bullet"/>
      <w:lvlText w:val=""/>
      <w:lvlJc w:val="left"/>
      <w:pPr>
        <w:tabs>
          <w:tab w:val="num" w:pos="0"/>
        </w:tabs>
        <w:ind w:left="5894" w:hanging="360"/>
      </w:pPr>
      <w:rPr>
        <w:rFonts w:ascii="Symbol" w:hAnsi="Symbol" w:cs="Symbol" w:hint="default"/>
      </w:rPr>
    </w:lvl>
    <w:lvl w:ilvl="7">
      <w:start w:val="1"/>
      <w:numFmt w:val="bullet"/>
      <w:lvlText w:val="o"/>
      <w:lvlJc w:val="left"/>
      <w:pPr>
        <w:tabs>
          <w:tab w:val="num" w:pos="0"/>
        </w:tabs>
        <w:ind w:left="6614" w:hanging="360"/>
      </w:pPr>
      <w:rPr>
        <w:rFonts w:ascii="Courier New" w:hAnsi="Courier New" w:cs="Courier New" w:hint="default"/>
      </w:rPr>
    </w:lvl>
    <w:lvl w:ilvl="8">
      <w:start w:val="1"/>
      <w:numFmt w:val="bullet"/>
      <w:lvlText w:val=""/>
      <w:lvlJc w:val="left"/>
      <w:pPr>
        <w:tabs>
          <w:tab w:val="num" w:pos="0"/>
        </w:tabs>
        <w:ind w:left="7334" w:hanging="360"/>
      </w:pPr>
      <w:rPr>
        <w:rFonts w:ascii="Wingdings" w:hAnsi="Wingdings" w:cs="Wingdings" w:hint="default"/>
      </w:rPr>
    </w:lvl>
  </w:abstractNum>
  <w:abstractNum w:abstractNumId="3">
    <w:lvl w:ilvl="0">
      <w:numFmt w:val="bullet"/>
      <w:lvlText w:val="-"/>
      <w:lvlJc w:val="left"/>
      <w:pPr>
        <w:tabs>
          <w:tab w:val="num" w:pos="0"/>
        </w:tabs>
        <w:ind w:left="1223" w:hanging="360"/>
      </w:pPr>
      <w:rPr>
        <w:rFonts w:ascii="Times New Roman" w:hAnsi="Times New Roman" w:cs="Times New Roman" w:hint="default"/>
      </w:rPr>
    </w:lvl>
    <w:lvl w:ilvl="1">
      <w:start w:val="1"/>
      <w:numFmt w:val="bullet"/>
      <w:lvlText w:val="o"/>
      <w:lvlJc w:val="left"/>
      <w:pPr>
        <w:tabs>
          <w:tab w:val="num" w:pos="0"/>
        </w:tabs>
        <w:ind w:left="1943" w:hanging="360"/>
      </w:pPr>
      <w:rPr>
        <w:rFonts w:ascii="Courier New" w:hAnsi="Courier New" w:cs="Courier New" w:hint="default"/>
      </w:rPr>
    </w:lvl>
    <w:lvl w:ilvl="2">
      <w:start w:val="1"/>
      <w:numFmt w:val="bullet"/>
      <w:lvlText w:val=""/>
      <w:lvlJc w:val="left"/>
      <w:pPr>
        <w:tabs>
          <w:tab w:val="num" w:pos="0"/>
        </w:tabs>
        <w:ind w:left="2663" w:hanging="360"/>
      </w:pPr>
      <w:rPr>
        <w:rFonts w:ascii="Wingdings" w:hAnsi="Wingdings" w:cs="Wingdings" w:hint="default"/>
      </w:rPr>
    </w:lvl>
    <w:lvl w:ilvl="3">
      <w:start w:val="1"/>
      <w:numFmt w:val="bullet"/>
      <w:lvlText w:val=""/>
      <w:lvlJc w:val="left"/>
      <w:pPr>
        <w:tabs>
          <w:tab w:val="num" w:pos="0"/>
        </w:tabs>
        <w:ind w:left="3383" w:hanging="360"/>
      </w:pPr>
      <w:rPr>
        <w:rFonts w:ascii="Symbol" w:hAnsi="Symbol" w:cs="Symbol" w:hint="default"/>
      </w:rPr>
    </w:lvl>
    <w:lvl w:ilvl="4">
      <w:start w:val="1"/>
      <w:numFmt w:val="bullet"/>
      <w:lvlText w:val="o"/>
      <w:lvlJc w:val="left"/>
      <w:pPr>
        <w:tabs>
          <w:tab w:val="num" w:pos="0"/>
        </w:tabs>
        <w:ind w:left="4103" w:hanging="360"/>
      </w:pPr>
      <w:rPr>
        <w:rFonts w:ascii="Courier New" w:hAnsi="Courier New" w:cs="Courier New" w:hint="default"/>
      </w:rPr>
    </w:lvl>
    <w:lvl w:ilvl="5">
      <w:start w:val="1"/>
      <w:numFmt w:val="bullet"/>
      <w:lvlText w:val=""/>
      <w:lvlJc w:val="left"/>
      <w:pPr>
        <w:tabs>
          <w:tab w:val="num" w:pos="0"/>
        </w:tabs>
        <w:ind w:left="4823" w:hanging="360"/>
      </w:pPr>
      <w:rPr>
        <w:rFonts w:ascii="Wingdings" w:hAnsi="Wingdings" w:cs="Wingdings" w:hint="default"/>
      </w:rPr>
    </w:lvl>
    <w:lvl w:ilvl="6">
      <w:start w:val="1"/>
      <w:numFmt w:val="bullet"/>
      <w:lvlText w:val=""/>
      <w:lvlJc w:val="left"/>
      <w:pPr>
        <w:tabs>
          <w:tab w:val="num" w:pos="0"/>
        </w:tabs>
        <w:ind w:left="5543" w:hanging="360"/>
      </w:pPr>
      <w:rPr>
        <w:rFonts w:ascii="Symbol" w:hAnsi="Symbol" w:cs="Symbol" w:hint="default"/>
      </w:rPr>
    </w:lvl>
    <w:lvl w:ilvl="7">
      <w:start w:val="1"/>
      <w:numFmt w:val="bullet"/>
      <w:lvlText w:val="o"/>
      <w:lvlJc w:val="left"/>
      <w:pPr>
        <w:tabs>
          <w:tab w:val="num" w:pos="0"/>
        </w:tabs>
        <w:ind w:left="6263" w:hanging="360"/>
      </w:pPr>
      <w:rPr>
        <w:rFonts w:ascii="Courier New" w:hAnsi="Courier New" w:cs="Courier New" w:hint="default"/>
      </w:rPr>
    </w:lvl>
    <w:lvl w:ilvl="8">
      <w:start w:val="1"/>
      <w:numFmt w:val="bullet"/>
      <w:lvlText w:val=""/>
      <w:lvlJc w:val="left"/>
      <w:pPr>
        <w:tabs>
          <w:tab w:val="num" w:pos="0"/>
        </w:tabs>
        <w:ind w:left="6983" w:hanging="360"/>
      </w:pPr>
      <w:rPr>
        <w:rFonts w:ascii="Wingdings" w:hAnsi="Wingdings" w:cs="Wingdings" w:hint="default"/>
      </w:rPr>
    </w:lvl>
  </w:abstractNum>
  <w:abstractNum w:abstractNumId="4">
    <w:lvl w:ilvl="0">
      <w:start w:val="1"/>
      <w:numFmt w:val="bullet"/>
      <w:lvlText w:val=""/>
      <w:lvlJc w:val="left"/>
      <w:pPr>
        <w:tabs>
          <w:tab w:val="num" w:pos="0"/>
        </w:tabs>
        <w:ind w:left="1854" w:hanging="360"/>
      </w:pPr>
      <w:rPr>
        <w:rFonts w:ascii="Symbol" w:hAnsi="Symbol" w:cs="Symbol" w:hint="default"/>
      </w:rPr>
    </w:lvl>
    <w:lvl w:ilvl="1">
      <w:start w:val="1"/>
      <w:numFmt w:val="bullet"/>
      <w:lvlText w:val="o"/>
      <w:lvlJc w:val="left"/>
      <w:pPr>
        <w:tabs>
          <w:tab w:val="num" w:pos="0"/>
        </w:tabs>
        <w:ind w:left="2574" w:hanging="360"/>
      </w:pPr>
      <w:rPr>
        <w:rFonts w:ascii="Courier New" w:hAnsi="Courier New" w:cs="Courier New" w:hint="default"/>
      </w:rPr>
    </w:lvl>
    <w:lvl w:ilvl="2">
      <w:start w:val="1"/>
      <w:numFmt w:val="bullet"/>
      <w:lvlText w:val=""/>
      <w:lvlJc w:val="left"/>
      <w:pPr>
        <w:tabs>
          <w:tab w:val="num" w:pos="0"/>
        </w:tabs>
        <w:ind w:left="3294" w:hanging="360"/>
      </w:pPr>
      <w:rPr>
        <w:rFonts w:ascii="Wingdings" w:hAnsi="Wingdings" w:cs="Wingdings" w:hint="default"/>
      </w:rPr>
    </w:lvl>
    <w:lvl w:ilvl="3">
      <w:start w:val="1"/>
      <w:numFmt w:val="bullet"/>
      <w:lvlText w:val=""/>
      <w:lvlJc w:val="left"/>
      <w:pPr>
        <w:tabs>
          <w:tab w:val="num" w:pos="0"/>
        </w:tabs>
        <w:ind w:left="4014" w:hanging="360"/>
      </w:pPr>
      <w:rPr>
        <w:rFonts w:ascii="Symbol" w:hAnsi="Symbol" w:cs="Symbol" w:hint="default"/>
      </w:rPr>
    </w:lvl>
    <w:lvl w:ilvl="4">
      <w:start w:val="1"/>
      <w:numFmt w:val="bullet"/>
      <w:lvlText w:val="o"/>
      <w:lvlJc w:val="left"/>
      <w:pPr>
        <w:tabs>
          <w:tab w:val="num" w:pos="0"/>
        </w:tabs>
        <w:ind w:left="4734" w:hanging="360"/>
      </w:pPr>
      <w:rPr>
        <w:rFonts w:ascii="Courier New" w:hAnsi="Courier New" w:cs="Courier New" w:hint="default"/>
      </w:rPr>
    </w:lvl>
    <w:lvl w:ilvl="5">
      <w:start w:val="1"/>
      <w:numFmt w:val="bullet"/>
      <w:lvlText w:val=""/>
      <w:lvlJc w:val="left"/>
      <w:pPr>
        <w:tabs>
          <w:tab w:val="num" w:pos="0"/>
        </w:tabs>
        <w:ind w:left="5454" w:hanging="360"/>
      </w:pPr>
      <w:rPr>
        <w:rFonts w:ascii="Wingdings" w:hAnsi="Wingdings" w:cs="Wingdings" w:hint="default"/>
      </w:rPr>
    </w:lvl>
    <w:lvl w:ilvl="6">
      <w:start w:val="1"/>
      <w:numFmt w:val="bullet"/>
      <w:lvlText w:val=""/>
      <w:lvlJc w:val="left"/>
      <w:pPr>
        <w:tabs>
          <w:tab w:val="num" w:pos="0"/>
        </w:tabs>
        <w:ind w:left="6174" w:hanging="360"/>
      </w:pPr>
      <w:rPr>
        <w:rFonts w:ascii="Symbol" w:hAnsi="Symbol" w:cs="Symbol" w:hint="default"/>
      </w:rPr>
    </w:lvl>
    <w:lvl w:ilvl="7">
      <w:start w:val="1"/>
      <w:numFmt w:val="bullet"/>
      <w:lvlText w:val="o"/>
      <w:lvlJc w:val="left"/>
      <w:pPr>
        <w:tabs>
          <w:tab w:val="num" w:pos="0"/>
        </w:tabs>
        <w:ind w:left="6894" w:hanging="360"/>
      </w:pPr>
      <w:rPr>
        <w:rFonts w:ascii="Courier New" w:hAnsi="Courier New" w:cs="Courier New" w:hint="default"/>
      </w:rPr>
    </w:lvl>
    <w:lvl w:ilvl="8">
      <w:start w:val="1"/>
      <w:numFmt w:val="bullet"/>
      <w:lvlText w:val=""/>
      <w:lvlJc w:val="left"/>
      <w:pPr>
        <w:tabs>
          <w:tab w:val="num" w:pos="0"/>
        </w:tabs>
        <w:ind w:left="7614"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uk-UA" w:eastAsia="en-US" w:bidi="ar-SA"/>
        <w14:ligatures w14:val="standardContextual"/>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2"/>
      <w:sz w:val="22"/>
      <w:szCs w:val="22"/>
      <w:lang w:val="uk-UA" w:eastAsia="en-US" w:bidi="ar-SA"/>
      <w14:ligatures w14:val="standardContextual"/>
    </w:rPr>
  </w:style>
  <w:style w:type="character" w:styleId="DefaultParagraphFont" w:default="1">
    <w:name w:val="Default Paragraph Font"/>
    <w:uiPriority w:val="1"/>
    <w:semiHidden/>
    <w:unhideWhenUsed/>
    <w:qFormat/>
    <w:rPr/>
  </w:style>
  <w:style w:type="character" w:styleId="Style14" w:customStyle="1">
    <w:name w:val="Основний текст Знак"/>
    <w:basedOn w:val="DefaultParagraphFont"/>
    <w:uiPriority w:val="1"/>
    <w:qFormat/>
    <w:rsid w:val="00f77d51"/>
    <w:rPr>
      <w:rFonts w:ascii="Times New Roman" w:hAnsi="Times New Roman" w:eastAsia="Times New Roman" w:cs="Times New Roman"/>
      <w:kern w:val="0"/>
      <w:sz w:val="28"/>
      <w:szCs w:val="28"/>
      <w14:ligatures w14:val="none"/>
    </w:rPr>
  </w:style>
  <w:style w:type="character" w:styleId="Style15" w:customStyle="1">
    <w:name w:val="Назва Знак"/>
    <w:basedOn w:val="DefaultParagraphFont"/>
    <w:uiPriority w:val="10"/>
    <w:qFormat/>
    <w:rsid w:val="00f77d51"/>
    <w:rPr>
      <w:rFonts w:ascii="Times New Roman" w:hAnsi="Times New Roman" w:eastAsia="Times New Roman" w:cs="Times New Roman"/>
      <w:b/>
      <w:bCs/>
      <w:kern w:val="0"/>
      <w:sz w:val="36"/>
      <w:szCs w:val="36"/>
      <w14:ligatures w14:val="none"/>
    </w:rPr>
  </w:style>
  <w:style w:type="character" w:styleId="PlaceholderText">
    <w:name w:val="Placeholder Text"/>
    <w:basedOn w:val="DefaultParagraphFont"/>
    <w:uiPriority w:val="99"/>
    <w:semiHidden/>
    <w:qFormat/>
    <w:rsid w:val="00450bad"/>
    <w:rPr>
      <w:color w:val="666666"/>
    </w:rPr>
  </w:style>
  <w:style w:type="character" w:styleId="CommentReference">
    <w:name w:val="annotation reference"/>
    <w:basedOn w:val="DefaultParagraphFont"/>
    <w:uiPriority w:val="99"/>
    <w:semiHidden/>
    <w:unhideWhenUsed/>
    <w:qFormat/>
    <w:rsid w:val="002f42cb"/>
    <w:rPr>
      <w:sz w:val="16"/>
      <w:szCs w:val="16"/>
    </w:rPr>
  </w:style>
  <w:style w:type="character" w:styleId="Style16" w:customStyle="1">
    <w:name w:val="Текст примітки Знак"/>
    <w:basedOn w:val="DefaultParagraphFont"/>
    <w:uiPriority w:val="99"/>
    <w:semiHidden/>
    <w:qFormat/>
    <w:rsid w:val="002f42cb"/>
    <w:rPr>
      <w:sz w:val="20"/>
      <w:szCs w:val="20"/>
    </w:rPr>
  </w:style>
  <w:style w:type="character" w:styleId="Style17" w:customStyle="1">
    <w:name w:val="Тема примітки Знак"/>
    <w:basedOn w:val="Style16"/>
    <w:link w:val="annotationsubject"/>
    <w:uiPriority w:val="99"/>
    <w:semiHidden/>
    <w:qFormat/>
    <w:rsid w:val="002f42cb"/>
    <w:rPr>
      <w:b/>
      <w:bCs/>
      <w:sz w:val="20"/>
      <w:szCs w:val="20"/>
    </w:rPr>
  </w:style>
  <w:style w:type="character" w:styleId="Style18" w:customStyle="1">
    <w:name w:val="Верхній колонтитул Знак"/>
    <w:basedOn w:val="DefaultParagraphFont"/>
    <w:uiPriority w:val="99"/>
    <w:qFormat/>
    <w:rsid w:val="006d1b67"/>
    <w:rPr/>
  </w:style>
  <w:style w:type="character" w:styleId="Style19" w:customStyle="1">
    <w:name w:val="Нижній колонтитул Знак"/>
    <w:basedOn w:val="DefaultParagraphFont"/>
    <w:uiPriority w:val="99"/>
    <w:qFormat/>
    <w:rsid w:val="006d1b67"/>
    <w:rPr/>
  </w:style>
  <w:style w:type="paragraph" w:styleId="Style20">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Style14"/>
    <w:uiPriority w:val="1"/>
    <w:qFormat/>
    <w:rsid w:val="00f77d51"/>
    <w:pPr>
      <w:widowControl w:val="false"/>
      <w:spacing w:lineRule="auto" w:line="240" w:before="0" w:after="0"/>
      <w:ind w:firstLine="567" w:left="993"/>
      <w:jc w:val="both"/>
    </w:pPr>
    <w:rPr>
      <w:rFonts w:ascii="Times New Roman" w:hAnsi="Times New Roman" w:eastAsia="Times New Roman" w:cs="Times New Roman"/>
      <w:kern w:val="0"/>
      <w:sz w:val="28"/>
      <w:szCs w:val="28"/>
      <w14:ligatures w14:val="none"/>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2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Title">
    <w:name w:val="Title"/>
    <w:basedOn w:val="Normal"/>
    <w:link w:val="Style15"/>
    <w:uiPriority w:val="10"/>
    <w:qFormat/>
    <w:rsid w:val="00f77d51"/>
    <w:pPr>
      <w:widowControl w:val="false"/>
      <w:spacing w:lineRule="auto" w:line="240" w:before="0" w:after="0"/>
      <w:ind w:hanging="1" w:left="1255" w:right="544"/>
      <w:jc w:val="center"/>
    </w:pPr>
    <w:rPr>
      <w:rFonts w:ascii="Times New Roman" w:hAnsi="Times New Roman" w:eastAsia="Times New Roman" w:cs="Times New Roman"/>
      <w:b/>
      <w:bCs/>
      <w:kern w:val="0"/>
      <w:sz w:val="36"/>
      <w:szCs w:val="36"/>
      <w14:ligatures w14:val="none"/>
    </w:rPr>
  </w:style>
  <w:style w:type="paragraph" w:styleId="ListParagraph">
    <w:name w:val="List Paragraph"/>
    <w:basedOn w:val="Normal"/>
    <w:uiPriority w:val="34"/>
    <w:qFormat/>
    <w:rsid w:val="00336f41"/>
    <w:pPr>
      <w:spacing w:before="0" w:after="160"/>
      <w:ind w:left="720"/>
      <w:contextualSpacing/>
    </w:pPr>
    <w:rPr/>
  </w:style>
  <w:style w:type="paragraph" w:styleId="TableParagraph" w:customStyle="1">
    <w:name w:val="Table Paragraph"/>
    <w:basedOn w:val="Normal"/>
    <w:uiPriority w:val="1"/>
    <w:qFormat/>
    <w:rsid w:val="00675bac"/>
    <w:pPr>
      <w:widowControl w:val="false"/>
      <w:spacing w:lineRule="auto" w:line="240" w:before="0" w:after="0"/>
    </w:pPr>
    <w:rPr>
      <w:rFonts w:ascii="Times New Roman" w:hAnsi="Times New Roman" w:eastAsia="Times New Roman" w:cs="Times New Roman"/>
      <w:kern w:val="0"/>
      <w14:ligatures w14:val="none"/>
    </w:rPr>
  </w:style>
  <w:style w:type="paragraph" w:styleId="CommentText">
    <w:name w:val="annotation text"/>
    <w:basedOn w:val="Normal"/>
    <w:link w:val="Style16"/>
    <w:uiPriority w:val="99"/>
    <w:semiHidden/>
    <w:unhideWhenUsed/>
    <w:rsid w:val="002f42cb"/>
    <w:pPr>
      <w:spacing w:lineRule="auto" w:line="240"/>
    </w:pPr>
    <w:rPr>
      <w:sz w:val="20"/>
      <w:szCs w:val="20"/>
    </w:rPr>
  </w:style>
  <w:style w:type="paragraph" w:styleId="annotationsubject">
    <w:name w:val="annotation subject"/>
    <w:basedOn w:val="CommentText"/>
    <w:next w:val="CommentText"/>
    <w:link w:val="Style17"/>
    <w:uiPriority w:val="99"/>
    <w:semiHidden/>
    <w:unhideWhenUsed/>
    <w:qFormat/>
    <w:rsid w:val="002f42cb"/>
    <w:pPr/>
    <w:rPr>
      <w:b/>
      <w:bCs/>
    </w:rPr>
  </w:style>
  <w:style w:type="paragraph" w:styleId="Style22">
    <w:name w:val="Верхній і нижній колонтитули"/>
    <w:basedOn w:val="Normal"/>
    <w:qFormat/>
    <w:pPr/>
    <w:rPr/>
  </w:style>
  <w:style w:type="paragraph" w:styleId="user2">
    <w:name w:val="Верхній і нижній колонтитули (user)"/>
    <w:basedOn w:val="Normal"/>
    <w:qFormat/>
    <w:pPr/>
    <w:rPr/>
  </w:style>
  <w:style w:type="paragraph" w:styleId="Header">
    <w:name w:val="header"/>
    <w:basedOn w:val="Normal"/>
    <w:link w:val="Style18"/>
    <w:uiPriority w:val="99"/>
    <w:unhideWhenUsed/>
    <w:rsid w:val="006d1b67"/>
    <w:pPr>
      <w:tabs>
        <w:tab w:val="clear" w:pos="708"/>
        <w:tab w:val="center" w:pos="4819" w:leader="none"/>
        <w:tab w:val="right" w:pos="9639" w:leader="none"/>
      </w:tabs>
      <w:spacing w:lineRule="auto" w:line="240" w:before="0" w:after="0"/>
    </w:pPr>
    <w:rPr/>
  </w:style>
  <w:style w:type="paragraph" w:styleId="Footer">
    <w:name w:val="footer"/>
    <w:basedOn w:val="Normal"/>
    <w:link w:val="Style19"/>
    <w:uiPriority w:val="99"/>
    <w:unhideWhenUsed/>
    <w:rsid w:val="006d1b67"/>
    <w:pPr>
      <w:tabs>
        <w:tab w:val="clear" w:pos="708"/>
        <w:tab w:val="center" w:pos="4819" w:leader="none"/>
        <w:tab w:val="right" w:pos="9639" w:leader="none"/>
      </w:tabs>
      <w:spacing w:lineRule="auto" w:line="240" w:before="0" w:after="0"/>
    </w:pPr>
    <w:rPr/>
  </w:style>
  <w:style w:type="numbering" w:styleId="Style23" w:default="1">
    <w:name w:val="Без маркерів"/>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675bac"/>
    <w:pPr>
      <w:spacing w:after="0" w:line="240" w:lineRule="auto"/>
    </w:pPr>
    <w:rPr>
      <w:lang w:val="en-US"/>
    </w:rPr>
    <w:tblPr>
      <w:tblCellMar>
        <w:top w:w="0" w:type="dxa"/>
        <w:left w:w="0" w:type="dxa"/>
        <w:bottom w:w="0" w:type="dxa"/>
        <w:right w:w="0" w:type="dxa"/>
      </w:tblCellMar>
    </w:tblPr>
  </w:style>
  <w:style w:type="table" w:styleId="a8">
    <w:name w:val="Table Grid"/>
    <w:basedOn w:val="a1"/>
    <w:uiPriority w:val="39"/>
    <w:rsid w:val="00dc34c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chart" Target="charts/chart1.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c:chart>
    <c:title>
      <c:tx>
        <c:rich>
          <a:bodyPr rot="0"/>
          <a:lstStyle/>
          <a:p>
            <a:pPr>
              <a:defRPr b="0" sz="1300" strike="noStrike" u="none">
                <a:uFillTx/>
                <a:latin typeface="Arial"/>
              </a:defRPr>
            </a:pPr>
            <a:r>
              <a:rPr b="1" lang="uk-UA" sz="1400" strike="noStrike" u="none">
                <a:solidFill>
                  <a:srgbClr val="595959"/>
                </a:solidFill>
                <a:uFillTx/>
                <a:latin typeface="Calibri"/>
              </a:rPr>
              <a:t>Орієнтовна сума, млн грн; %</a:t>
            </a:r>
          </a:p>
        </c:rich>
      </c:tx>
      <c:overlay val="0"/>
      <c:spPr>
        <a:noFill/>
        <a:ln w="0">
          <a:noFill/>
        </a:ln>
      </c:spPr>
    </c:title>
    <c:autoTitleDeleted val="0"/>
    <c:plotArea>
      <c:pieChart>
        <c:varyColors val="1"/>
        <c:ser>
          <c:idx val="0"/>
          <c:order val="0"/>
          <c:tx>
            <c:strRef>
              <c:f>label 0</c:f>
              <c:strCache>
                <c:ptCount val="1"/>
                <c:pt idx="0">
                  <c:v>Орієнтовна сума, млн грн</c:v>
                </c:pt>
              </c:strCache>
            </c:strRef>
          </c:tx>
          <c:spPr>
            <a:solidFill>
              <a:srgbClr val="4472c4"/>
            </a:solidFill>
            <a:ln w="0">
              <a:noFill/>
            </a:ln>
          </c:spPr>
          <c:explosion val="0"/>
          <c:dPt>
            <c:idx val="0"/>
            <c:spPr>
              <a:solidFill>
                <a:srgbClr val="4472c4"/>
              </a:solidFill>
              <a:ln w="19080">
                <a:solidFill>
                  <a:srgbClr val="ffffff"/>
                </a:solidFill>
                <a:round/>
              </a:ln>
            </c:spPr>
          </c:dPt>
          <c:dPt>
            <c:idx val="1"/>
            <c:spPr>
              <a:solidFill>
                <a:srgbClr val="ed7d31"/>
              </a:solidFill>
              <a:ln w="19080">
                <a:solidFill>
                  <a:srgbClr val="ffffff"/>
                </a:solidFill>
                <a:round/>
              </a:ln>
            </c:spPr>
          </c:dPt>
          <c:dPt>
            <c:idx val="2"/>
            <c:spPr>
              <a:solidFill>
                <a:srgbClr val="a5a5a5"/>
              </a:solidFill>
              <a:ln w="19080">
                <a:solidFill>
                  <a:srgbClr val="ffffff"/>
                </a:solidFill>
                <a:round/>
              </a:ln>
            </c:spPr>
          </c:dPt>
          <c:dPt>
            <c:idx val="3"/>
            <c:spPr>
              <a:solidFill>
                <a:srgbClr val="ffc000"/>
              </a:solidFill>
              <a:ln w="19080">
                <a:solidFill>
                  <a:srgbClr val="ffffff"/>
                </a:solidFill>
                <a:round/>
              </a:ln>
            </c:spPr>
          </c:dPt>
          <c:dPt>
            <c:idx val="4"/>
            <c:spPr>
              <a:solidFill>
                <a:srgbClr val="5b9bd5"/>
              </a:solidFill>
              <a:ln w="19080">
                <a:solidFill>
                  <a:srgbClr val="ffffff"/>
                </a:solidFill>
                <a:round/>
              </a:ln>
            </c:spPr>
          </c:dPt>
          <c:dPt>
            <c:idx val="5"/>
            <c:spPr>
              <a:solidFill>
                <a:srgbClr val="70ad47"/>
              </a:solidFill>
              <a:ln w="19080">
                <a:solidFill>
                  <a:srgbClr val="ffffff"/>
                </a:solidFill>
                <a:round/>
              </a:ln>
            </c:spPr>
          </c:dPt>
          <c:dPt>
            <c:idx val="6"/>
            <c:spPr>
              <a:solidFill>
                <a:srgbClr val="264478"/>
              </a:solidFill>
              <a:ln w="19080">
                <a:solidFill>
                  <a:srgbClr val="ffffff"/>
                </a:solidFill>
                <a:round/>
              </a:ln>
            </c:spPr>
          </c:dPt>
          <c:dPt>
            <c:idx val="7"/>
            <c:spPr>
              <a:solidFill>
                <a:srgbClr val="9e480e"/>
              </a:solidFill>
              <a:ln w="19080">
                <a:solidFill>
                  <a:srgbClr val="ffffff"/>
                </a:solidFill>
                <a:round/>
              </a:ln>
            </c:spPr>
          </c:dPt>
          <c:dPt>
            <c:idx val="8"/>
            <c:spPr>
              <a:solidFill>
                <a:srgbClr val="636363"/>
              </a:solidFill>
              <a:ln w="19080">
                <a:solidFill>
                  <a:srgbClr val="ffffff"/>
                </a:solidFill>
                <a:round/>
              </a:ln>
            </c:spPr>
          </c:dPt>
          <c:dLbls>
            <c:numFmt formatCode="General" sourceLinked="1"/>
            <c:dLbl>
              <c:idx val="0"/>
              <c:numFmt formatCode="General" sourceLinked="1"/>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dLbl>
            <c:dLbl>
              <c:idx val="1"/>
              <c:numFmt formatCode="General" sourceLinked="1"/>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dLbl>
            <c:dLbl>
              <c:idx val="2"/>
              <c:numFmt formatCode="General" sourceLinked="1"/>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dLbl>
            <c:dLbl>
              <c:idx val="3"/>
              <c:numFmt formatCode="General" sourceLinked="1"/>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dLbl>
            <c:dLbl>
              <c:idx val="4"/>
              <c:numFmt formatCode="General" sourceLinked="1"/>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dLbl>
            <c:dLbl>
              <c:idx val="5"/>
              <c:numFmt formatCode="General" sourceLinked="1"/>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dLbl>
            <c:dLbl>
              <c:idx val="6"/>
              <c:numFmt formatCode="General" sourceLinked="1"/>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dLbl>
            <c:dLbl>
              <c:idx val="7"/>
              <c:numFmt formatCode="General" sourceLinked="1"/>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dLbl>
            <c:dLbl>
              <c:idx val="8"/>
              <c:numFmt formatCode="General" sourceLinked="1"/>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dLbl>
            <c:spPr>
              <a:solidFill>
                <a:srgbClr val="ffffff"/>
              </a:solidFill>
            </c:spPr>
            <c:txPr>
              <a:bodyPr wrap="square"/>
              <a:lstStyle/>
              <a:p>
                <a:pPr>
                  <a:defRPr b="0" sz="900" strike="noStrike" u="none">
                    <a:solidFill>
                      <a:srgbClr val="595959"/>
                    </a:solidFill>
                    <a:uFillTx/>
                    <a:latin typeface="Calibri"/>
                  </a:defRPr>
                </a:pPr>
              </a:p>
            </c:txPr>
            <c:dLblPos val="outEnd"/>
            <c:showLegendKey val="1"/>
            <c:showVal val="1"/>
            <c:showCatName val="0"/>
            <c:showSerName val="0"/>
            <c:showPercent val="1"/>
            <c:separator>; </c:separator>
            <c:showLeaderLines val="1"/>
            <c:leaderLines>
              <c:spPr>
                <a:ln w="0">
                  <a:solidFill>
                    <a:srgbClr val="a6a6a6"/>
                  </a:solidFill>
                </a:ln>
              </c:spPr>
            </c:leaderLines>
          </c:dLbls>
          <c:cat>
            <c:strRef>
              <c:f>categories</c:f>
              <c:strCache>
                <c:ptCount val="9"/>
                <c:pt idx="0">
                  <c:v>Підготовка території та дренаж</c:v>
                </c:pt>
                <c:pt idx="1">
                  <c:v>Футбольне поле зі штучним покриттям</c:v>
                </c:pt>
                <c:pt idx="2">
                  <c:v>Зона для розминки</c:v>
                </c:pt>
                <c:pt idx="3">
                  <c:v>Освітлення стадіону</c:v>
                </c:pt>
                <c:pt idx="4">
                  <c:v>Трибуни</c:v>
                </c:pt>
                <c:pt idx="5">
                  <c:v>Адміністративно-побутові приміщення</c:v>
                </c:pt>
                <c:pt idx="6">
                  <c:v>Системи безпеки, оповіщення</c:v>
                </c:pt>
                <c:pt idx="7">
                  <c:v>Благоустрій та паркування</c:v>
                </c:pt>
                <c:pt idx="8">
                  <c:v>ПКД, експертиза, технагляд</c:v>
                </c:pt>
              </c:strCache>
            </c:strRef>
          </c:cat>
          <c:val>
            <c:numRef>
              <c:f>0</c:f>
              <c:numCache>
                <c:formatCode>General</c:formatCode>
                <c:ptCount val="9"/>
                <c:pt idx="0">
                  <c:v>2</c:v>
                </c:pt>
                <c:pt idx="1">
                  <c:v>8.5</c:v>
                </c:pt>
                <c:pt idx="2">
                  <c:v>1.5</c:v>
                </c:pt>
                <c:pt idx="3">
                  <c:v>3</c:v>
                </c:pt>
                <c:pt idx="4">
                  <c:v>1.3</c:v>
                </c:pt>
                <c:pt idx="5">
                  <c:v>2.7</c:v>
                </c:pt>
                <c:pt idx="6">
                  <c:v>0.6</c:v>
                </c:pt>
                <c:pt idx="7">
                  <c:v>0.9</c:v>
                </c:pt>
                <c:pt idx="8">
                  <c:v>0.5</c:v>
                </c:pt>
              </c:numCache>
            </c:numRef>
          </c:val>
        </c:ser>
        <c:firstSliceAng val="125"/>
      </c:pieChart>
      <c:spPr>
        <a:noFill/>
        <a:ln w="0">
          <a:noFill/>
        </a:ln>
      </c:spPr>
    </c:plotArea>
    <c:legend>
      <c:legendPos val="b"/>
      <c:layout>
        <c:manualLayout>
          <c:xMode val="edge"/>
          <c:yMode val="edge"/>
          <c:x val="0.10875"/>
          <c:y val="0.873444444444445"/>
          <c:w val="0.772735795987249"/>
          <c:h val="0.112679186576286"/>
        </c:manualLayout>
      </c:layout>
      <c:overlay val="0"/>
      <c:spPr>
        <a:noFill/>
        <a:ln w="0">
          <a:noFill/>
        </a:ln>
      </c:spPr>
      <c:txPr>
        <a:bodyPr/>
        <a:lstStyle/>
        <a:p>
          <a:pPr>
            <a:defRPr b="1" sz="900" strike="noStrike" u="none">
              <a:solidFill>
                <a:srgbClr val="595959"/>
              </a:solidFill>
              <a:uFillTx/>
              <a:latin typeface="Calibri"/>
            </a:defRPr>
          </a:pPr>
        </a:p>
      </c:txPr>
    </c:legend>
    <c:plotVisOnly val="1"/>
    <c:dispBlanksAs val="gap"/>
  </c:chart>
  <c:spPr>
    <a:solidFill>
      <a:srgbClr val="ffffff"/>
    </a:solidFill>
    <a:ln w="9360">
      <a:solidFill>
        <a:srgbClr val="d9d9d9"/>
      </a:solidFill>
      <a:round/>
    </a:ln>
  </c:spPr>
</c:chartSpace>
</file>

<file path=word/theme/theme1.xml><?xml version="1.0" encoding="utf-8"?>
<a:theme xmlns:a="http://schemas.openxmlformats.org/drawingml/2006/main" xmlns:r="http://schemas.openxmlformats.org/officeDocument/2006/relationships" name="Тема Office">
  <a:themeElements>
    <a:clrScheme name="Офіс">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BAA37-ABED-403F-BF1B-530779770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5691</TotalTime>
  <Application>LibreOffice/25.2.7.2$Windows_X86_64 LibreOffice_project/5cbfd1ab6520636bb5f7b99185aa69bd7456825d</Application>
  <AppVersion>15.0000</AppVersion>
  <Pages>43</Pages>
  <Words>10225</Words>
  <Characters>74408</Characters>
  <CharactersWithSpaces>84529</CharactersWithSpaces>
  <Paragraphs>801</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2025-11-18T18:57:00Z</dcterms:created>
  <dc:creator>Smal</dc:creator>
  <dc:description/>
  <dc:language>uk-UA</dc:language>
  <cp:lastModifiedBy/>
  <cp:lastPrinted>2026-01-07T11:00:15Z</cp:lastPrinted>
  <dcterms:modified xsi:type="dcterms:W3CDTF">2026-01-08T09:54:07Z</dcterms:modified>
  <cp:revision>64</cp:revision>
  <dc:subject/>
  <dc:title/>
</cp:coreProperties>
</file>

<file path=docProps/custom.xml><?xml version="1.0" encoding="utf-8"?>
<Properties xmlns="http://schemas.openxmlformats.org/officeDocument/2006/custom-properties" xmlns:vt="http://schemas.openxmlformats.org/officeDocument/2006/docPropsVTypes"/>
</file>