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/>
        <w:suppressAutoHyphens w:val="true"/>
        <w:bidi w:val="0"/>
        <w:spacing w:lineRule="auto" w:line="240" w:before="0" w:after="0"/>
        <w:ind w:firstLine="6350" w:left="0" w:righ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firstLine="6350" w:left="0" w:righ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Додаток</w:t>
      </w:r>
    </w:p>
    <w:p>
      <w:pPr>
        <w:pStyle w:val="Normal"/>
        <w:widowControl/>
        <w:bidi w:val="0"/>
        <w:spacing w:lineRule="auto" w:line="240" w:before="0" w:after="0"/>
        <w:ind w:firstLine="6350" w:left="0" w:righ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до рішення міської ради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firstLine="6350" w:left="0" w:righ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__________ № ________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b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b/>
          <w:kern w:val="0"/>
          <w:sz w:val="28"/>
          <w:szCs w:val="28"/>
          <w:lang w:eastAsia="uk-UA"/>
          <w14:ligatures w14:val="none"/>
        </w:rPr>
        <w:t>П</w:t>
      </w:r>
      <w:r>
        <w:rPr>
          <w:rFonts w:eastAsia="Times New Roman" w:cs="Times New Roman" w:ascii="Times New Roman" w:hAnsi="Times New Roman"/>
          <w:b/>
          <w:bCs/>
          <w:kern w:val="0"/>
          <w:sz w:val="28"/>
          <w:szCs w:val="28"/>
          <w:lang w:eastAsia="uk-UA"/>
          <w14:ligatures w14:val="none"/>
        </w:rPr>
        <w:t xml:space="preserve">ропозиція 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kern w:val="0"/>
          <w:sz w:val="28"/>
          <w:szCs w:val="28"/>
          <w:lang w:val="ru-RU" w:eastAsia="uk-UA"/>
          <w14:ligatures w14:val="none"/>
        </w:rPr>
      </w:pPr>
      <w:r>
        <w:rPr>
          <w:rFonts w:eastAsia="Times New Roman" w:cs="Times New Roman" w:ascii="Times New Roman" w:hAnsi="Times New Roman"/>
          <w:b/>
          <w:bCs/>
          <w:kern w:val="0"/>
          <w:sz w:val="28"/>
          <w:szCs w:val="28"/>
          <w:lang w:eastAsia="uk-UA"/>
          <w14:ligatures w14:val="none"/>
        </w:rPr>
        <w:t xml:space="preserve">про здійснення публічно-приватного партнерства </w:t>
      </w:r>
    </w:p>
    <w:p>
      <w:pPr>
        <w:pStyle w:val="Normal"/>
        <w:shd w:val="clear" w:color="auto" w:fill="FFFFFF" w:themeFill="background1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b/>
          <w:bCs/>
          <w:kern w:val="0"/>
          <w:sz w:val="28"/>
          <w:szCs w:val="28"/>
          <w:lang w:eastAsia="uk-UA"/>
          <w14:ligatures w14:val="none"/>
        </w:rPr>
        <w:t>щодо проєкту «Будівництво та експлуатація стадіону з штучним покриттям за адресою м. Луцьк, вул. Теремнівська, 40-г»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 xml:space="preserve">1. Інформація про об'єкт публічно-приватного партнерства (далі - ППП) та ініціатора пропозиції щодо здійснення ППП. </w:t>
      </w:r>
    </w:p>
    <w:p>
      <w:pPr>
        <w:pStyle w:val="Normal"/>
        <w:shd w:val="clear" w:color="auto" w:fill="FFFFFF" w:themeFill="background1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 xml:space="preserve">1.1. Об'єктом ППП є земельна ділянка, розташована </w:t>
      </w:r>
      <w:r>
        <w:rPr>
          <w:rFonts w:cs="Times New Roman" w:ascii="Times New Roman" w:hAnsi="Times New Roman"/>
          <w:sz w:val="28"/>
          <w:szCs w:val="28"/>
        </w:rPr>
        <w:t>за адресою вул. Теремнівська, 40-г в м. Луцьку.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 xml:space="preserve">1.2. Найменування власника об’єкта ППП: 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 xml:space="preserve">Луцька міська територіальна громада в особі 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Луцьк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val="uk-UA" w:eastAsia="uk-UA"/>
          <w14:ligatures w14:val="none"/>
        </w:rPr>
        <w:t>ої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 xml:space="preserve"> міськ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val="uk-UA" w:eastAsia="uk-UA"/>
          <w14:ligatures w14:val="none"/>
        </w:rPr>
        <w:t>ої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 xml:space="preserve"> рад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и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1.3 Найменування публічного партнера та ініціатора пропозиції щодо здійснення ППП (далі – публічний партнер): Виконавчий комітет Луцької міської ради.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 xml:space="preserve">1.4. Код за ЄДРПОУ, види діяльності за КВЕД публічного партнера: </w:t>
        <w:br/>
        <w:t>код: 04051327, КВЕД: 84.11 Державне управління загального характеру.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 xml:space="preserve">1.5. Дата державної реєстрації публічного партнера: </w:t>
      </w:r>
      <w:r>
        <w:rPr>
          <w:rFonts w:cs="Times New Roman" w:ascii="Times New Roman" w:hAnsi="Times New Roman"/>
          <w:sz w:val="28"/>
          <w:szCs w:val="28"/>
        </w:rPr>
        <w:t>18.04.1996.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1.6. Форма власності об'єкта ППП: комунальна.</w:t>
      </w:r>
    </w:p>
    <w:p>
      <w:pPr>
        <w:pStyle w:val="Normal"/>
        <w:tabs>
          <w:tab w:val="clear" w:pos="708"/>
          <w:tab w:val="left" w:pos="9639" w:leader="none"/>
        </w:tabs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cs="Times New Roman" w:ascii="Times New Roman" w:hAnsi="Times New Roman"/>
          <w:sz w:val="28"/>
          <w:szCs w:val="28"/>
          <w:lang w:eastAsia="uk-UA"/>
        </w:rPr>
        <w:t>1.7. Місцезнаходження, поштова адреса об'єкта ППП: 43000, вул. Теремнівська, 40-г, м. Луцьк, Україна.</w:t>
      </w:r>
    </w:p>
    <w:p>
      <w:pPr>
        <w:pStyle w:val="Normal"/>
        <w:tabs>
          <w:tab w:val="clear" w:pos="708"/>
          <w:tab w:val="left" w:pos="9639" w:leader="none"/>
        </w:tabs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cs="Times New Roman" w:ascii="Times New Roman" w:hAnsi="Times New Roman"/>
          <w:sz w:val="28"/>
          <w:szCs w:val="28"/>
          <w:lang w:eastAsia="uk-UA"/>
        </w:rPr>
        <w:t>1.8. Місцезнаходження публічного партнера: вул. Богдана Хмельницького,</w:t>
      </w:r>
      <w:r>
        <w:rPr>
          <w:rFonts w:cs="Times New Roman" w:ascii="Times New Roman" w:hAnsi="Times New Roman"/>
          <w:sz w:val="28"/>
          <w:szCs w:val="28"/>
          <w:lang w:val="en-US" w:eastAsia="uk-UA"/>
        </w:rPr>
        <w:t> </w:t>
      </w:r>
      <w:r>
        <w:rPr>
          <w:rFonts w:cs="Times New Roman" w:ascii="Times New Roman" w:hAnsi="Times New Roman"/>
          <w:sz w:val="28"/>
          <w:szCs w:val="28"/>
          <w:lang w:eastAsia="uk-UA"/>
        </w:rPr>
        <w:t>19, м. Луцьк, Україна.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 xml:space="preserve">1.9. Прізвище, ім'я, по батькові керівника публічного партнера: </w:t>
        <w:br/>
        <w:t>Поліщук Ігор Ігорович.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 xml:space="preserve">1.10. Контактний телефон, факс та адреса електронної пошти публічного партнера: (0332) 777 933, (0332) 777 900, email: 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val="en-US" w:eastAsia="uk-UA"/>
          <w14:ligatures w14:val="none"/>
        </w:rPr>
        <w:t>econom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@l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val="en-US" w:eastAsia="uk-UA"/>
          <w14:ligatures w14:val="none"/>
        </w:rPr>
        <w:t>utskrada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.gov.ua, office@lutskrada.gov.ua.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1.11. Основні характеристики об'єкта ППП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Основні технічні та функціональні характеристики: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 xml:space="preserve">Поле для гри: гладка та рівна поверхня; розміри  (91-105м х 61-68м); </w:t>
      </w:r>
      <w:bookmarkStart w:id="0" w:name="_Hlk213191308"/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штучне покриття відповідно до ДБН та спортивних стандартів;</w:t>
      </w:r>
      <w:r>
        <w:rPr/>
        <w:t xml:space="preserve"> 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розмітка відповідно до вимог футбольних асоціацій; оснащене дренажною системою</w:t>
      </w:r>
      <w:bookmarkEnd w:id="0"/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Зона для розминок: облаштована окрема територія для розминки гравців</w:t>
      </w:r>
      <w:r>
        <w:rPr/>
        <w:t xml:space="preserve"> 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вздовж бокової лінії або за рекламними щитами біля кутових прапорців (за воротами власної команди); покриття ‒ штучне або натуральне трав’яне; оснащена елементами безпеки та огорожі.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Футбольні ворота: стійки та поперечини футбольних воріт виготовлені з алюмінієвого або аналогічних сучасних сплавів (круглі чи еліптичної форми); відстань між стійками ‒ 7.32 м.; відстань від нижнього краю поперечини до землі ‒ 2.44 м.; стійки воріт та поперечина білого кольору; не становлять жодної небезпеки для учасників матчу; наявні запасні ворота, які можуть бути легко встановлені в разі потреби.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Освітлення: система штучного освітлення (LED прожектори) для проведення матчів та тренувань у вечірній час, що забезпечує</w:t>
      </w:r>
      <w:r>
        <w:rPr/>
        <w:t xml:space="preserve"> 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середню горизонтальну освітленість в межах 350 Lx; відповідає вимогам телевізійної трансляції та безпечного проведення заходів.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Лави для запасних: покриті, захищені від погодних умов; обладнані сидіннями та місцями для персоналу команд (не менше ніж на 13 осіб для кожної команди).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Роздягальні: для кожної команди та суддів окремо; для команд оснащені щонайменше місцями для 25 осіб, двома душовими, окремим туалетом, одним масажним столом і однією тактичною дошкою; розташовані у безпосередній близькості до поля; забезпечують прямий та безпечний доступ для обох команд і арбітрів до ігрового поля; гарантують безпечне прибуття офіційних осіб на в’їзд/виїзд на (зі) стадіону.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Флаштоки: п’ять флагштоків або інших опор, що забезпечують підняття прапорів на стадіоні.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Пункт першої невідкладної допомоги: обладнаний медичним оснащенням для надання першої допомоги під час змагань та тренувань відповідно до вимог Української асоціації футболу (УАФ); розташований біля поля та роздягалень.</w:t>
      </w:r>
    </w:p>
    <w:p>
      <w:pPr>
        <w:pStyle w:val="Normal"/>
        <w:shd w:val="clear" w:color="auto" w:fill="FFFFFF" w:themeFill="background1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Паркувальні місця: кількість місць ‒ не менше 10 (з них мінімум два місця для паркування  автобусів); доступні для глядачів, персоналу та осіб з інвалідністю; облаштовані за схемою безпечного під’їзду до об’єкта.</w:t>
      </w:r>
    </w:p>
    <w:p>
      <w:pPr>
        <w:pStyle w:val="Normal"/>
        <w:shd w:val="clear" w:color="auto" w:fill="FFFFFF" w:themeFill="background1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Трибуни: кількість місць ‒ не менше 50; індивідуальні, закріплені (наприклад, до підлоги), відокремлені одне від одного, пронумеровані; виготовлені з міцного вогнестійкого матеріалу; мають спинку висотою не менше 30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val="en-US" w:eastAsia="uk-UA"/>
          <w14:ligatures w14:val="none"/>
        </w:rPr>
        <w:t> 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см та ширину не менше 45 см; облаштовані вишками для встановлення камер для відеотрансляції.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Система громадського оповіщення: гучномовці та табло для оголошень під час матчів та тренувань; охоплює усю територію стадіону; забезпечує можливість трансляції повідомлень (в тому числі екстрених); захищена від збоїв живлення основного джерела.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Послуги для глядачів з обмеженими можливостями: доступні під’їзди та пандуси; виділені місця на трибунах; спеціально обладнані санітарні приміщення; зручні маршрути руху по території стадіону.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Вхід та вихід на стадіон: уся територія спортивної споруди огороджена; вхідні ворота та/чи турнікети унеможливлюють затори і забезпечують вільне проходження натовпу; вихідні двері та ворота чітко видимі та позначені; вихідні двері та ворота на стадіоні із секторів в ігрову зону розблоковані (у разі автоматичного керування, обов’язкова також можливість керування вручну), відкриваються назовні у напрямку виходу та шляхів евакуації; на підходах і на стадіоні встановлені відповідні покажчики (наприклад, міжнародні піктограми), за якими легко визначити вхідні та вихідні двері та ворота.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Адміністративні, господарські та технічні приміщення: адміністративний блок / офіс; конференц-зал / зал для пресконференцій та зустрічей (мінімум на 20 осіб); бюро або пункт адміністратора / каси; склад для спортивного інвентаря;</w:t>
      </w:r>
      <w:r>
        <w:rPr/>
        <w:t xml:space="preserve"> 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склад господарських матеріалів та інвентаря для обслуговування стадіону; технічні приміщення для інженерних мереж.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val="ru-RU" w:eastAsia="uk-UA"/>
          <w14:ligatures w14:val="none"/>
        </w:rPr>
        <w:t>2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 xml:space="preserve">. Інформація про проєкт, що передбачається реалізувати у 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val="en-US" w:eastAsia="uk-UA"/>
          <w14:ligatures w14:val="none"/>
        </w:rPr>
        <w:t>межах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 xml:space="preserve"> ППП.</w:t>
      </w:r>
    </w:p>
    <w:p>
      <w:pPr>
        <w:pStyle w:val="Normal"/>
        <w:shd w:val="clear" w:color="auto" w:fill="FFFFFF" w:themeFill="background1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val="ru-RU" w:eastAsia="uk-UA"/>
          <w14:ligatures w14:val="none"/>
        </w:rPr>
        <w:t>2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 xml:space="preserve">.1. Назва проєкту, що планується реалізуватись у межах ППП: «Будівництво та експлуатація стадіону з штучним покриттям за адресою вул. Теремнівська, 40-г 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val="ru-RU" w:eastAsia="uk-UA"/>
          <w14:ligatures w14:val="none"/>
        </w:rPr>
        <w:t>у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 xml:space="preserve"> місті Луцьку».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val="ru-RU" w:eastAsia="uk-UA"/>
          <w14:ligatures w14:val="none"/>
        </w:rPr>
        <w:t>2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 xml:space="preserve">.2. Мета проєкту: 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Забезпечення громади сучасним спортивним об’єктом ‒ стадіоном з штучним покриттям, який буде побудований та утримуватись за кошти приватного партнера, з подальшою орендою об’єкта для забезпечення доступності спорту та фізичної культури для мешканців громади, підвищення рівня спортивної інфраструктури та залучення приватних інвестицій до розвитку території.</w:t>
      </w:r>
    </w:p>
    <w:p>
      <w:pPr>
        <w:pStyle w:val="Normal"/>
        <w:shd w:val="clear" w:color="auto" w:fill="FFFFFF" w:themeFill="background1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2.3. Строк реалізації проєкту: 49 років.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2.4. Форма здійснення ППП: договір оренди з інвестиційними зобов’язаннями.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val="ru-RU" w:eastAsia="uk-UA"/>
          <w14:ligatures w14:val="none"/>
        </w:rPr>
        <w:t>2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.5. Прогнозована сума інвестицій, необхідна для запуску об’єкта в експлуатацію: 20 000,0 тис. гривень.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2.6. Основна діяльність, яку буде здійснювати під час реалізації проєкту ППП приватний партнер: проєктування та будівництво стадіону з штучним покриттям на комунальній земельній ділянці; повне фінансування будівництва та введення об’єкта в експлуатацію; утримання, обслуговування та управління стадіоном протягом строку дії договору ППП; надання доступу до стадіону для мешканців громади відповідно до умов договору.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2.7. Сума та вид державної підтримки, які необхідні для реалізації проєкту: не потребує державної підтримки.</w:t>
      </w:r>
    </w:p>
    <w:p>
      <w:pPr>
        <w:pStyle w:val="Normal"/>
        <w:shd w:val="clear" w:color="auto" w:fill="FFFFFF" w:themeFill="background1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2.8. Інформація про земельну ділянку, що необхідна для реалізації ППП:</w:t>
      </w:r>
      <w:r>
        <w:rPr>
          <w:rFonts w:cs="Times New Roman" w:ascii="Times New Roman" w:hAnsi="Times New Roman"/>
          <w:sz w:val="28"/>
          <w:szCs w:val="28"/>
        </w:rPr>
        <w:t xml:space="preserve"> орієнтовна площа: </w:t>
      </w:r>
      <w:bookmarkStart w:id="1" w:name="_Hlk213189610"/>
      <w:r>
        <w:rPr>
          <w:rFonts w:cs="Times New Roman" w:ascii="Times New Roman" w:hAnsi="Times New Roman"/>
          <w:sz w:val="28"/>
          <w:szCs w:val="28"/>
        </w:rPr>
        <w:t>1 га,</w:t>
      </w:r>
      <w:r>
        <w:rPr/>
        <w:t xml:space="preserve"> </w:t>
      </w:r>
      <w:r>
        <w:rPr>
          <w:rFonts w:cs="Times New Roman" w:ascii="Times New Roman" w:hAnsi="Times New Roman"/>
          <w:sz w:val="28"/>
          <w:szCs w:val="28"/>
        </w:rPr>
        <w:t>призначення: 03.15 Для будівництва та обслуговування інших будівель громадської забудови; використання ‒ для будівництва та обслуговування спортивного комплексу; категорія ‒ землі житлової та громадської забудови.</w:t>
      </w:r>
      <w:bookmarkEnd w:id="1"/>
    </w:p>
    <w:p>
      <w:pPr>
        <w:pStyle w:val="Normal"/>
        <w:shd w:val="clear" w:color="auto" w:fill="FFFFFF" w:themeFill="background1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</w:t>
      </w:r>
      <w:r>
        <w:rPr>
          <w:rFonts w:cs="Times New Roman" w:ascii="Times New Roman" w:hAnsi="Times New Roman"/>
          <w:sz w:val="28"/>
          <w:szCs w:val="28"/>
          <w:lang w:val="ru-RU"/>
        </w:rPr>
        <w:t> </w:t>
      </w:r>
      <w:r>
        <w:rPr>
          <w:rFonts w:cs="Times New Roman" w:ascii="Times New Roman" w:hAnsi="Times New Roman"/>
          <w:sz w:val="28"/>
          <w:szCs w:val="28"/>
        </w:rPr>
        <w:t xml:space="preserve">Невід’ємною частиною цієї пропозиції є техніко-економічне обґрунтування для здійснення публічно-приватного партнерства щодо проєкту </w:t>
      </w:r>
      <w:r>
        <w:rPr>
          <w:rFonts w:eastAsia="Times New Roman" w:cs="Times New Roman" w:ascii="Times New Roman" w:hAnsi="Times New Roman"/>
          <w:bCs/>
          <w:kern w:val="0"/>
          <w:sz w:val="28"/>
          <w:szCs w:val="28"/>
          <w:lang w:eastAsia="uk-UA"/>
          <w14:ligatures w14:val="none"/>
        </w:rPr>
        <w:t>«Будівництво та експлуатація стадіону з штучним покриттям за адресою м. Луцьк, вул. Теремнівська, 40-г»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 xml:space="preserve"> </w:t>
      </w:r>
      <w:bookmarkStart w:id="2" w:name="_GoBack"/>
      <w:bookmarkEnd w:id="2"/>
      <w:r>
        <w:rPr>
          <w:rFonts w:cs="Times New Roman" w:ascii="Times New Roman" w:hAnsi="Times New Roman"/>
          <w:sz w:val="28"/>
          <w:szCs w:val="28"/>
        </w:rPr>
        <w:t>(додано).</w:t>
      </w:r>
    </w:p>
    <w:p>
      <w:pPr>
        <w:pStyle w:val="Normal"/>
        <w:shd w:val="clear" w:color="auto" w:fill="FFFFFF" w:themeFill="background1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142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hd w:val="clear" w:color="auto" w:fill="FFFFFF" w:themeFill="background1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142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hd w:val="clear" w:color="auto" w:fill="FFFFFF" w:themeFill="background1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142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pacing w:before="0" w:after="1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Секретар міської ради                                                                 Юрій БЕЗПЯТКО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984" w:right="567" w:gutter="0" w:header="1134" w:top="1866" w:footer="0" w:bottom="1134"/>
      <w:pgNumType w:start="2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spacing w:before="0" w:after="16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160"/>
      <w:jc w:val="center"/>
      <w:rPr>
        <w:rFonts w:ascii="Times New Roman" w:hAnsi="Times New Roman"/>
        <w:sz w:val="28"/>
        <w:szCs w:val="28"/>
      </w:rPr>
    </w:pPr>
    <w:bookmarkStart w:id="3" w:name="PageNumWizard_HEADER_Перша_сторінка2"/>
    <w:r>
      <w:rPr>
        <w:rFonts w:ascii="Times New Roman" w:hAnsi="Times New Roman"/>
        <w:sz w:val="28"/>
        <w:szCs w:val="28"/>
      </w:rPr>
      <w:fldChar w:fldCharType="begin"/>
    </w:r>
    <w:r>
      <w:rPr>
        <w:sz w:val="28"/>
        <w:szCs w:val="28"/>
        <w:rFonts w:ascii="Times New Roman" w:hAnsi="Times New Roman"/>
      </w:rPr>
      <w:instrText xml:space="preserve"> PAGE </w:instrText>
    </w:r>
    <w:r>
      <w:rPr>
        <w:sz w:val="28"/>
        <w:szCs w:val="28"/>
        <w:rFonts w:ascii="Times New Roman" w:hAnsi="Times New Roman"/>
      </w:rPr>
      <w:fldChar w:fldCharType="separate"/>
    </w:r>
    <w:r>
      <w:rPr>
        <w:sz w:val="28"/>
        <w:szCs w:val="28"/>
        <w:rFonts w:ascii="Times New Roman" w:hAnsi="Times New Roman"/>
      </w:rPr>
      <w:t>5</w:t>
    </w:r>
    <w:r>
      <w:rPr>
        <w:sz w:val="28"/>
        <w:szCs w:val="28"/>
        <w:rFonts w:ascii="Times New Roman" w:hAnsi="Times New Roman"/>
      </w:rPr>
      <w:fldChar w:fldCharType="end"/>
    </w:r>
    <w:bookmarkEnd w:id="3"/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160"/>
      <w:jc w:val="center"/>
      <w:rPr>
        <w:rFonts w:ascii="Times New Roman" w:hAnsi="Times New Roman"/>
        <w:sz w:val="28"/>
        <w:szCs w:val="28"/>
      </w:rPr>
    </w:pPr>
    <w:bookmarkStart w:id="4" w:name="PageNumWizard_HEADER_Перша_сторінка2"/>
    <w:r>
      <w:rPr>
        <w:rFonts w:ascii="Times New Roman" w:hAnsi="Times New Roman"/>
        <w:sz w:val="28"/>
        <w:szCs w:val="28"/>
      </w:rPr>
      <w:fldChar w:fldCharType="begin"/>
    </w:r>
    <w:r>
      <w:rPr>
        <w:sz w:val="28"/>
        <w:szCs w:val="28"/>
        <w:rFonts w:ascii="Times New Roman" w:hAnsi="Times New Roman"/>
      </w:rPr>
      <w:instrText xml:space="preserve"> PAGE </w:instrText>
    </w:r>
    <w:r>
      <w:rPr>
        <w:sz w:val="28"/>
        <w:szCs w:val="28"/>
        <w:rFonts w:ascii="Times New Roman" w:hAnsi="Times New Roman"/>
      </w:rPr>
      <w:fldChar w:fldCharType="separate"/>
    </w:r>
    <w:r>
      <w:rPr>
        <w:sz w:val="28"/>
        <w:szCs w:val="28"/>
        <w:rFonts w:ascii="Times New Roman" w:hAnsi="Times New Roman"/>
      </w:rPr>
      <w:t>5</w:t>
    </w:r>
    <w:r>
      <w:rPr>
        <w:sz w:val="28"/>
        <w:szCs w:val="28"/>
        <w:rFonts w:ascii="Times New Roman" w:hAnsi="Times New Roman"/>
      </w:rPr>
      <w:fldChar w:fldCharType="end"/>
    </w:r>
    <w:bookmarkEnd w:id="4"/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uk-UA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TML" w:customStyle="1">
    <w:name w:val="Стандартний HTML Знак"/>
    <w:basedOn w:val="DefaultParagraphFont"/>
    <w:link w:val="HTMLPreformatted"/>
    <w:uiPriority w:val="99"/>
    <w:semiHidden/>
    <w:qFormat/>
    <w:rsid w:val="008568fc"/>
    <w:rPr>
      <w:rFonts w:ascii="Courier New" w:hAnsi="Courier New" w:eastAsia="Times New Roman" w:cs="Courier New"/>
      <w:kern w:val="0"/>
      <w:sz w:val="20"/>
      <w:szCs w:val="20"/>
      <w:lang w:eastAsia="uk-UA"/>
      <w14:ligatures w14:val="none"/>
    </w:rPr>
  </w:style>
  <w:style w:type="character" w:styleId="user">
    <w:name w:val="Гіперпосилання (user)"/>
    <w:basedOn w:val="DefaultParagraphFont"/>
    <w:uiPriority w:val="99"/>
    <w:unhideWhenUsed/>
    <w:qFormat/>
    <w:rsid w:val="00282b63"/>
    <w:rPr>
      <w:color w:themeColor="hyperlink" w:val="0563C1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user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2">
    <w:name w:val="Покажчик (user)"/>
    <w:basedOn w:val="Normal"/>
    <w:qFormat/>
    <w:pPr>
      <w:suppressLineNumbers/>
    </w:pPr>
    <w:rPr>
      <w:rFonts w:cs="Arial"/>
    </w:rPr>
  </w:style>
  <w:style w:type="paragraph" w:styleId="HTMLPreformatted">
    <w:name w:val="HTML Preformatted"/>
    <w:basedOn w:val="Normal"/>
    <w:link w:val="HTML"/>
    <w:uiPriority w:val="99"/>
    <w:semiHidden/>
    <w:unhideWhenUsed/>
    <w:qFormat/>
    <w:rsid w:val="008568fc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kern w:val="0"/>
      <w:sz w:val="20"/>
      <w:szCs w:val="20"/>
      <w:lang w:eastAsia="uk-UA"/>
      <w14:ligatures w14:val="none"/>
    </w:rPr>
  </w:style>
  <w:style w:type="paragraph" w:styleId="ListParagraph">
    <w:name w:val="List Paragraph"/>
    <w:basedOn w:val="Normal"/>
    <w:uiPriority w:val="34"/>
    <w:qFormat/>
    <w:rsid w:val="00143ca8"/>
    <w:pPr>
      <w:spacing w:before="0" w:after="160"/>
      <w:ind w:hanging="0" w:left="720"/>
      <w:contextualSpacing/>
    </w:pPr>
    <w:rPr/>
  </w:style>
  <w:style w:type="paragraph" w:styleId="NoSpacing">
    <w:name w:val="No Spacing"/>
    <w:uiPriority w:val="99"/>
    <w:qFormat/>
    <w:rsid w:val="00c23bab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  <w14:ligatures w14:val="none"/>
    </w:rPr>
  </w:style>
  <w:style w:type="paragraph" w:styleId="user3">
    <w:name w:val="Верхній і нижній колонтитули (user)"/>
    <w:basedOn w:val="Normal"/>
    <w:qFormat/>
    <w:pPr/>
    <w:rPr/>
  </w:style>
  <w:style w:type="paragraph" w:styleId="Style16">
    <w:name w:val="Верхній і нижній колонтитули"/>
    <w:basedOn w:val="Normal"/>
    <w:qFormat/>
    <w:pPr/>
    <w:rPr/>
  </w:style>
  <w:style w:type="paragraph" w:styleId="Header">
    <w:name w:val="header"/>
    <w:basedOn w:val="user3"/>
    <w:pPr>
      <w:suppressLineNumbers/>
    </w:pPr>
    <w:rPr/>
  </w:style>
  <w:style w:type="paragraph" w:styleId="Footer">
    <w:name w:val="footer"/>
    <w:basedOn w:val="user3"/>
    <w:pPr>
      <w:suppressLineNumbers/>
    </w:pPr>
    <w:rPr/>
  </w:style>
  <w:style w:type="numbering" w:styleId="user4" w:default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59135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7D96D6-6762-424F-8536-4D275DFBA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Application>LibreOffice/25.2.7.2$Windows_X86_64 LibreOffice_project/5cbfd1ab6520636bb5f7b99185aa69bd7456825d</Application>
  <AppVersion>15.0000</AppVersion>
  <Pages>4</Pages>
  <Words>958</Words>
  <Characters>6357</Characters>
  <CharactersWithSpaces>7342</CharactersWithSpaces>
  <Paragraphs>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2025-10-20T08:31:00Z</dcterms:created>
  <dc:creator>Serhii Omelchuk</dc:creator>
  <dc:description/>
  <dc:language>uk-UA</dc:language>
  <cp:lastModifiedBy/>
  <dcterms:modified xsi:type="dcterms:W3CDTF">2026-01-19T16:28:11Z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