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widowControl w:val="false"/>
        <w:jc w:val="center"/>
        <w:rPr>
          <w:sz w:val="16"/>
          <w:szCs w:val="16"/>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685100738" r:id="rId2"/>
        </w:object>
      </w:r>
    </w:p>
    <w:p>
      <w:pPr>
        <w:pStyle w:val="Normal"/>
        <w:widowControl w:val="false"/>
        <w:jc w:val="center"/>
        <w:rPr>
          <w:sz w:val="16"/>
          <w:szCs w:val="16"/>
        </w:rPr>
      </w:pPr>
      <w:r>
        <w:rPr>
          <w:sz w:val="16"/>
          <w:szCs w:val="16"/>
        </w:rPr>
      </w:r>
    </w:p>
    <w:p>
      <w:pPr>
        <w:pStyle w:val="Heading1"/>
        <w:widowControl w:val="false"/>
        <w:numPr>
          <w:ilvl w:val="0"/>
          <w:numId w:val="1"/>
        </w:numPr>
        <w:rPr>
          <w:sz w:val="28"/>
          <w:szCs w:val="28"/>
        </w:rPr>
      </w:pPr>
      <w:r>
        <w:rPr>
          <w:sz w:val="28"/>
          <w:szCs w:val="28"/>
        </w:rPr>
        <w:t>ЛУЦЬКА  МІСЬКА  РАДА</w:t>
      </w:r>
    </w:p>
    <w:p>
      <w:pPr>
        <w:pStyle w:val="Heading2"/>
        <w:widowControl w:val="false"/>
        <w:numPr>
          <w:ilvl w:val="1"/>
          <w:numId w:val="2"/>
        </w:numPr>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8"/>
          <w:tab w:val="left" w:pos="4678" w:leader="none"/>
        </w:tabs>
        <w:jc w:val="center"/>
        <w:rPr>
          <w:b/>
          <w:bCs/>
          <w:sz w:val="24"/>
          <w:lang w:val="ru-RU"/>
        </w:rPr>
      </w:pPr>
      <w:r>
        <w:rPr>
          <w:b/>
          <w:bCs/>
          <w:sz w:val="24"/>
          <w:lang w:val="ru-RU"/>
        </w:rPr>
      </w:r>
    </w:p>
    <w:p>
      <w:pPr>
        <w:pStyle w:val="Normal"/>
        <w:widowControl w:val="false"/>
        <w:jc w:val="center"/>
        <w:rPr>
          <w:b/>
          <w:bCs/>
          <w:sz w:val="24"/>
          <w:lang w:val="ru-RU"/>
        </w:rPr>
      </w:pPr>
      <w:r>
        <w:rPr>
          <w:b/>
          <w:bCs/>
          <w:sz w:val="24"/>
          <w:lang w:val="ru-RU"/>
        </w:rPr>
      </w:r>
    </w:p>
    <w:p>
      <w:pPr>
        <w:pStyle w:val="Normal"/>
        <w:widowControl w:val="false"/>
        <w:tabs>
          <w:tab w:val="clear" w:pos="708"/>
          <w:tab w:val="left" w:pos="4687" w:leader="none"/>
        </w:tabs>
        <w:jc w:val="center"/>
        <w:rPr>
          <w:sz w:val="22"/>
          <w:szCs w:val="22"/>
        </w:rPr>
      </w:pPr>
      <w:r>
        <w:rPr>
          <w:sz w:val="24"/>
        </w:rPr>
        <w:t>________________                                      м. Луцьк                                      №______________</w:t>
      </w:r>
    </w:p>
    <w:p>
      <w:pPr>
        <w:pStyle w:val="Normal"/>
        <w:widowControl w:val="false"/>
        <w:jc w:val="both"/>
        <w:rPr>
          <w:sz w:val="12"/>
          <w:szCs w:val="12"/>
        </w:rPr>
      </w:pPr>
      <w:r>
        <w:rPr>
          <w:sz w:val="12"/>
          <w:szCs w:val="12"/>
        </w:rPr>
        <w:t xml:space="preserve">                                                </w:t>
      </w:r>
    </w:p>
    <w:p>
      <w:pPr>
        <w:pStyle w:val="Normal"/>
        <w:tabs>
          <w:tab w:val="clear" w:pos="708"/>
          <w:tab w:val="left" w:pos="5670" w:leader="none"/>
        </w:tabs>
        <w:jc w:val="both"/>
        <w:rPr>
          <w:rFonts w:ascii="Times New Roman" w:hAnsi="Times New Roman" w:cs="Times New Roman"/>
          <w:sz w:val="28"/>
          <w:szCs w:val="28"/>
        </w:rPr>
      </w:pPr>
      <w:r>
        <w:rPr>
          <w:rFonts w:eastAsia="SimSun;宋体" w:cs="Times New Roman"/>
          <w:color w:val="auto"/>
          <w:kern w:val="2"/>
          <w:sz w:val="28"/>
          <w:szCs w:val="28"/>
          <w:lang w:val="uk-UA" w:eastAsia="zh-CN" w:bidi="hi-IN"/>
        </w:rPr>
        <w:t xml:space="preserve">Про  передачу   з  комунальної  </w:t>
      </w:r>
      <w:r>
        <w:rPr>
          <w:rFonts w:eastAsia="SimSun;宋体" w:cs="Times New Roman"/>
          <w:color w:val="auto"/>
          <w:kern w:val="2"/>
          <w:sz w:val="20"/>
          <w:szCs w:val="20"/>
          <w:lang w:val="uk-UA" w:eastAsia="zh-CN" w:bidi="hi-IN"/>
        </w:rPr>
        <w:t xml:space="preserve"> </w:t>
      </w:r>
      <w:r>
        <w:rPr>
          <w:rFonts w:eastAsia="SimSun;宋体" w:cs="Times New Roman"/>
          <w:color w:val="auto"/>
          <w:kern w:val="2"/>
          <w:sz w:val="28"/>
          <w:szCs w:val="28"/>
          <w:lang w:val="uk-UA" w:eastAsia="zh-CN" w:bidi="hi-IN"/>
        </w:rPr>
        <w:t>власності</w:t>
      </w:r>
    </w:p>
    <w:p>
      <w:pPr>
        <w:pStyle w:val="Normal"/>
        <w:tabs>
          <w:tab w:val="clear" w:pos="708"/>
          <w:tab w:val="left" w:pos="5670" w:leader="none"/>
        </w:tabs>
        <w:jc w:val="both"/>
        <w:rPr>
          <w:rFonts w:ascii="Times New Roman" w:hAnsi="Times New Roman" w:cs="Times New Roman"/>
          <w:sz w:val="28"/>
          <w:szCs w:val="28"/>
        </w:rPr>
      </w:pPr>
      <w:r>
        <w:rPr>
          <w:rFonts w:eastAsia="SimSun;宋体" w:cs="Times New Roman"/>
          <w:color w:val="auto"/>
          <w:kern w:val="2"/>
          <w:sz w:val="28"/>
          <w:szCs w:val="28"/>
          <w:lang w:val="uk-UA" w:eastAsia="zh-CN" w:bidi="hi-IN"/>
        </w:rPr>
        <w:t>Луцької міської територіальної громади у</w:t>
      </w:r>
    </w:p>
    <w:p>
      <w:pPr>
        <w:pStyle w:val="Normal"/>
        <w:tabs>
          <w:tab w:val="clear" w:pos="708"/>
          <w:tab w:val="left" w:pos="4986" w:leader="none"/>
          <w:tab w:val="left" w:pos="5670" w:leader="none"/>
        </w:tabs>
        <w:jc w:val="both"/>
        <w:rPr>
          <w:rFonts w:ascii="Times New Roman" w:hAnsi="Times New Roman" w:cs="Times New Roman"/>
          <w:sz w:val="28"/>
          <w:szCs w:val="28"/>
        </w:rPr>
      </w:pPr>
      <w:r>
        <w:rPr>
          <w:rFonts w:eastAsia="SimSun;宋体" w:cs="Times New Roman"/>
          <w:color w:val="auto"/>
          <w:kern w:val="2"/>
          <w:sz w:val="28"/>
          <w:szCs w:val="28"/>
          <w:lang w:val="uk-UA" w:eastAsia="zh-CN" w:bidi="hi-IN"/>
        </w:rPr>
        <w:t xml:space="preserve">спільну </w:t>
      </w:r>
      <w:r>
        <w:rPr>
          <w:rFonts w:eastAsia="SimSun;宋体" w:cs="Times New Roman"/>
          <w:color w:val="auto"/>
          <w:kern w:val="2"/>
          <w:sz w:val="20"/>
          <w:szCs w:val="20"/>
          <w:lang w:val="uk-UA" w:eastAsia="zh-CN" w:bidi="hi-IN"/>
        </w:rPr>
        <w:t xml:space="preserve"> </w:t>
      </w:r>
      <w:r>
        <w:rPr>
          <w:rFonts w:eastAsia="SimSun;宋体" w:cs="Times New Roman"/>
          <w:color w:val="auto"/>
          <w:kern w:val="2"/>
          <w:sz w:val="28"/>
          <w:szCs w:val="28"/>
          <w:lang w:val="uk-UA" w:eastAsia="zh-CN" w:bidi="hi-IN"/>
        </w:rPr>
        <w:t>власність територіальних громад</w:t>
      </w:r>
    </w:p>
    <w:p>
      <w:pPr>
        <w:pStyle w:val="Normal"/>
        <w:tabs>
          <w:tab w:val="clear" w:pos="708"/>
          <w:tab w:val="left" w:pos="5670" w:leader="none"/>
        </w:tabs>
        <w:jc w:val="both"/>
        <w:rPr>
          <w:rFonts w:ascii="Times New Roman" w:hAnsi="Times New Roman" w:cs="Times New Roman"/>
          <w:sz w:val="28"/>
          <w:szCs w:val="28"/>
        </w:rPr>
      </w:pPr>
      <w:r>
        <w:rPr>
          <w:rFonts w:eastAsia="SimSun;宋体" w:cs="Times New Roman"/>
          <w:color w:val="auto"/>
          <w:kern w:val="2"/>
          <w:sz w:val="28"/>
          <w:szCs w:val="28"/>
          <w:lang w:val="uk-UA" w:eastAsia="zh-CN" w:bidi="hi-IN"/>
        </w:rPr>
        <w:t xml:space="preserve">сіл,  селищ,  міст  Волинської  області </w:t>
      </w:r>
      <w:r>
        <w:rPr>
          <w:rFonts w:eastAsia="SimSun;宋体" w:cs="Times New Roman"/>
          <w:color w:val="auto"/>
          <w:kern w:val="2"/>
          <w:sz w:val="20"/>
          <w:szCs w:val="20"/>
          <w:lang w:val="uk-UA" w:eastAsia="zh-CN" w:bidi="hi-IN"/>
        </w:rPr>
        <w:t xml:space="preserve"> </w:t>
      </w:r>
      <w:r>
        <w:rPr>
          <w:rFonts w:eastAsia="SimSun;宋体" w:cs="Times New Roman"/>
          <w:color w:val="auto"/>
          <w:kern w:val="2"/>
          <w:sz w:val="28"/>
          <w:szCs w:val="28"/>
          <w:lang w:val="uk-UA" w:eastAsia="zh-CN" w:bidi="hi-IN"/>
        </w:rPr>
        <w:t>зе-</w:t>
      </w:r>
    </w:p>
    <w:p>
      <w:pPr>
        <w:pStyle w:val="Normal"/>
        <w:tabs>
          <w:tab w:val="clear" w:pos="708"/>
          <w:tab w:val="left" w:pos="734" w:leader="none"/>
          <w:tab w:val="left" w:pos="5670" w:leader="none"/>
        </w:tabs>
        <w:jc w:val="both"/>
        <w:rPr>
          <w:rFonts w:ascii="Times New Roman" w:hAnsi="Times New Roman" w:cs="Times New Roman"/>
          <w:sz w:val="28"/>
          <w:szCs w:val="28"/>
        </w:rPr>
      </w:pPr>
      <w:r>
        <w:rPr>
          <w:rFonts w:eastAsia="SimSun;宋体" w:cs="Times New Roman"/>
          <w:color w:val="auto"/>
          <w:kern w:val="2"/>
          <w:sz w:val="28"/>
          <w:szCs w:val="28"/>
          <w:lang w:val="uk-UA" w:eastAsia="zh-CN" w:bidi="hi-IN"/>
        </w:rPr>
        <w:t xml:space="preserve">мельної  ділянки   на </w:t>
      </w:r>
      <w:r>
        <w:rPr>
          <w:rFonts w:eastAsia="SimSun;宋体" w:cs="Times New Roman"/>
          <w:color w:val="auto"/>
          <w:kern w:val="2"/>
          <w:sz w:val="30"/>
          <w:szCs w:val="30"/>
          <w:lang w:val="uk-UA" w:eastAsia="zh-CN" w:bidi="hi-IN"/>
        </w:rPr>
        <w:t xml:space="preserve"> </w:t>
      </w:r>
      <w:r>
        <w:rPr>
          <w:rFonts w:eastAsia="SimSun;宋体" w:cs="Times New Roman"/>
          <w:color w:val="auto"/>
          <w:kern w:val="2"/>
          <w:sz w:val="28"/>
          <w:szCs w:val="28"/>
          <w:lang w:val="uk-UA" w:eastAsia="zh-CN" w:bidi="hi-IN"/>
        </w:rPr>
        <w:t>вул. Словацького</w:t>
      </w:r>
      <w:r>
        <w:rPr>
          <w:rFonts w:eastAsia="SimSun;宋体" w:cs="Times New Roman"/>
          <w:color w:val="auto"/>
          <w:kern w:val="2"/>
          <w:sz w:val="32"/>
          <w:szCs w:val="32"/>
          <w:lang w:val="uk-UA" w:eastAsia="zh-CN" w:bidi="hi-IN"/>
        </w:rPr>
        <w:t xml:space="preserve"> </w:t>
      </w:r>
      <w:r>
        <w:rPr>
          <w:rFonts w:eastAsia="SimSun;宋体" w:cs="Times New Roman"/>
          <w:color w:val="auto"/>
          <w:kern w:val="2"/>
          <w:sz w:val="28"/>
          <w:szCs w:val="28"/>
          <w:lang w:val="uk-UA" w:eastAsia="zh-CN" w:bidi="hi-IN"/>
        </w:rPr>
        <w:t xml:space="preserve"> у</w:t>
      </w:r>
    </w:p>
    <w:p>
      <w:pPr>
        <w:pStyle w:val="Normal"/>
        <w:tabs>
          <w:tab w:val="clear" w:pos="708"/>
          <w:tab w:val="left" w:pos="5670" w:leader="none"/>
        </w:tabs>
        <w:jc w:val="both"/>
        <w:rPr>
          <w:rFonts w:ascii="Times New Roman" w:hAnsi="Times New Roman" w:cs="Times New Roman"/>
          <w:sz w:val="28"/>
          <w:szCs w:val="28"/>
        </w:rPr>
      </w:pPr>
      <w:r>
        <w:rPr>
          <w:rFonts w:eastAsia="SimSun;宋体" w:cs="Times New Roman"/>
          <w:color w:val="auto"/>
          <w:kern w:val="2"/>
          <w:sz w:val="28"/>
          <w:szCs w:val="28"/>
          <w:lang w:val="uk-UA" w:eastAsia="zh-CN" w:bidi="hi-IN"/>
        </w:rPr>
        <w:t>м. Луцьку</w:t>
      </w:r>
    </w:p>
    <w:p>
      <w:pPr>
        <w:pStyle w:val="Normal"/>
        <w:tabs>
          <w:tab w:val="clear" w:pos="708"/>
          <w:tab w:val="left" w:pos="6540" w:leader="none"/>
        </w:tabs>
        <w:overflowPunct w:val="false"/>
        <w:ind w:hanging="0" w:left="0" w:right="-868"/>
        <w:jc w:val="both"/>
        <w:rPr>
          <w:sz w:val="28"/>
          <w:szCs w:val="28"/>
        </w:rPr>
      </w:pPr>
      <w:r>
        <w:rPr>
          <w:sz w:val="28"/>
          <w:szCs w:val="28"/>
        </w:rPr>
      </w:r>
    </w:p>
    <w:p>
      <w:pPr>
        <w:pStyle w:val="Normal"/>
        <w:widowControl/>
        <w:suppressAutoHyphens w:val="true"/>
        <w:overflowPunct w:val="true"/>
        <w:bidi w:val="0"/>
        <w:spacing w:before="0" w:after="0"/>
        <w:ind w:firstLine="567" w:left="0" w:right="0"/>
        <w:jc w:val="both"/>
        <w:rPr/>
      </w:pPr>
      <w:r>
        <w:rPr>
          <w:rFonts w:cs="Times New Roman"/>
          <w:spacing w:val="-4"/>
          <w:sz w:val="28"/>
          <w:szCs w:val="28"/>
          <w:lang w:val="uk-UA"/>
        </w:rPr>
        <w:t xml:space="preserve">Розглянувши заяву Волинської обласної ради про передачу з комунальної власності Луцької міської територіальної громади у спільну власність територіальних громад сіл, селищ, міст Волинської області земельної ділянки на </w:t>
      </w:r>
      <w:r>
        <w:rPr>
          <w:rFonts w:eastAsia="SimSun;宋体" w:cs="Times New Roman"/>
          <w:color w:val="auto"/>
          <w:spacing w:val="-4"/>
          <w:kern w:val="2"/>
          <w:sz w:val="28"/>
          <w:szCs w:val="28"/>
          <w:lang w:val="uk-UA" w:eastAsia="zh-CN" w:bidi="hi-IN"/>
        </w:rPr>
        <w:t>вул. Словацького</w:t>
      </w:r>
      <w:r>
        <w:rPr>
          <w:rFonts w:cs="Times New Roman"/>
          <w:spacing w:val="-4"/>
          <w:sz w:val="28"/>
          <w:szCs w:val="28"/>
          <w:lang w:val="uk-UA"/>
        </w:rPr>
        <w:t xml:space="preserve"> у м. Луцьку площею 0,0486 га, кадастровим номером 0710100000:11:023:0094 </w:t>
      </w:r>
      <w:r>
        <w:rPr>
          <w:rFonts w:eastAsia="Times New Roman" w:cs="Times New Roman"/>
          <w:bCs/>
          <w:color w:val="auto"/>
          <w:spacing w:val="-4"/>
          <w:sz w:val="28"/>
          <w:szCs w:val="28"/>
          <w:lang w:val="uk-UA" w:eastAsia="zh-CN" w:bidi="ar-SA"/>
        </w:rPr>
        <w:t xml:space="preserve">для </w:t>
      </w:r>
      <w:r>
        <w:rPr>
          <w:rFonts w:eastAsia="Times New Roman" w:cs="Times New Roman"/>
          <w:bCs/>
          <w:color w:val="auto"/>
          <w:spacing w:val="-4"/>
          <w:kern w:val="0"/>
          <w:sz w:val="28"/>
          <w:szCs w:val="28"/>
          <w:lang w:val="uk-UA" w:eastAsia="zh-CN" w:bidi="ar-SA"/>
        </w:rPr>
        <w:t xml:space="preserve">будівництва та обслуговування будівель закладів охорони здоров’я та соціальної допомоги </w:t>
      </w:r>
      <w:r>
        <w:rPr>
          <w:rFonts w:eastAsia="Times New Roman" w:cs="Times New Roman"/>
          <w:bCs/>
          <w:color w:val="auto"/>
          <w:spacing w:val="-4"/>
          <w:sz w:val="28"/>
          <w:szCs w:val="28"/>
          <w:lang w:val="uk-UA" w:eastAsia="zh-CN" w:bidi="ar-SA"/>
        </w:rPr>
        <w:t>(03.03)</w:t>
      </w:r>
      <w:r>
        <w:rPr>
          <w:rFonts w:cs="Times New Roman"/>
          <w:spacing w:val="-4"/>
          <w:sz w:val="28"/>
          <w:szCs w:val="28"/>
          <w:lang w:val="uk-UA"/>
        </w:rPr>
        <w:t xml:space="preserve"> та </w:t>
      </w:r>
      <w:r>
        <w:rPr>
          <w:rFonts w:eastAsia="Times New Roman" w:cs="Times New Roman"/>
          <w:b w:val="false"/>
          <w:bCs/>
          <w:color w:val="000000"/>
          <w:spacing w:val="-4"/>
          <w:kern w:val="0"/>
          <w:sz w:val="28"/>
          <w:szCs w:val="28"/>
          <w:lang w:val="uk-UA" w:eastAsia="zh-CN" w:bidi="ar-SA"/>
        </w:rPr>
        <w:t>інформацію з Державного реєстру речових прав на нерухоме майно та Реєстру прав власності на                                    нерухоме майно, Державного реєстру Іпотек, Єдиного реєстру заборон відчуження об’єктів нерухомого майна щодо об’єкта нерухомого майна, відповідно до якої право власності Луцької міської територіальної громади, від імені якої діє Луцька міська</w:t>
      </w:r>
      <w:r>
        <w:rPr>
          <w:rFonts w:eastAsia="Times New Roman" w:cs="Times New Roman"/>
          <w:b w:val="false"/>
          <w:bCs/>
          <w:color w:val="000000"/>
          <w:spacing w:val="-4"/>
          <w:kern w:val="0"/>
          <w:sz w:val="18"/>
          <w:szCs w:val="18"/>
          <w:lang w:val="uk-UA" w:eastAsia="zh-CN" w:bidi="ar-SA"/>
        </w:rPr>
        <w:t xml:space="preserve"> </w:t>
      </w:r>
      <w:r>
        <w:rPr>
          <w:rFonts w:eastAsia="Times New Roman" w:cs="Times New Roman"/>
          <w:b w:val="false"/>
          <w:bCs/>
          <w:color w:val="000000"/>
          <w:spacing w:val="-4"/>
          <w:kern w:val="0"/>
          <w:sz w:val="28"/>
          <w:szCs w:val="28"/>
          <w:lang w:val="uk-UA" w:eastAsia="zh-CN" w:bidi="ar-SA"/>
        </w:rPr>
        <w:t>рада,</w:t>
      </w:r>
      <w:r>
        <w:rPr>
          <w:rFonts w:eastAsia="Times New Roman" w:cs="Times New Roman"/>
          <w:b w:val="false"/>
          <w:bCs/>
          <w:color w:val="000000"/>
          <w:spacing w:val="-4"/>
          <w:kern w:val="0"/>
          <w:sz w:val="18"/>
          <w:szCs w:val="18"/>
          <w:lang w:val="uk-UA" w:eastAsia="zh-CN" w:bidi="ar-SA"/>
        </w:rPr>
        <w:t xml:space="preserve"> </w:t>
      </w:r>
      <w:r>
        <w:rPr>
          <w:rFonts w:eastAsia="Times New Roman" w:cs="Times New Roman"/>
          <w:b w:val="false"/>
          <w:bCs/>
          <w:color w:val="000000"/>
          <w:spacing w:val="-4"/>
          <w:kern w:val="0"/>
          <w:sz w:val="28"/>
          <w:szCs w:val="28"/>
          <w:lang w:val="uk-UA" w:eastAsia="zh-CN" w:bidi="ar-SA"/>
        </w:rPr>
        <w:t>на</w:t>
      </w:r>
      <w:r>
        <w:rPr>
          <w:rFonts w:eastAsia="Times New Roman" w:cs="Times New Roman"/>
          <w:b w:val="false"/>
          <w:bCs/>
          <w:color w:val="000000"/>
          <w:spacing w:val="-4"/>
          <w:kern w:val="0"/>
          <w:sz w:val="18"/>
          <w:szCs w:val="18"/>
          <w:lang w:val="uk-UA" w:eastAsia="zh-CN" w:bidi="ar-SA"/>
        </w:rPr>
        <w:t xml:space="preserve"> </w:t>
      </w:r>
      <w:r>
        <w:rPr>
          <w:rFonts w:eastAsia="Times New Roman" w:cs="Times New Roman"/>
          <w:b w:val="false"/>
          <w:bCs/>
          <w:color w:val="000000"/>
          <w:spacing w:val="-4"/>
          <w:kern w:val="0"/>
          <w:sz w:val="28"/>
          <w:szCs w:val="28"/>
          <w:lang w:val="uk-UA" w:eastAsia="zh-CN" w:bidi="ar-SA"/>
        </w:rPr>
        <w:t>земельну</w:t>
      </w:r>
      <w:r>
        <w:rPr>
          <w:rFonts w:eastAsia="Times New Roman" w:cs="Times New Roman"/>
          <w:b w:val="false"/>
          <w:bCs/>
          <w:color w:val="000000"/>
          <w:spacing w:val="-4"/>
          <w:kern w:val="0"/>
          <w:sz w:val="18"/>
          <w:szCs w:val="18"/>
          <w:lang w:val="uk-UA" w:eastAsia="zh-CN" w:bidi="ar-SA"/>
        </w:rPr>
        <w:t xml:space="preserve"> </w:t>
      </w:r>
      <w:r>
        <w:rPr>
          <w:rFonts w:eastAsia="Times New Roman" w:cs="Times New Roman"/>
          <w:b w:val="false"/>
          <w:bCs/>
          <w:color w:val="000000"/>
          <w:spacing w:val="-4"/>
          <w:kern w:val="0"/>
          <w:sz w:val="28"/>
          <w:szCs w:val="28"/>
          <w:lang w:val="uk-UA" w:eastAsia="zh-CN" w:bidi="ar-SA"/>
        </w:rPr>
        <w:t>ділянку</w:t>
      </w:r>
      <w:r>
        <w:rPr>
          <w:rFonts w:eastAsia="Times New Roman" w:cs="Times New Roman"/>
          <w:b w:val="false"/>
          <w:bCs/>
          <w:color w:val="000000"/>
          <w:spacing w:val="-4"/>
          <w:kern w:val="0"/>
          <w:sz w:val="18"/>
          <w:szCs w:val="18"/>
          <w:lang w:val="uk-UA" w:eastAsia="zh-CN" w:bidi="ar-SA"/>
        </w:rPr>
        <w:t xml:space="preserve"> </w:t>
      </w:r>
      <w:r>
        <w:rPr>
          <w:rFonts w:eastAsia="Times New Roman" w:cs="Times New Roman"/>
          <w:b w:val="false"/>
          <w:bCs/>
          <w:color w:val="000000"/>
          <w:spacing w:val="-4"/>
          <w:kern w:val="0"/>
          <w:sz w:val="28"/>
          <w:szCs w:val="28"/>
          <w:lang w:val="uk-UA" w:eastAsia="zh-CN" w:bidi="ar-SA"/>
        </w:rPr>
        <w:t>з</w:t>
      </w:r>
      <w:r>
        <w:rPr>
          <w:rFonts w:eastAsia="Times New Roman" w:cs="Times New Roman"/>
          <w:b w:val="false"/>
          <w:bCs/>
          <w:color w:val="000000"/>
          <w:spacing w:val="-4"/>
          <w:kern w:val="0"/>
          <w:sz w:val="18"/>
          <w:szCs w:val="18"/>
          <w:lang w:val="uk-UA" w:eastAsia="zh-CN" w:bidi="ar-SA"/>
        </w:rPr>
        <w:t xml:space="preserve"> </w:t>
      </w:r>
      <w:r>
        <w:rPr>
          <w:rFonts w:eastAsia="Times New Roman" w:cs="Times New Roman"/>
          <w:b w:val="false"/>
          <w:bCs/>
          <w:color w:val="000000"/>
          <w:spacing w:val="-4"/>
          <w:kern w:val="0"/>
          <w:sz w:val="28"/>
          <w:szCs w:val="28"/>
          <w:lang w:val="uk-UA" w:eastAsia="zh-CN" w:bidi="ar-SA"/>
        </w:rPr>
        <w:t>кадастровим</w:t>
      </w:r>
      <w:r>
        <w:rPr>
          <w:rFonts w:eastAsia="Times New Roman" w:cs="Times New Roman"/>
          <w:b w:val="false"/>
          <w:bCs/>
          <w:color w:val="000000"/>
          <w:spacing w:val="-4"/>
          <w:kern w:val="0"/>
          <w:sz w:val="18"/>
          <w:szCs w:val="18"/>
          <w:lang w:val="uk-UA" w:eastAsia="zh-CN" w:bidi="ar-SA"/>
        </w:rPr>
        <w:t xml:space="preserve"> </w:t>
      </w:r>
      <w:r>
        <w:rPr>
          <w:rFonts w:eastAsia="Times New Roman" w:cs="Times New Roman"/>
          <w:b w:val="false"/>
          <w:bCs/>
          <w:color w:val="000000"/>
          <w:spacing w:val="-4"/>
          <w:kern w:val="0"/>
          <w:sz w:val="28"/>
          <w:szCs w:val="28"/>
          <w:lang w:val="uk-UA" w:eastAsia="zh-CN" w:bidi="ar-SA"/>
        </w:rPr>
        <w:t>номером 0710100000:11:023:0094 зареєстровано у Державному реєстрі речових прав на нерухоме майно від 17.12.2025, номер відомостей про речове право: 62841611</w:t>
      </w:r>
      <w:r>
        <w:rPr>
          <w:rFonts w:cs="Times New Roman"/>
          <w:spacing w:val="-4"/>
          <w:sz w:val="28"/>
          <w:szCs w:val="28"/>
          <w:lang w:val="uk-UA"/>
        </w:rPr>
        <w:t xml:space="preserve">, керуючись статтею 143 Конституції України, статтями 26, 59 Закону України “Про місцеве самоврядування в Україні”, статтями 12, 79-1, 83, 90-91, 117, 122, 125-126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та дорученням постійної комісії міської ради з питань земельних відносин та земельного кадастру (протокол від 21.07.2021 № 14) щодо підготовки та подання департаментом містобудування, земельних ресурсів та реклами проєктів рішень міської ради, які ініційовані постійною комісією, міська рада </w:t>
      </w:r>
    </w:p>
    <w:p>
      <w:pPr>
        <w:pStyle w:val="Normal"/>
        <w:ind w:firstLine="737" w:left="0" w:right="0"/>
        <w:jc w:val="both"/>
        <w:rPr>
          <w:rFonts w:cs="Times New Roman"/>
          <w:spacing w:val="-4"/>
          <w:sz w:val="28"/>
          <w:szCs w:val="28"/>
          <w:lang w:val="uk-UA"/>
        </w:rPr>
      </w:pPr>
      <w:r>
        <w:rPr>
          <w:rFonts w:cs="Times New Roman"/>
          <w:spacing w:val="-4"/>
          <w:sz w:val="28"/>
          <w:szCs w:val="28"/>
          <w:lang w:val="uk-UA"/>
        </w:rPr>
      </w:r>
    </w:p>
    <w:p>
      <w:pPr>
        <w:pStyle w:val="Normal"/>
        <w:ind w:hanging="0" w:left="0" w:right="0"/>
        <w:jc w:val="both"/>
        <w:rPr/>
      </w:pPr>
      <w:r>
        <w:rPr>
          <w:rFonts w:cs="Times New Roman"/>
          <w:spacing w:val="-4"/>
          <w:sz w:val="28"/>
          <w:szCs w:val="28"/>
          <w:lang w:val="uk-UA"/>
        </w:rPr>
        <w:t xml:space="preserve">ВИРІШИЛА: </w:t>
      </w:r>
    </w:p>
    <w:p>
      <w:pPr>
        <w:pStyle w:val="Normal"/>
        <w:ind w:firstLine="737" w:left="0" w:right="0"/>
        <w:jc w:val="both"/>
        <w:rPr>
          <w:rFonts w:cs="Times New Roman"/>
          <w:spacing w:val="-4"/>
          <w:sz w:val="28"/>
          <w:szCs w:val="28"/>
          <w:lang w:val="uk-UA"/>
        </w:rPr>
      </w:pPr>
      <w:r>
        <w:rPr>
          <w:rFonts w:cs="Times New Roman"/>
          <w:spacing w:val="-4"/>
          <w:sz w:val="28"/>
          <w:szCs w:val="28"/>
          <w:lang w:val="uk-UA"/>
        </w:rPr>
      </w:r>
    </w:p>
    <w:p>
      <w:pPr>
        <w:pStyle w:val="Normal"/>
        <w:widowControl/>
        <w:suppressAutoHyphens w:val="true"/>
        <w:overflowPunct w:val="true"/>
        <w:bidi w:val="0"/>
        <w:spacing w:before="0" w:after="0"/>
        <w:ind w:firstLine="567" w:left="0" w:right="0"/>
        <w:jc w:val="both"/>
        <w:rPr/>
      </w:pPr>
      <w:r>
        <w:rPr>
          <w:rFonts w:cs="Times New Roman"/>
          <w:spacing w:val="-4"/>
          <w:sz w:val="28"/>
          <w:szCs w:val="28"/>
          <w:lang w:val="uk-UA"/>
        </w:rPr>
        <w:t xml:space="preserve">1. Передати з комунальної власності Луцької міської територіальної громади у спільну власність територіальних громад сіл, селищ, міст Волинської області земельну ділянку на </w:t>
      </w:r>
      <w:r>
        <w:rPr>
          <w:rFonts w:eastAsia="SimSun;宋体" w:cs="Times New Roman"/>
          <w:color w:val="auto"/>
          <w:spacing w:val="-4"/>
          <w:kern w:val="2"/>
          <w:sz w:val="28"/>
          <w:szCs w:val="28"/>
          <w:lang w:val="uk-UA" w:eastAsia="zh-CN" w:bidi="hi-IN"/>
        </w:rPr>
        <w:t>вул. Словацького</w:t>
      </w:r>
      <w:r>
        <w:rPr>
          <w:rFonts w:cs="Times New Roman"/>
          <w:spacing w:val="-4"/>
          <w:sz w:val="28"/>
          <w:szCs w:val="28"/>
          <w:lang w:val="uk-UA"/>
        </w:rPr>
        <w:t xml:space="preserve"> у м. Луцьку площею 0,0486 га, кадастровим номером 0710100000:11:023:0094 </w:t>
      </w:r>
      <w:r>
        <w:rPr>
          <w:rFonts w:eastAsia="Times New Roman" w:cs="Times New Roman"/>
          <w:bCs/>
          <w:color w:val="auto"/>
          <w:spacing w:val="-4"/>
          <w:sz w:val="28"/>
          <w:szCs w:val="28"/>
          <w:lang w:val="uk-UA" w:eastAsia="zh-CN" w:bidi="ar-SA"/>
        </w:rPr>
        <w:t xml:space="preserve">для </w:t>
      </w:r>
      <w:r>
        <w:rPr>
          <w:rFonts w:eastAsia="Times New Roman" w:cs="Times New Roman"/>
          <w:bCs/>
          <w:color w:val="auto"/>
          <w:spacing w:val="-4"/>
          <w:kern w:val="0"/>
          <w:sz w:val="28"/>
          <w:szCs w:val="28"/>
          <w:lang w:val="uk-UA" w:eastAsia="zh-CN" w:bidi="ar-SA"/>
        </w:rPr>
        <w:t xml:space="preserve">будівництва та обслуговування будівель закладів охорони здоров’я та соціальної допомоги </w:t>
      </w:r>
      <w:r>
        <w:rPr>
          <w:rFonts w:eastAsia="Times New Roman" w:cs="Times New Roman"/>
          <w:bCs/>
          <w:color w:val="auto"/>
          <w:spacing w:val="-4"/>
          <w:sz w:val="28"/>
          <w:szCs w:val="28"/>
          <w:lang w:val="uk-UA" w:eastAsia="zh-CN" w:bidi="ar-SA"/>
        </w:rPr>
        <w:t>(03.03).</w:t>
      </w:r>
    </w:p>
    <w:p>
      <w:pPr>
        <w:pStyle w:val="Normal"/>
        <w:widowControl/>
        <w:suppressAutoHyphens w:val="true"/>
        <w:overflowPunct w:val="true"/>
        <w:bidi w:val="0"/>
        <w:spacing w:before="0" w:after="0"/>
        <w:ind w:firstLine="567" w:left="0" w:right="0"/>
        <w:jc w:val="both"/>
        <w:rPr/>
      </w:pPr>
      <w:r>
        <w:rPr>
          <w:rFonts w:cs="Times New Roman"/>
          <w:spacing w:val="-4"/>
          <w:sz w:val="28"/>
          <w:szCs w:val="28"/>
          <w:lang w:val="uk-UA"/>
        </w:rPr>
        <w:t>2.</w:t>
      </w:r>
      <w:r>
        <w:rPr>
          <w:rFonts w:cs="Times New Roman"/>
          <w:spacing w:val="-4"/>
          <w:sz w:val="24"/>
          <w:szCs w:val="24"/>
          <w:lang w:val="uk-UA"/>
        </w:rPr>
        <w:t> </w:t>
      </w:r>
      <w:r>
        <w:rPr>
          <w:rFonts w:cs="Times New Roman"/>
          <w:spacing w:val="-4"/>
          <w:sz w:val="28"/>
          <w:szCs w:val="28"/>
          <w:lang w:val="uk-UA"/>
        </w:rPr>
        <w:t xml:space="preserve">Здійснити передачу з комунальної власності Луцької міської територіальної громади у спільну власність територіальних громад сіл, селищ, міст Волинської області земельної ділянки на </w:t>
      </w:r>
      <w:r>
        <w:rPr>
          <w:rFonts w:eastAsia="SimSun;宋体" w:cs="Times New Roman"/>
          <w:color w:val="auto"/>
          <w:spacing w:val="-4"/>
          <w:kern w:val="2"/>
          <w:sz w:val="28"/>
          <w:szCs w:val="28"/>
          <w:lang w:val="uk-UA" w:eastAsia="zh-CN" w:bidi="hi-IN"/>
        </w:rPr>
        <w:t>вул. Словацького</w:t>
      </w:r>
      <w:r>
        <w:rPr>
          <w:rFonts w:cs="Times New Roman"/>
          <w:spacing w:val="-4"/>
          <w:sz w:val="28"/>
          <w:szCs w:val="28"/>
          <w:lang w:val="uk-UA"/>
        </w:rPr>
        <w:t xml:space="preserve"> у м. Луцьку площею 0,0486 га, кадастровим номером 0710100000:11:023:0094 </w:t>
      </w:r>
      <w:r>
        <w:rPr>
          <w:rFonts w:eastAsia="Times New Roman" w:cs="Times New Roman"/>
          <w:bCs/>
          <w:color w:val="auto"/>
          <w:spacing w:val="-4"/>
          <w:sz w:val="28"/>
          <w:szCs w:val="28"/>
          <w:lang w:val="uk-UA" w:eastAsia="zh-CN" w:bidi="ar-SA"/>
        </w:rPr>
        <w:t xml:space="preserve">для </w:t>
      </w:r>
      <w:r>
        <w:rPr>
          <w:rFonts w:eastAsia="Times New Roman" w:cs="Times New Roman"/>
          <w:bCs/>
          <w:color w:val="auto"/>
          <w:spacing w:val="-4"/>
          <w:kern w:val="0"/>
          <w:sz w:val="28"/>
          <w:szCs w:val="28"/>
          <w:lang w:val="uk-UA" w:eastAsia="zh-CN" w:bidi="ar-SA"/>
        </w:rPr>
        <w:t xml:space="preserve">будівництва та обслуговування будівель закладів охорони здоров’я та соціальної допомоги </w:t>
      </w:r>
      <w:r>
        <w:rPr>
          <w:rFonts w:eastAsia="Times New Roman" w:cs="Times New Roman"/>
          <w:bCs/>
          <w:color w:val="auto"/>
          <w:spacing w:val="-4"/>
          <w:sz w:val="28"/>
          <w:szCs w:val="28"/>
          <w:lang w:val="uk-UA" w:eastAsia="zh-CN" w:bidi="ar-SA"/>
        </w:rPr>
        <w:t>(03.03)</w:t>
      </w:r>
      <w:r>
        <w:rPr>
          <w:rFonts w:cs="Times New Roman"/>
          <w:spacing w:val="-4"/>
          <w:sz w:val="28"/>
          <w:szCs w:val="28"/>
          <w:lang w:val="uk-UA"/>
        </w:rPr>
        <w:t xml:space="preserve"> в порядку, передбаченому чинним законодавством.</w:t>
      </w:r>
    </w:p>
    <w:p>
      <w:pPr>
        <w:pStyle w:val="Normal"/>
        <w:widowControl/>
        <w:suppressAutoHyphens w:val="true"/>
        <w:overflowPunct w:val="true"/>
        <w:bidi w:val="0"/>
        <w:spacing w:before="0" w:after="0"/>
        <w:ind w:firstLine="567" w:left="0" w:right="0"/>
        <w:jc w:val="both"/>
        <w:rPr/>
      </w:pPr>
      <w:r>
        <w:rPr>
          <w:rFonts w:cs="Times New Roman"/>
          <w:spacing w:val="-4"/>
          <w:sz w:val="28"/>
          <w:szCs w:val="28"/>
          <w:lang w:val="uk-UA"/>
        </w:rPr>
        <w:t>3. Уповноважити міського голову Поліщука Ігоря Ігоровича підписати                                      акт-приймання передачі земельної ділянки з комунальної власності Луцької міської територіальної громади у спільну власність територіальних громад сіл, селищ, міст Волинської області.</w:t>
      </w:r>
    </w:p>
    <w:p>
      <w:pPr>
        <w:pStyle w:val="Normal"/>
        <w:widowControl/>
        <w:suppressAutoHyphens w:val="true"/>
        <w:overflowPunct w:val="true"/>
        <w:bidi w:val="0"/>
        <w:spacing w:before="0" w:after="0"/>
        <w:ind w:firstLine="567" w:left="0" w:right="0"/>
        <w:jc w:val="both"/>
        <w:rPr/>
      </w:pPr>
      <w:r>
        <w:rPr>
          <w:rFonts w:cs="Times New Roman"/>
          <w:spacing w:val="-4"/>
          <w:sz w:val="28"/>
          <w:szCs w:val="28"/>
          <w:lang w:val="uk-UA"/>
        </w:rPr>
        <w:t xml:space="preserve">4. Контроль за виконанням рішення покласти на заступника міського голови </w:t>
      </w:r>
      <w:r>
        <w:rPr>
          <w:rFonts w:eastAsia="Times New Roman" w:cs="Times New Roman"/>
          <w:color w:val="auto"/>
          <w:spacing w:val="-4"/>
          <w:kern w:val="0"/>
          <w:sz w:val="28"/>
          <w:szCs w:val="28"/>
          <w:lang w:val="uk-UA" w:eastAsia="zh-CN" w:bidi="ar-SA"/>
        </w:rPr>
        <w:t>Ірину Чебелюк</w:t>
      </w:r>
      <w:r>
        <w:rPr>
          <w:rFonts w:cs="Times New Roman"/>
          <w:spacing w:val="-4"/>
          <w:sz w:val="28"/>
          <w:szCs w:val="28"/>
          <w:lang w:val="uk-UA"/>
        </w:rPr>
        <w:t xml:space="preserve"> та постійну комісію міської ради з питань земельних відносин та земельного кадастру.</w:t>
      </w:r>
    </w:p>
    <w:p>
      <w:pPr>
        <w:pStyle w:val="Normal"/>
        <w:ind w:firstLine="763" w:left="0" w:right="0"/>
        <w:jc w:val="both"/>
        <w:rPr>
          <w:szCs w:val="28"/>
          <w:lang w:val="uk-UA"/>
        </w:rPr>
      </w:pPr>
      <w:r>
        <w:rPr>
          <w:szCs w:val="28"/>
          <w:lang w:val="uk-UA"/>
        </w:rPr>
      </w:r>
    </w:p>
    <w:p>
      <w:pPr>
        <w:pStyle w:val="Normal"/>
        <w:ind w:firstLine="763" w:left="0" w:right="0"/>
        <w:jc w:val="both"/>
        <w:rPr>
          <w:szCs w:val="28"/>
          <w:lang w:val="uk-UA"/>
        </w:rPr>
      </w:pPr>
      <w:r>
        <w:rPr>
          <w:szCs w:val="28"/>
          <w:lang w:val="uk-UA"/>
        </w:rPr>
      </w:r>
    </w:p>
    <w:p>
      <w:pPr>
        <w:pStyle w:val="Normal"/>
        <w:widowControl w:val="false"/>
        <w:jc w:val="both"/>
        <w:rPr>
          <w:sz w:val="28"/>
          <w:szCs w:val="28"/>
          <w:lang w:val="uk-UA"/>
        </w:rPr>
      </w:pPr>
      <w:r>
        <w:rPr>
          <w:sz w:val="28"/>
          <w:szCs w:val="28"/>
          <w:lang w:val="uk-UA"/>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widowControl w:val="false"/>
        <w:tabs>
          <w:tab w:val="clear" w:pos="708"/>
          <w:tab w:val="left" w:pos="3220" w:leader="none"/>
        </w:tabs>
        <w:ind w:hanging="0" w:left="0" w:right="-319"/>
        <w:jc w:val="both"/>
        <w:rPr>
          <w:sz w:val="24"/>
        </w:rPr>
      </w:pPr>
      <w:r>
        <w:rPr>
          <w:rFonts w:eastAsia="Times New Roman" w:cs="Times New Roman"/>
          <w:color w:val="auto"/>
          <w:sz w:val="24"/>
          <w:szCs w:val="24"/>
          <w:lang w:val="uk-UA" w:eastAsia="zh-CN" w:bidi="ar-SA"/>
        </w:rPr>
        <w:t>Козлюк</w:t>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 w:val="28"/>
          <w:szCs w:val="28"/>
          <w:lang w:val="uk-UA"/>
        </w:rPr>
      </w:pPr>
      <w:r>
        <w:rPr>
          <w:sz w:val="28"/>
          <w:szCs w:val="28"/>
          <w:lang w:val="uk-UA"/>
        </w:rPr>
      </w:r>
    </w:p>
    <w:sectPr>
      <w:type w:val="nextPage"/>
      <w:pgSz w:w="11906" w:h="16838"/>
      <w:pgMar w:left="1984" w:right="567" w:gutter="0" w:header="0" w:top="567" w:footer="0" w:bottom="1814"/>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isplayBackgroundShape/>
  <w:defaultTabStop w:val="708"/>
  <w:autoHyphenation w:val="true"/>
  <w:compat>
    <w:doNotBreakWrappedTables/>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Heading1">
    <w:name w:val="Heading 1"/>
    <w:basedOn w:val="Normal"/>
    <w:next w:val="Normal"/>
    <w:qFormat/>
    <w:pPr>
      <w:keepNext w:val="true"/>
      <w:numPr>
        <w:ilvl w:val="0"/>
        <w:numId w:val="1"/>
      </w:numPr>
      <w:jc w:val="center"/>
      <w:outlineLvl w:val="0"/>
    </w:pPr>
    <w:rPr>
      <w:b/>
      <w:bCs/>
      <w:sz w:val="32"/>
    </w:rPr>
  </w:style>
  <w:style w:type="paragraph" w:styleId="Heading2">
    <w:name w:val="Heading 2"/>
    <w:basedOn w:val="Normal"/>
    <w:next w:val="Normal"/>
    <w:qFormat/>
    <w:pPr>
      <w:keepNext w:val="true"/>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Style12">
    <w:name w:val="Основной шрифт абзаца"/>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1">
    <w:name w:val="Основной шрифт абзаца1"/>
    <w:qFormat/>
    <w:rPr/>
  </w:style>
  <w:style w:type="paragraph" w:styleId="Style13">
    <w:name w:val="Заголовок"/>
    <w:basedOn w:val="Normal"/>
    <w:next w:val="BodyText"/>
    <w:qFormat/>
    <w:pPr>
      <w:keepNext w:val="true"/>
      <w:spacing w:before="240" w:after="120"/>
    </w:pPr>
    <w:rPr>
      <w:rFonts w:ascii="Arial" w:hAnsi="Arial" w:eastAsia="Arial Unicode MS" w:cs="Mangal"/>
      <w:sz w:val="28"/>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cs="Arial"/>
    </w:rPr>
  </w:style>
  <w:style w:type="paragraph" w:styleId="Style15">
    <w:name w:val="Название"/>
    <w:basedOn w:val="Normal"/>
    <w:qFormat/>
    <w:pPr>
      <w:suppressLineNumbers/>
      <w:spacing w:before="120" w:after="120"/>
    </w:pPr>
    <w:rPr>
      <w:rFonts w:cs="Mangal"/>
      <w:i/>
      <w:iCs/>
      <w:sz w:val="24"/>
      <w:szCs w:val="24"/>
    </w:rPr>
  </w:style>
  <w:style w:type="paragraph" w:styleId="Style16">
    <w:name w:val="Указатель"/>
    <w:basedOn w:val="Normal"/>
    <w:qFormat/>
    <w:pPr>
      <w:suppressLineNumbers/>
    </w:pPr>
    <w:rPr>
      <w:rFonts w:cs="Mangal"/>
    </w:rPr>
  </w:style>
  <w:style w:type="paragraph" w:styleId="Style17">
    <w:name w:val="Название объекта"/>
    <w:basedOn w:val="Normal"/>
    <w:qFormat/>
    <w:pPr>
      <w:suppressLineNumbers/>
      <w:spacing w:before="120" w:after="120"/>
    </w:pPr>
    <w:rPr>
      <w:rFonts w:cs="Mangal"/>
      <w:i/>
      <w:iCs/>
      <w:sz w:val="24"/>
      <w:szCs w:val="24"/>
    </w:rPr>
  </w:style>
  <w:style w:type="paragraph" w:styleId="11">
    <w:name w:val="Указатель1"/>
    <w:basedOn w:val="Normal"/>
    <w:qFormat/>
    <w:pPr>
      <w:suppressLineNumbers/>
    </w:pPr>
    <w:rPr>
      <w:rFonts w:cs="Mangal"/>
    </w:rPr>
  </w:style>
  <w:style w:type="paragraph" w:styleId="Style18">
    <w:name w:val="Текст выноски"/>
    <w:basedOn w:val="Normal"/>
    <w:qFormat/>
    <w:pPr/>
    <w:rPr>
      <w:rFonts w:ascii="Tahoma" w:hAnsi="Tahoma" w:cs="Tahoma"/>
      <w:sz w:val="16"/>
      <w:szCs w:val="16"/>
    </w:rPr>
  </w:style>
  <w:style w:type="paragraph" w:styleId="12">
    <w:name w:val="Цитата1"/>
    <w:basedOn w:val="Normal"/>
    <w:qFormat/>
    <w:pPr>
      <w:tabs>
        <w:tab w:val="clear" w:pos="708"/>
        <w:tab w:val="left" w:pos="616" w:leader="none"/>
        <w:tab w:val="left" w:pos="5954" w:leader="none"/>
        <w:tab w:val="left" w:pos="6096" w:leader="none"/>
      </w:tabs>
      <w:overflowPunct w:val="false"/>
      <w:ind w:hanging="284" w:left="284" w:right="-426"/>
      <w:jc w:val="both"/>
    </w:pPr>
    <w:rPr>
      <w:sz w:val="22"/>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1859</TotalTime>
  <Application>LibreOffice/7.6.4.1$Windows_X86_64 LibreOffice_project/e19e193f88cd6c0525a17fb7a176ed8e6a3e2aa1</Application>
  <AppVersion>15.0000</AppVersion>
  <Pages>2</Pages>
  <Words>401</Words>
  <Characters>2698</Characters>
  <CharactersWithSpaces>3375</CharactersWithSpaces>
  <Paragraphs>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2014-08-12T10:32:00Z</dcterms:created>
  <dc:creator>burko</dc:creator>
  <dc:description/>
  <dc:language>uk-UA</dc:language>
  <cp:lastModifiedBy/>
  <cp:lastPrinted>2026-01-21T16:26:37Z</cp:lastPrinted>
  <dcterms:modified xsi:type="dcterms:W3CDTF">2026-01-21T17:47:51Z</dcterms:modified>
  <cp:revision>351</cp:revision>
  <dc:subject/>
  <dc:title>  </dc:title>
</cp:coreProperties>
</file>

<file path=docProps/custom.xml><?xml version="1.0" encoding="utf-8"?>
<Properties xmlns="http://schemas.openxmlformats.org/officeDocument/2006/custom-properties" xmlns:vt="http://schemas.openxmlformats.org/officeDocument/2006/docPropsVTypes"/>
</file>