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8E02A" w14:textId="77777777" w:rsidR="00AA5102" w:rsidRDefault="0028572E">
      <w:pPr>
        <w:ind w:left="360"/>
        <w:jc w:val="center"/>
        <w:rPr>
          <w:b/>
          <w:sz w:val="28"/>
          <w:szCs w:val="28"/>
          <w:lang w:val="uk-UA"/>
        </w:rPr>
      </w:pPr>
      <w:r>
        <w:rPr>
          <w:b/>
          <w:sz w:val="28"/>
          <w:szCs w:val="28"/>
          <w:lang w:val="uk-UA"/>
        </w:rPr>
        <w:t xml:space="preserve">Пояснювальна записка </w:t>
      </w:r>
    </w:p>
    <w:p w14:paraId="04CC5DD7" w14:textId="77777777" w:rsidR="00AA5102" w:rsidRDefault="0028572E">
      <w:pPr>
        <w:ind w:left="360"/>
        <w:jc w:val="center"/>
        <w:rPr>
          <w:b/>
          <w:sz w:val="28"/>
          <w:szCs w:val="28"/>
          <w:lang w:val="uk-UA"/>
        </w:rPr>
      </w:pPr>
      <w:r>
        <w:rPr>
          <w:b/>
          <w:sz w:val="28"/>
          <w:szCs w:val="28"/>
          <w:lang w:val="uk-UA"/>
        </w:rPr>
        <w:t>до проєкту рішення міської ради</w:t>
      </w:r>
    </w:p>
    <w:p w14:paraId="2F38A586" w14:textId="77777777" w:rsidR="00AA5102" w:rsidRDefault="0028572E">
      <w:pPr>
        <w:ind w:left="360"/>
        <w:jc w:val="center"/>
        <w:rPr>
          <w:b/>
          <w:sz w:val="28"/>
          <w:szCs w:val="28"/>
          <w:lang w:val="uk-UA"/>
        </w:rPr>
      </w:pPr>
      <w:r>
        <w:rPr>
          <w:b/>
          <w:sz w:val="28"/>
          <w:szCs w:val="28"/>
          <w:lang w:val="uk-UA"/>
        </w:rPr>
        <w:t xml:space="preserve">«Про  </w:t>
      </w:r>
      <w:r w:rsidR="00DA30AE">
        <w:rPr>
          <w:b/>
          <w:sz w:val="28"/>
          <w:szCs w:val="28"/>
          <w:lang w:val="uk-UA"/>
        </w:rPr>
        <w:t xml:space="preserve">внесення змін в </w:t>
      </w:r>
      <w:r>
        <w:rPr>
          <w:b/>
          <w:sz w:val="28"/>
          <w:szCs w:val="28"/>
          <w:lang w:val="uk-UA"/>
        </w:rPr>
        <w:t xml:space="preserve">Комплексну програму «Безпечне місто Луцьк» </w:t>
      </w:r>
    </w:p>
    <w:p w14:paraId="2B32C3CC" w14:textId="77777777" w:rsidR="00AA5102" w:rsidRDefault="0028572E">
      <w:pPr>
        <w:ind w:left="360"/>
        <w:jc w:val="center"/>
        <w:rPr>
          <w:b/>
          <w:sz w:val="36"/>
          <w:szCs w:val="28"/>
          <w:lang w:val="uk-UA"/>
        </w:rPr>
      </w:pPr>
      <w:r>
        <w:rPr>
          <w:b/>
          <w:sz w:val="28"/>
          <w:szCs w:val="28"/>
          <w:lang w:val="uk-UA"/>
        </w:rPr>
        <w:t>на 2025–2029 роки»</w:t>
      </w:r>
    </w:p>
    <w:p w14:paraId="558E32D6" w14:textId="77777777" w:rsidR="00AA5102" w:rsidRDefault="00AA5102">
      <w:pPr>
        <w:ind w:left="360"/>
        <w:jc w:val="center"/>
        <w:rPr>
          <w:b/>
          <w:sz w:val="36"/>
          <w:szCs w:val="28"/>
          <w:lang w:val="uk-UA"/>
        </w:rPr>
      </w:pPr>
    </w:p>
    <w:p w14:paraId="7E7C7FF6" w14:textId="335757E3" w:rsidR="00C51E3F" w:rsidRPr="00C51E3F" w:rsidRDefault="0028572E" w:rsidP="00C51E3F">
      <w:pPr>
        <w:tabs>
          <w:tab w:val="left" w:pos="851"/>
          <w:tab w:val="left" w:pos="900"/>
          <w:tab w:val="left" w:pos="1134"/>
        </w:tabs>
        <w:ind w:firstLine="709"/>
        <w:jc w:val="both"/>
        <w:rPr>
          <w:sz w:val="28"/>
          <w:szCs w:val="28"/>
          <w:lang w:val="uk-UA"/>
        </w:rPr>
      </w:pPr>
      <w:r>
        <w:rPr>
          <w:b/>
          <w:sz w:val="28"/>
          <w:szCs w:val="28"/>
          <w:lang w:val="uk-UA"/>
        </w:rPr>
        <w:t>Потреба і мета прийняття рішення:</w:t>
      </w:r>
      <w:r>
        <w:rPr>
          <w:sz w:val="28"/>
          <w:szCs w:val="28"/>
          <w:lang w:val="uk-UA"/>
        </w:rPr>
        <w:t xml:space="preserve"> </w:t>
      </w:r>
      <w:r w:rsidR="00C51E3F">
        <w:rPr>
          <w:sz w:val="28"/>
          <w:szCs w:val="28"/>
          <w:lang w:val="uk-UA"/>
        </w:rPr>
        <w:t>м</w:t>
      </w:r>
      <w:r w:rsidR="00C51E3F" w:rsidRPr="00C51E3F">
        <w:rPr>
          <w:sz w:val="28"/>
          <w:szCs w:val="28"/>
          <w:lang w:val="uk-UA"/>
        </w:rPr>
        <w:t>етою Програми є створення та забезпечення функціонування безпечного та комфортного середовища на території громади, яке буде включати в себе ряд напрямків, таких як: реагування на надзвичайні події (ситуації), порушення Правил дорожнього руху, вчинення злочинів, порушення громадського порядку на території населених пунктів Луцької міської територіальної громади.</w:t>
      </w:r>
    </w:p>
    <w:p w14:paraId="5A159AE0" w14:textId="38D37961" w:rsidR="00C51E3F" w:rsidRPr="00C51E3F" w:rsidRDefault="00C51E3F" w:rsidP="00C51E3F">
      <w:pPr>
        <w:tabs>
          <w:tab w:val="left" w:pos="851"/>
          <w:tab w:val="left" w:pos="900"/>
          <w:tab w:val="left" w:pos="1134"/>
        </w:tabs>
        <w:ind w:firstLine="709"/>
        <w:jc w:val="both"/>
        <w:rPr>
          <w:sz w:val="28"/>
          <w:szCs w:val="28"/>
          <w:lang w:val="uk-UA"/>
        </w:rPr>
      </w:pPr>
      <w:r w:rsidRPr="00C51E3F">
        <w:rPr>
          <w:sz w:val="28"/>
          <w:szCs w:val="28"/>
          <w:lang w:val="uk-UA"/>
        </w:rPr>
        <w:t>З метою виконання зазначених завдань виникає потреба в нових методах гарантування безпеки мешканців, новітніх технологіях, заходах технічної безпеки, контролю за дорогами, мікрорайонами та стратегічними об’єктами. Вирішення проблем, що постали у сфері безпеки, вже не можна покладати лише на людський ресурс правоохоронних органів без залучення цифрових інструментів.</w:t>
      </w:r>
    </w:p>
    <w:p w14:paraId="7530997B" w14:textId="2F87D704" w:rsidR="00C51E3F" w:rsidRPr="00C51E3F" w:rsidRDefault="00C51E3F" w:rsidP="00C51E3F">
      <w:pPr>
        <w:tabs>
          <w:tab w:val="left" w:pos="851"/>
          <w:tab w:val="left" w:pos="900"/>
          <w:tab w:val="left" w:pos="1134"/>
        </w:tabs>
        <w:ind w:firstLine="709"/>
        <w:jc w:val="both"/>
        <w:rPr>
          <w:sz w:val="28"/>
          <w:szCs w:val="28"/>
          <w:lang w:val="uk-UA"/>
        </w:rPr>
      </w:pPr>
      <w:r w:rsidRPr="00C51E3F">
        <w:rPr>
          <w:sz w:val="28"/>
          <w:szCs w:val="28"/>
          <w:lang w:val="uk-UA"/>
        </w:rPr>
        <w:t xml:space="preserve">Поглиблення співпраці з </w:t>
      </w:r>
      <w:r w:rsidR="006178FE">
        <w:rPr>
          <w:sz w:val="28"/>
          <w:szCs w:val="28"/>
          <w:lang w:val="uk-UA"/>
        </w:rPr>
        <w:t xml:space="preserve">іншими структурами та </w:t>
      </w:r>
      <w:r w:rsidRPr="00C51E3F">
        <w:rPr>
          <w:sz w:val="28"/>
          <w:szCs w:val="28"/>
          <w:lang w:val="uk-UA"/>
        </w:rPr>
        <w:t>забезпеч</w:t>
      </w:r>
      <w:r w:rsidR="006178FE">
        <w:rPr>
          <w:sz w:val="28"/>
          <w:szCs w:val="28"/>
          <w:lang w:val="uk-UA"/>
        </w:rPr>
        <w:t>ення</w:t>
      </w:r>
      <w:r w:rsidRPr="00C51E3F">
        <w:rPr>
          <w:sz w:val="28"/>
          <w:szCs w:val="28"/>
          <w:lang w:val="uk-UA"/>
        </w:rPr>
        <w:t xml:space="preserve"> сучасн</w:t>
      </w:r>
      <w:r w:rsidR="006178FE">
        <w:rPr>
          <w:sz w:val="28"/>
          <w:szCs w:val="28"/>
          <w:lang w:val="uk-UA"/>
        </w:rPr>
        <w:t>ого</w:t>
      </w:r>
      <w:r w:rsidRPr="00C51E3F">
        <w:rPr>
          <w:sz w:val="28"/>
          <w:szCs w:val="28"/>
          <w:lang w:val="uk-UA"/>
        </w:rPr>
        <w:t xml:space="preserve"> рів</w:t>
      </w:r>
      <w:r w:rsidR="006178FE">
        <w:rPr>
          <w:sz w:val="28"/>
          <w:szCs w:val="28"/>
          <w:lang w:val="uk-UA"/>
        </w:rPr>
        <w:t>ня</w:t>
      </w:r>
      <w:r w:rsidRPr="00C51E3F">
        <w:rPr>
          <w:sz w:val="28"/>
          <w:szCs w:val="28"/>
          <w:lang w:val="uk-UA"/>
        </w:rPr>
        <w:t xml:space="preserve"> інформаційної взаємодії органів місцевого самоврядування з підрозділами Національної поліції України, СБУ, ДСНС</w:t>
      </w:r>
      <w:r w:rsidR="006178FE">
        <w:rPr>
          <w:sz w:val="28"/>
          <w:szCs w:val="28"/>
          <w:lang w:val="uk-UA"/>
        </w:rPr>
        <w:t>, БЕБ, НГУ</w:t>
      </w:r>
      <w:r w:rsidRPr="00C51E3F">
        <w:rPr>
          <w:sz w:val="28"/>
          <w:szCs w:val="28"/>
          <w:lang w:val="uk-UA"/>
        </w:rPr>
        <w:t xml:space="preserve"> та службою швидкої допомоги</w:t>
      </w:r>
      <w:r w:rsidR="006178FE">
        <w:rPr>
          <w:sz w:val="28"/>
          <w:szCs w:val="28"/>
          <w:lang w:val="uk-UA"/>
        </w:rPr>
        <w:t>, в</w:t>
      </w:r>
      <w:r w:rsidRPr="00C51E3F">
        <w:rPr>
          <w:sz w:val="28"/>
          <w:szCs w:val="28"/>
          <w:lang w:val="uk-UA"/>
        </w:rPr>
        <w:t xml:space="preserve"> рамках Програми передбачається надання правоохоронним органам безперебійного доступу до системи відеоспостереження та відеоаналітики. Це дозволить:</w:t>
      </w:r>
    </w:p>
    <w:p w14:paraId="2B9D86B1" w14:textId="1EBED7F9" w:rsidR="00C51E3F" w:rsidRPr="00C51E3F" w:rsidRDefault="00C51E3F" w:rsidP="00C51E3F">
      <w:pPr>
        <w:tabs>
          <w:tab w:val="left" w:pos="851"/>
          <w:tab w:val="left" w:pos="900"/>
          <w:tab w:val="left" w:pos="1134"/>
        </w:tabs>
        <w:ind w:firstLine="709"/>
        <w:jc w:val="both"/>
        <w:rPr>
          <w:sz w:val="28"/>
          <w:szCs w:val="28"/>
          <w:lang w:val="uk-UA"/>
        </w:rPr>
      </w:pPr>
      <w:r>
        <w:rPr>
          <w:sz w:val="28"/>
          <w:szCs w:val="28"/>
          <w:lang w:val="uk-UA"/>
        </w:rPr>
        <w:t>в</w:t>
      </w:r>
      <w:r w:rsidRPr="00C51E3F">
        <w:rPr>
          <w:sz w:val="28"/>
          <w:szCs w:val="28"/>
          <w:lang w:val="uk-UA"/>
        </w:rPr>
        <w:t>икористовувати інтелектуальні системи розпізнавання номерних знаків та облич для оперативного розшуку правопорушників</w:t>
      </w:r>
      <w:r w:rsidR="002A7B86">
        <w:rPr>
          <w:sz w:val="28"/>
          <w:szCs w:val="28"/>
          <w:lang w:val="uk-UA"/>
        </w:rPr>
        <w:t>;</w:t>
      </w:r>
    </w:p>
    <w:p w14:paraId="54817528" w14:textId="6B21FBDD" w:rsidR="00C51E3F" w:rsidRPr="00C51E3F" w:rsidRDefault="002A7B86" w:rsidP="00C51E3F">
      <w:pPr>
        <w:tabs>
          <w:tab w:val="left" w:pos="851"/>
          <w:tab w:val="left" w:pos="900"/>
          <w:tab w:val="left" w:pos="1134"/>
        </w:tabs>
        <w:ind w:firstLine="709"/>
        <w:jc w:val="both"/>
        <w:rPr>
          <w:sz w:val="28"/>
          <w:szCs w:val="28"/>
          <w:lang w:val="uk-UA"/>
        </w:rPr>
      </w:pPr>
      <w:r>
        <w:rPr>
          <w:sz w:val="28"/>
          <w:szCs w:val="28"/>
          <w:lang w:val="uk-UA"/>
        </w:rPr>
        <w:t>с</w:t>
      </w:r>
      <w:r w:rsidR="00C51E3F" w:rsidRPr="00C51E3F">
        <w:rPr>
          <w:sz w:val="28"/>
          <w:szCs w:val="28"/>
          <w:lang w:val="uk-UA"/>
        </w:rPr>
        <w:t>формувати якісну доказову базу при розслідуванні кримінальних та адміністративних правопорушень</w:t>
      </w:r>
      <w:r>
        <w:rPr>
          <w:sz w:val="28"/>
          <w:szCs w:val="28"/>
          <w:lang w:val="uk-UA"/>
        </w:rPr>
        <w:t>;</w:t>
      </w:r>
    </w:p>
    <w:p w14:paraId="74DE451F" w14:textId="4C8263E2" w:rsidR="00C51E3F" w:rsidRPr="00C51E3F" w:rsidRDefault="002A7B86" w:rsidP="00C51E3F">
      <w:pPr>
        <w:tabs>
          <w:tab w:val="left" w:pos="851"/>
          <w:tab w:val="left" w:pos="900"/>
          <w:tab w:val="left" w:pos="1134"/>
        </w:tabs>
        <w:ind w:firstLine="709"/>
        <w:jc w:val="both"/>
        <w:rPr>
          <w:sz w:val="28"/>
          <w:szCs w:val="28"/>
          <w:lang w:val="uk-UA"/>
        </w:rPr>
      </w:pPr>
      <w:r>
        <w:rPr>
          <w:sz w:val="28"/>
          <w:szCs w:val="28"/>
          <w:lang w:val="uk-UA"/>
        </w:rPr>
        <w:t>с</w:t>
      </w:r>
      <w:r w:rsidR="00C51E3F" w:rsidRPr="00C51E3F">
        <w:rPr>
          <w:sz w:val="28"/>
          <w:szCs w:val="28"/>
          <w:lang w:val="uk-UA"/>
        </w:rPr>
        <w:t>коротити час реагування нарядів поліції та рятувальників завдяки автоматичному виявленню інцидентів (ДТП, скупчення людей, залишені предмети)</w:t>
      </w:r>
      <w:r>
        <w:rPr>
          <w:sz w:val="28"/>
          <w:szCs w:val="28"/>
          <w:lang w:val="uk-UA"/>
        </w:rPr>
        <w:t>;</w:t>
      </w:r>
    </w:p>
    <w:p w14:paraId="632D7F90" w14:textId="1DB8BA7E" w:rsidR="00C51E3F" w:rsidRPr="00C51E3F" w:rsidRDefault="002A7B86" w:rsidP="00C51E3F">
      <w:pPr>
        <w:tabs>
          <w:tab w:val="left" w:pos="851"/>
          <w:tab w:val="left" w:pos="900"/>
          <w:tab w:val="left" w:pos="1134"/>
        </w:tabs>
        <w:ind w:firstLine="709"/>
        <w:jc w:val="both"/>
        <w:rPr>
          <w:sz w:val="28"/>
          <w:szCs w:val="28"/>
          <w:lang w:val="uk-UA"/>
        </w:rPr>
      </w:pPr>
      <w:r>
        <w:rPr>
          <w:sz w:val="28"/>
          <w:szCs w:val="28"/>
          <w:lang w:val="uk-UA"/>
        </w:rPr>
        <w:t>і</w:t>
      </w:r>
      <w:r w:rsidR="00C51E3F" w:rsidRPr="00C51E3F">
        <w:rPr>
          <w:sz w:val="28"/>
          <w:szCs w:val="28"/>
          <w:lang w:val="uk-UA"/>
        </w:rPr>
        <w:t>нтегрувати локальну систему безпеки громади в загальнодержавні інформаційні підсистеми для комплексного моніторингу оперативної обстановки</w:t>
      </w:r>
      <w:r>
        <w:rPr>
          <w:sz w:val="28"/>
          <w:szCs w:val="28"/>
          <w:lang w:val="uk-UA"/>
        </w:rPr>
        <w:t>;</w:t>
      </w:r>
    </w:p>
    <w:p w14:paraId="4B895E23" w14:textId="33A40105" w:rsidR="00C51E3F" w:rsidRPr="00C51E3F" w:rsidRDefault="00C51E3F" w:rsidP="00C51E3F">
      <w:pPr>
        <w:tabs>
          <w:tab w:val="left" w:pos="851"/>
          <w:tab w:val="left" w:pos="900"/>
          <w:tab w:val="left" w:pos="1134"/>
        </w:tabs>
        <w:ind w:firstLine="709"/>
        <w:jc w:val="both"/>
        <w:rPr>
          <w:sz w:val="28"/>
          <w:szCs w:val="28"/>
          <w:lang w:val="uk-UA"/>
        </w:rPr>
      </w:pPr>
      <w:r w:rsidRPr="00C51E3F">
        <w:rPr>
          <w:sz w:val="28"/>
          <w:szCs w:val="28"/>
          <w:lang w:val="uk-UA"/>
        </w:rPr>
        <w:t>Запобігання кризовим ситуаціям через моніторинг та сучасну аналітику, посилення громадського порядку, профілактика злочинності, охорона прав і свобод громадян, зниження рівня дорожньо-транспортних пригод та уникнення загибелі людей – все це забезпечить впровадження заходів комплексної програми «Безпечне місто Луцьк».</w:t>
      </w:r>
    </w:p>
    <w:p w14:paraId="7E3A6016" w14:textId="79F7B13E" w:rsidR="00C51E3F" w:rsidRPr="00C51E3F" w:rsidRDefault="00C51E3F" w:rsidP="00F97DC1">
      <w:pPr>
        <w:tabs>
          <w:tab w:val="left" w:pos="851"/>
          <w:tab w:val="left" w:pos="900"/>
          <w:tab w:val="left" w:pos="1134"/>
        </w:tabs>
        <w:ind w:firstLine="709"/>
        <w:jc w:val="both"/>
        <w:rPr>
          <w:sz w:val="28"/>
          <w:szCs w:val="28"/>
          <w:lang w:val="uk-UA"/>
        </w:rPr>
      </w:pPr>
      <w:r w:rsidRPr="00C51E3F">
        <w:rPr>
          <w:sz w:val="28"/>
          <w:szCs w:val="28"/>
          <w:lang w:val="uk-UA"/>
        </w:rPr>
        <w:t>У зв’язку з потребою реалізації нових проєктів, розробленням нової проєктно-кошторисної документації, розширенням мережі відеоспостереження у районах з підвищеною криміногенною ситуацією та центральній частині міста, виникла необхідність внесення змін у Комплексну програму.</w:t>
      </w:r>
    </w:p>
    <w:p w14:paraId="20853018" w14:textId="77777777" w:rsidR="00C51E3F" w:rsidRPr="00C51E3F" w:rsidRDefault="00C51E3F" w:rsidP="00C51E3F">
      <w:pPr>
        <w:tabs>
          <w:tab w:val="left" w:pos="851"/>
          <w:tab w:val="left" w:pos="900"/>
          <w:tab w:val="left" w:pos="1134"/>
        </w:tabs>
        <w:ind w:firstLine="709"/>
        <w:jc w:val="both"/>
        <w:rPr>
          <w:sz w:val="28"/>
          <w:szCs w:val="28"/>
          <w:lang w:val="uk-UA"/>
        </w:rPr>
      </w:pPr>
      <w:r w:rsidRPr="00C51E3F">
        <w:rPr>
          <w:sz w:val="28"/>
          <w:szCs w:val="28"/>
          <w:lang w:val="uk-UA"/>
        </w:rPr>
        <w:lastRenderedPageBreak/>
        <w:t>Окремою підставою для коригування є суттєва зміна ринкової кон’юнктури та зростання цін на високотехнологічне обладнання. Коливання валютного курсу, здорожчання логістики та комплектуючих (відеокамер, серверного обладнання, ліцензійного програмного забезпечення) призвели до того, що вартість реалізації проєктів, розрахована за цінами попередніх років, не відповідає поточним ринковим реаліям. Це вимагає перерахунку кошторисної вартості для забезпечення закупівлі якісного та ліцензованого обладнання, що відповідає технічним вимогам.</w:t>
      </w:r>
    </w:p>
    <w:p w14:paraId="09A38C52" w14:textId="77777777" w:rsidR="00C51E3F" w:rsidRPr="00C51E3F" w:rsidRDefault="00C51E3F" w:rsidP="00C51E3F">
      <w:pPr>
        <w:tabs>
          <w:tab w:val="left" w:pos="851"/>
          <w:tab w:val="left" w:pos="900"/>
          <w:tab w:val="left" w:pos="1134"/>
        </w:tabs>
        <w:ind w:firstLine="709"/>
        <w:jc w:val="both"/>
        <w:rPr>
          <w:sz w:val="28"/>
          <w:szCs w:val="28"/>
          <w:lang w:val="uk-UA"/>
        </w:rPr>
      </w:pPr>
      <w:r w:rsidRPr="00C51E3F">
        <w:rPr>
          <w:sz w:val="28"/>
          <w:szCs w:val="28"/>
          <w:lang w:val="uk-UA"/>
        </w:rPr>
        <w:t>Також зміни зумовлені необхідністю перенесення будівництва нереалізованих у 2025 році проєктів (через відсутність фінансування) та потребою забезпечення безпеки дорожнього руху в автоматичному режимі на вулично-дорожній мережі Луцької міської територіальної громади.</w:t>
      </w:r>
    </w:p>
    <w:p w14:paraId="2373EF24" w14:textId="77777777" w:rsidR="002A7B86" w:rsidRDefault="00C51E3F" w:rsidP="00C51E3F">
      <w:pPr>
        <w:tabs>
          <w:tab w:val="left" w:pos="851"/>
          <w:tab w:val="left" w:pos="900"/>
          <w:tab w:val="left" w:pos="1134"/>
        </w:tabs>
        <w:ind w:firstLine="709"/>
        <w:jc w:val="both"/>
        <w:rPr>
          <w:sz w:val="28"/>
          <w:szCs w:val="28"/>
          <w:lang w:val="uk-UA"/>
        </w:rPr>
      </w:pPr>
      <w:r w:rsidRPr="00C51E3F">
        <w:rPr>
          <w:sz w:val="28"/>
          <w:szCs w:val="28"/>
          <w:lang w:val="uk-UA"/>
        </w:rPr>
        <w:t>Враховуючи вищевикладене, виникла необхідність викладення Комплексної програми «Безпечне місто Луцьк» на 2025–2029 роки в новій редакції.</w:t>
      </w:r>
    </w:p>
    <w:p w14:paraId="1F9A6E06" w14:textId="52D72A05" w:rsidR="00AA5102" w:rsidRDefault="0028572E" w:rsidP="00C51E3F">
      <w:pPr>
        <w:tabs>
          <w:tab w:val="left" w:pos="851"/>
          <w:tab w:val="left" w:pos="900"/>
          <w:tab w:val="left" w:pos="1134"/>
        </w:tabs>
        <w:ind w:firstLine="709"/>
        <w:jc w:val="both"/>
        <w:rPr>
          <w:sz w:val="28"/>
          <w:szCs w:val="28"/>
          <w:lang w:val="uk-UA"/>
        </w:rPr>
      </w:pPr>
      <w:r>
        <w:rPr>
          <w:b/>
          <w:sz w:val="28"/>
          <w:szCs w:val="28"/>
          <w:lang w:val="uk-UA"/>
        </w:rPr>
        <w:t>Прогнозовані суспільні, економічні, фінансові та юридичні наслідки прийняття рішення:</w:t>
      </w:r>
      <w:r>
        <w:rPr>
          <w:sz w:val="28"/>
          <w:szCs w:val="28"/>
          <w:lang w:val="uk-UA"/>
        </w:rPr>
        <w:t xml:space="preserve"> сприятиме своєчасному реагуванню на протиправні посягання, підвищенню оперативності надходження інформації про поточну ситуацію на території населених пунктів Луцької міської територіальної громади, про ділянки з підвищеним криміногенним показником, жвавими ключовими перехрестями, ділянками автомобільних доріг з інтенсивним рухом, створенню доказової бази у випадку здійснення правопорушень, своєчасному інформуванню керівництва Луцької міської ради, її виконавчих органів, територіальних органів виконавчої влади, про відомості щодо загрози виникнення надзвичайних подій (ситуацій), порушень нормальних процесів життєдіяльності населення та громадського порядку на території </w:t>
      </w:r>
      <w:r>
        <w:rPr>
          <w:sz w:val="28"/>
          <w:lang w:val="uk-UA"/>
        </w:rPr>
        <w:t>Луцької міської територіальної громади</w:t>
      </w:r>
      <w:r>
        <w:rPr>
          <w:sz w:val="28"/>
          <w:szCs w:val="28"/>
          <w:lang w:val="uk-UA"/>
        </w:rPr>
        <w:t xml:space="preserve">, забезпечить можливість відтворення ходу подій завдяки їх фіксації та зберіганню в архіві. </w:t>
      </w:r>
    </w:p>
    <w:p w14:paraId="027BA876" w14:textId="77777777" w:rsidR="00AA5102" w:rsidRDefault="0028572E">
      <w:pPr>
        <w:tabs>
          <w:tab w:val="left" w:pos="851"/>
          <w:tab w:val="left" w:pos="900"/>
          <w:tab w:val="left" w:pos="1134"/>
        </w:tabs>
        <w:ind w:firstLine="709"/>
        <w:jc w:val="both"/>
        <w:rPr>
          <w:sz w:val="28"/>
          <w:szCs w:val="28"/>
          <w:lang w:val="uk-UA"/>
        </w:rPr>
      </w:pPr>
      <w:r>
        <w:rPr>
          <w:sz w:val="28"/>
          <w:szCs w:val="28"/>
          <w:lang w:val="uk-UA"/>
        </w:rPr>
        <w:t xml:space="preserve">Створення та впровадження Програми збільшить довіру громадян до органів місцевого самоврядування та влади в цілому. </w:t>
      </w:r>
    </w:p>
    <w:p w14:paraId="5CFA66E5" w14:textId="77777777" w:rsidR="00AA5102" w:rsidRDefault="00AA5102">
      <w:pPr>
        <w:ind w:firstLine="540"/>
        <w:jc w:val="both"/>
        <w:rPr>
          <w:sz w:val="28"/>
          <w:szCs w:val="28"/>
          <w:lang w:val="uk-UA"/>
        </w:rPr>
      </w:pPr>
    </w:p>
    <w:p w14:paraId="0D4A4998" w14:textId="77777777" w:rsidR="00AA5102" w:rsidRDefault="00AA5102">
      <w:pPr>
        <w:ind w:firstLine="540"/>
        <w:jc w:val="both"/>
        <w:rPr>
          <w:sz w:val="28"/>
          <w:szCs w:val="28"/>
          <w:lang w:val="uk-UA"/>
        </w:rPr>
      </w:pPr>
    </w:p>
    <w:p w14:paraId="75F613FF" w14:textId="77777777" w:rsidR="00AA5102" w:rsidRDefault="0028572E">
      <w:pPr>
        <w:jc w:val="both"/>
        <w:rPr>
          <w:sz w:val="28"/>
          <w:szCs w:val="28"/>
          <w:lang w:val="uk-UA"/>
        </w:rPr>
      </w:pPr>
      <w:r>
        <w:rPr>
          <w:sz w:val="28"/>
          <w:szCs w:val="28"/>
          <w:lang w:val="uk-UA"/>
        </w:rPr>
        <w:t xml:space="preserve">Директор департаменту    </w:t>
      </w:r>
      <w:r>
        <w:rPr>
          <w:sz w:val="28"/>
          <w:szCs w:val="28"/>
          <w:lang w:val="uk-UA"/>
        </w:rPr>
        <w:tab/>
      </w:r>
      <w:r>
        <w:rPr>
          <w:sz w:val="28"/>
          <w:szCs w:val="28"/>
          <w:lang w:val="uk-UA"/>
        </w:rPr>
        <w:tab/>
      </w:r>
      <w:r>
        <w:rPr>
          <w:sz w:val="28"/>
          <w:szCs w:val="28"/>
          <w:lang w:val="uk-UA"/>
        </w:rPr>
        <w:tab/>
      </w:r>
      <w:r>
        <w:rPr>
          <w:sz w:val="28"/>
          <w:szCs w:val="28"/>
          <w:lang w:val="uk-UA"/>
        </w:rPr>
        <w:tab/>
        <w:t xml:space="preserve">                              Юлія ЧІПАК</w:t>
      </w:r>
    </w:p>
    <w:p w14:paraId="7C6A1E49" w14:textId="77777777" w:rsidR="00AA5102" w:rsidRDefault="0028572E">
      <w:pPr>
        <w:jc w:val="both"/>
        <w:rPr>
          <w:lang w:val="uk-UA"/>
        </w:rPr>
      </w:pPr>
      <w:r>
        <w:rPr>
          <w:sz w:val="28"/>
          <w:szCs w:val="28"/>
          <w:lang w:val="uk-UA"/>
        </w:rPr>
        <w:t xml:space="preserve">муніципальної варти                                                           </w:t>
      </w:r>
    </w:p>
    <w:sectPr w:rsidR="00AA5102" w:rsidSect="00F97DC1">
      <w:headerReference w:type="default" r:id="rId6"/>
      <w:pgSz w:w="11906" w:h="16838"/>
      <w:pgMar w:top="1134" w:right="567" w:bottom="1985" w:left="1701" w:header="454"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CDD5" w14:textId="77777777" w:rsidR="00B2137F" w:rsidRDefault="00B2137F" w:rsidP="00F97DC1">
      <w:r>
        <w:separator/>
      </w:r>
    </w:p>
  </w:endnote>
  <w:endnote w:type="continuationSeparator" w:id="0">
    <w:p w14:paraId="5F1A5BAF" w14:textId="77777777" w:rsidR="00B2137F" w:rsidRDefault="00B2137F" w:rsidP="00F9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1F97D" w14:textId="77777777" w:rsidR="00B2137F" w:rsidRDefault="00B2137F" w:rsidP="00F97DC1">
      <w:r>
        <w:separator/>
      </w:r>
    </w:p>
  </w:footnote>
  <w:footnote w:type="continuationSeparator" w:id="0">
    <w:p w14:paraId="60AC6D44" w14:textId="77777777" w:rsidR="00B2137F" w:rsidRDefault="00B2137F" w:rsidP="00F97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152991"/>
      <w:docPartObj>
        <w:docPartGallery w:val="Page Numbers (Top of Page)"/>
        <w:docPartUnique/>
      </w:docPartObj>
    </w:sdtPr>
    <w:sdtContent>
      <w:p w14:paraId="193D49E2" w14:textId="70346848" w:rsidR="00F97DC1" w:rsidRDefault="00F97DC1">
        <w:pPr>
          <w:pStyle w:val="ac"/>
          <w:jc w:val="center"/>
        </w:pPr>
        <w:r>
          <w:fldChar w:fldCharType="begin"/>
        </w:r>
        <w:r>
          <w:instrText>PAGE   \* MERGEFORMAT</w:instrText>
        </w:r>
        <w:r>
          <w:fldChar w:fldCharType="separate"/>
        </w:r>
        <w:r>
          <w:rPr>
            <w:lang w:val="uk-UA"/>
          </w:rPr>
          <w:t>2</w:t>
        </w:r>
        <w:r>
          <w:fldChar w:fldCharType="end"/>
        </w:r>
      </w:p>
    </w:sdtContent>
  </w:sdt>
  <w:p w14:paraId="3C5E6DF4" w14:textId="77777777" w:rsidR="00F97DC1" w:rsidRDefault="00F97DC1">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02"/>
    <w:rsid w:val="00007288"/>
    <w:rsid w:val="000A77D9"/>
    <w:rsid w:val="0028572E"/>
    <w:rsid w:val="002A7B86"/>
    <w:rsid w:val="002B58F9"/>
    <w:rsid w:val="002C000A"/>
    <w:rsid w:val="004712B7"/>
    <w:rsid w:val="004C1860"/>
    <w:rsid w:val="005E0ECD"/>
    <w:rsid w:val="006178FE"/>
    <w:rsid w:val="006557BC"/>
    <w:rsid w:val="006D1608"/>
    <w:rsid w:val="009C5A26"/>
    <w:rsid w:val="00AA5102"/>
    <w:rsid w:val="00B2137F"/>
    <w:rsid w:val="00C51E3F"/>
    <w:rsid w:val="00CF4B95"/>
    <w:rsid w:val="00DA30AE"/>
    <w:rsid w:val="00E32471"/>
    <w:rsid w:val="00F62897"/>
    <w:rsid w:val="00F97DC1"/>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FF288"/>
  <w15:docId w15:val="{FC50779F-F8AE-4197-BE66-497BF9E8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D5E"/>
    <w:rPr>
      <w:rFonts w:ascii="Times New Roman" w:eastAsia="Times New Roman" w:hAnsi="Times New Roman" w:cs="Times New Roman"/>
      <w:sz w:val="24"/>
      <w:szCs w:val="24"/>
      <w:lang w:val="ru-RU" w:eastAsia="ar-SA"/>
    </w:rPr>
  </w:style>
  <w:style w:type="paragraph" w:styleId="6">
    <w:name w:val="heading 6"/>
    <w:basedOn w:val="a"/>
    <w:link w:val="60"/>
    <w:uiPriority w:val="9"/>
    <w:qFormat/>
    <w:rsid w:val="005679DE"/>
    <w:pPr>
      <w:suppressAutoHyphens w:val="0"/>
      <w:spacing w:beforeAutospacing="1" w:afterAutospacing="1"/>
      <w:outlineLvl w:val="5"/>
    </w:pPr>
    <w:rPr>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у виносці Знак"/>
    <w:basedOn w:val="a0"/>
    <w:link w:val="a4"/>
    <w:uiPriority w:val="99"/>
    <w:semiHidden/>
    <w:qFormat/>
    <w:rsid w:val="00706EE8"/>
    <w:rPr>
      <w:rFonts w:ascii="Segoe UI" w:eastAsia="Times New Roman" w:hAnsi="Segoe UI" w:cs="Segoe UI"/>
      <w:sz w:val="18"/>
      <w:szCs w:val="18"/>
      <w:lang w:val="ru-RU" w:eastAsia="ar-SA"/>
    </w:rPr>
  </w:style>
  <w:style w:type="character" w:customStyle="1" w:styleId="60">
    <w:name w:val="Заголовок 6 Знак"/>
    <w:basedOn w:val="a0"/>
    <w:link w:val="6"/>
    <w:uiPriority w:val="9"/>
    <w:qFormat/>
    <w:rsid w:val="005679DE"/>
    <w:rPr>
      <w:rFonts w:ascii="Times New Roman" w:eastAsia="Times New Roman" w:hAnsi="Times New Roman" w:cs="Times New Roman"/>
      <w:b/>
      <w:bCs/>
      <w:sz w:val="15"/>
      <w:szCs w:val="15"/>
      <w:lang w:val="ru-RU" w:eastAsia="ru-RU"/>
    </w:rPr>
  </w:style>
  <w:style w:type="paragraph" w:customStyle="1" w:styleId="a5">
    <w:name w:val="Заголовок"/>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rPr>
  </w:style>
  <w:style w:type="paragraph" w:customStyle="1" w:styleId="a9">
    <w:name w:val="Покажчик"/>
    <w:basedOn w:val="a"/>
    <w:qFormat/>
    <w:pPr>
      <w:suppressLineNumbers/>
    </w:pPr>
    <w:rPr>
      <w:rFonts w:cs="Lucida Sans"/>
    </w:rPr>
  </w:style>
  <w:style w:type="paragraph" w:styleId="a4">
    <w:name w:val="Balloon Text"/>
    <w:basedOn w:val="a"/>
    <w:link w:val="a3"/>
    <w:uiPriority w:val="99"/>
    <w:semiHidden/>
    <w:unhideWhenUsed/>
    <w:qFormat/>
    <w:rsid w:val="00706EE8"/>
    <w:rPr>
      <w:rFonts w:ascii="Segoe UI" w:hAnsi="Segoe UI" w:cs="Segoe UI"/>
      <w:sz w:val="18"/>
      <w:szCs w:val="18"/>
    </w:rPr>
  </w:style>
  <w:style w:type="paragraph" w:styleId="aa">
    <w:name w:val="List Paragraph"/>
    <w:basedOn w:val="a"/>
    <w:uiPriority w:val="34"/>
    <w:qFormat/>
    <w:rsid w:val="00171483"/>
    <w:pPr>
      <w:ind w:left="720"/>
      <w:contextualSpacing/>
    </w:pPr>
  </w:style>
  <w:style w:type="paragraph" w:styleId="ab">
    <w:name w:val="Normal (Web)"/>
    <w:basedOn w:val="a"/>
    <w:uiPriority w:val="99"/>
    <w:semiHidden/>
    <w:unhideWhenUsed/>
    <w:rsid w:val="00007288"/>
  </w:style>
  <w:style w:type="paragraph" w:styleId="ac">
    <w:name w:val="header"/>
    <w:basedOn w:val="a"/>
    <w:link w:val="ad"/>
    <w:uiPriority w:val="99"/>
    <w:unhideWhenUsed/>
    <w:rsid w:val="00F97DC1"/>
    <w:pPr>
      <w:tabs>
        <w:tab w:val="center" w:pos="4819"/>
        <w:tab w:val="right" w:pos="9639"/>
      </w:tabs>
    </w:pPr>
  </w:style>
  <w:style w:type="character" w:customStyle="1" w:styleId="ad">
    <w:name w:val="Верхній колонтитул Знак"/>
    <w:basedOn w:val="a0"/>
    <w:link w:val="ac"/>
    <w:uiPriority w:val="99"/>
    <w:rsid w:val="00F97DC1"/>
    <w:rPr>
      <w:rFonts w:ascii="Times New Roman" w:eastAsia="Times New Roman" w:hAnsi="Times New Roman" w:cs="Times New Roman"/>
      <w:sz w:val="24"/>
      <w:szCs w:val="24"/>
      <w:lang w:val="ru-RU" w:eastAsia="ar-SA"/>
    </w:rPr>
  </w:style>
  <w:style w:type="paragraph" w:styleId="ae">
    <w:name w:val="footer"/>
    <w:basedOn w:val="a"/>
    <w:link w:val="af"/>
    <w:uiPriority w:val="99"/>
    <w:unhideWhenUsed/>
    <w:rsid w:val="00F97DC1"/>
    <w:pPr>
      <w:tabs>
        <w:tab w:val="center" w:pos="4819"/>
        <w:tab w:val="right" w:pos="9639"/>
      </w:tabs>
    </w:pPr>
  </w:style>
  <w:style w:type="character" w:customStyle="1" w:styleId="af">
    <w:name w:val="Нижній колонтитул Знак"/>
    <w:basedOn w:val="a0"/>
    <w:link w:val="ae"/>
    <w:uiPriority w:val="99"/>
    <w:rsid w:val="00F97DC1"/>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2857</Words>
  <Characters>1629</Characters>
  <Application>Microsoft Office Word</Application>
  <DocSecurity>0</DocSecurity>
  <Lines>13</Lines>
  <Paragraphs>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dc:description/>
  <cp:lastModifiedBy>Начальник ЦБМ</cp:lastModifiedBy>
  <cp:revision>6</cp:revision>
  <cp:lastPrinted>2024-10-21T16:06:00Z</cp:lastPrinted>
  <dcterms:created xsi:type="dcterms:W3CDTF">2026-02-03T13:45:00Z</dcterms:created>
  <dcterms:modified xsi:type="dcterms:W3CDTF">2026-02-11T10:03:00Z</dcterms:modified>
  <dc:language>uk-UA</dc:language>
</cp:coreProperties>
</file>