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11" w:rsidRDefault="004C2B11" w:rsidP="0018792F">
      <w:pPr>
        <w:spacing w:before="28" w:after="28"/>
        <w:ind w:left="6096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4C2B1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Додаток</w:t>
      </w:r>
    </w:p>
    <w:p w:rsidR="004C2B11" w:rsidRDefault="004C2B11" w:rsidP="009759A0">
      <w:pPr>
        <w:spacing w:before="28" w:after="2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ab/>
        <w:t>до рішення міської ради</w:t>
      </w:r>
    </w:p>
    <w:p w:rsidR="004C2B11" w:rsidRPr="004C2B11" w:rsidRDefault="0018792F" w:rsidP="0018792F">
      <w:pPr>
        <w:spacing w:before="28" w:after="28"/>
        <w:ind w:left="5664" w:firstLine="432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_________ № _________</w:t>
      </w:r>
    </w:p>
    <w:p w:rsidR="004C2B11" w:rsidRPr="0018792F" w:rsidRDefault="004C2B11" w:rsidP="009759A0">
      <w:pPr>
        <w:spacing w:before="28" w:after="2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:rsidR="009759A0" w:rsidRPr="00DE22AD" w:rsidRDefault="009759A0" w:rsidP="009759A0">
      <w:pPr>
        <w:spacing w:before="28" w:after="2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DE22A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ПЕРЕДАВАЛЬНИЙ АКТ</w:t>
      </w:r>
    </w:p>
    <w:p w:rsidR="009759A0" w:rsidRPr="00DE22AD" w:rsidRDefault="009759A0" w:rsidP="009759A0">
      <w:pPr>
        <w:spacing w:before="28" w:after="28"/>
        <w:jc w:val="righ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:rsidR="009759A0" w:rsidRPr="00DE22AD" w:rsidRDefault="009759A0" w:rsidP="009759A0">
      <w:pPr>
        <w:spacing w:before="28" w:after="28"/>
        <w:ind w:right="34"/>
        <w:jc w:val="righ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DE22AD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«       »             2026 року</w:t>
      </w:r>
    </w:p>
    <w:p w:rsidR="009759A0" w:rsidRPr="00DE22AD" w:rsidRDefault="009759A0" w:rsidP="009759A0">
      <w:pPr>
        <w:spacing w:before="28" w:after="2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9A0" w:rsidRPr="00DE22AD" w:rsidRDefault="009759A0" w:rsidP="009759A0">
      <w:pPr>
        <w:keepNext/>
        <w:tabs>
          <w:tab w:val="left" w:pos="2127"/>
        </w:tabs>
        <w:spacing w:after="28"/>
        <w:ind w:left="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Ми, що нижче підписалися, голова та члени Комісії з реорганізації Центру культури та дозвілля </w:t>
      </w:r>
      <w:proofErr w:type="spellStart"/>
      <w:r w:rsidRPr="00DE22A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Жидичинської</w:t>
      </w:r>
      <w:proofErr w:type="spellEnd"/>
      <w:r w:rsidRPr="00DE22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</w:t>
      </w:r>
      <w:r w:rsidRPr="00DE22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створеної рішенням Луцької міської ради від 29.10.2025 № 82/120 у складі:</w:t>
      </w:r>
    </w:p>
    <w:p w:rsidR="009759A0" w:rsidRPr="00DE22AD" w:rsidRDefault="009759A0" w:rsidP="009759A0">
      <w:pPr>
        <w:keepNext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Голови комісії: </w:t>
      </w:r>
      <w:proofErr w:type="spellStart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Матвіюк</w:t>
      </w:r>
      <w:proofErr w:type="spellEnd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Галина Валентинівна </w:t>
      </w:r>
      <w:r w:rsidR="00DE22AD">
        <w:rPr>
          <w:rFonts w:ascii="Times New Roman" w:eastAsia="Calibri" w:hAnsi="Times New Roman" w:cs="Times New Roman"/>
          <w:sz w:val="28"/>
          <w:szCs w:val="28"/>
          <w:lang w:eastAsia="uk-UA"/>
        </w:rPr>
        <w:t>–</w:t>
      </w: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староста </w:t>
      </w:r>
      <w:proofErr w:type="spellStart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Жидичинського</w:t>
      </w:r>
      <w:proofErr w:type="spellEnd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округу; </w:t>
      </w:r>
    </w:p>
    <w:p w:rsidR="009759A0" w:rsidRPr="00DE22AD" w:rsidRDefault="009759A0" w:rsidP="009759A0">
      <w:pPr>
        <w:keepNext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Членів комісії: </w:t>
      </w:r>
      <w:proofErr w:type="spellStart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Лущакевич</w:t>
      </w:r>
      <w:proofErr w:type="spellEnd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Євгеній Вікторович – начальник відділу управління майном міської комунальної власності;</w:t>
      </w:r>
    </w:p>
    <w:p w:rsidR="009759A0" w:rsidRPr="00DE22AD" w:rsidRDefault="009759A0" w:rsidP="009759A0">
      <w:pPr>
        <w:keepNext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Сорока Галина Володимирівна – головний бухгалтер централізованої бухгалтерії департаменту культури;</w:t>
      </w:r>
    </w:p>
    <w:p w:rsidR="009759A0" w:rsidRPr="00DE22AD" w:rsidRDefault="009759A0" w:rsidP="009759A0">
      <w:pPr>
        <w:keepNext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Мельничук Вікторія Василівна – директор КЗ «Центр культури «</w:t>
      </w:r>
      <w:proofErr w:type="spellStart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Княгининок</w:t>
      </w:r>
      <w:proofErr w:type="spellEnd"/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». </w:t>
      </w:r>
    </w:p>
    <w:p w:rsidR="009759A0" w:rsidRPr="00DE22AD" w:rsidRDefault="009759A0" w:rsidP="00DE22AD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E22AD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Керуючись ч. 2 та 3 ст. 107 Цивільного кодексу України, ст. 6 Закону України «Про місцевого самоврядування в Україні», склали цей акт про наступне:</w:t>
      </w:r>
    </w:p>
    <w:p w:rsidR="009759A0" w:rsidRPr="00DE22AD" w:rsidRDefault="009759A0" w:rsidP="0018792F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DE22AD">
        <w:rPr>
          <w:rFonts w:ascii="Times New Roman" w:hAnsi="Times New Roman"/>
          <w:sz w:val="28"/>
          <w:szCs w:val="28"/>
        </w:rPr>
        <w:t xml:space="preserve">1. Внаслідок реорганізації Центру культури та дозвілля </w:t>
      </w:r>
      <w:proofErr w:type="spellStart"/>
      <w:r w:rsidRPr="00DE22AD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DE22AD">
        <w:rPr>
          <w:rFonts w:ascii="Times New Roman" w:hAnsi="Times New Roman"/>
          <w:sz w:val="28"/>
          <w:szCs w:val="28"/>
        </w:rPr>
        <w:t xml:space="preserve"> сільської ради (код ЄДРПОУ 42839726), місцезнаходження 45240, Україна, Волинська область, Луцького району, село </w:t>
      </w:r>
      <w:proofErr w:type="spellStart"/>
      <w:r w:rsidRPr="00DE22AD">
        <w:rPr>
          <w:rFonts w:ascii="Times New Roman" w:hAnsi="Times New Roman"/>
          <w:sz w:val="28"/>
          <w:szCs w:val="28"/>
        </w:rPr>
        <w:t>Жидичин</w:t>
      </w:r>
      <w:proofErr w:type="spellEnd"/>
      <w:r w:rsidRPr="00DE22AD">
        <w:rPr>
          <w:rFonts w:ascii="Times New Roman" w:hAnsi="Times New Roman"/>
          <w:sz w:val="28"/>
          <w:szCs w:val="28"/>
        </w:rPr>
        <w:t xml:space="preserve">, вул. Богдана Хмельницького, будинок, 7) шляхом приєднання як структурного підрозділу, а саме: Будинок культури села </w:t>
      </w:r>
      <w:proofErr w:type="spellStart"/>
      <w:r w:rsidRPr="00DE22AD">
        <w:rPr>
          <w:rFonts w:ascii="Times New Roman" w:hAnsi="Times New Roman"/>
          <w:sz w:val="28"/>
          <w:szCs w:val="28"/>
        </w:rPr>
        <w:t>Жидичин</w:t>
      </w:r>
      <w:proofErr w:type="spellEnd"/>
      <w:r w:rsidRPr="00DE22AD">
        <w:rPr>
          <w:rFonts w:ascii="Times New Roman" w:hAnsi="Times New Roman"/>
          <w:sz w:val="28"/>
          <w:szCs w:val="28"/>
        </w:rPr>
        <w:t>, до Комунального закладу «Центр культури «</w:t>
      </w:r>
      <w:proofErr w:type="spellStart"/>
      <w:r w:rsidRPr="00DE22AD">
        <w:rPr>
          <w:rFonts w:ascii="Times New Roman" w:hAnsi="Times New Roman"/>
          <w:sz w:val="28"/>
          <w:szCs w:val="28"/>
        </w:rPr>
        <w:t>Княгининок</w:t>
      </w:r>
      <w:proofErr w:type="spellEnd"/>
      <w:r w:rsidRPr="00DE22AD">
        <w:rPr>
          <w:rFonts w:ascii="Times New Roman" w:hAnsi="Times New Roman"/>
          <w:sz w:val="28"/>
          <w:szCs w:val="28"/>
        </w:rPr>
        <w:t xml:space="preserve">» (код ЄДРПОУ 41799138, місцезнаходження 45240, Україна, Волинська область, Луцького району, село </w:t>
      </w:r>
      <w:proofErr w:type="spellStart"/>
      <w:r w:rsidRPr="00DE22AD">
        <w:rPr>
          <w:rFonts w:ascii="Times New Roman" w:hAnsi="Times New Roman"/>
          <w:sz w:val="28"/>
          <w:szCs w:val="28"/>
        </w:rPr>
        <w:t>Княгининок</w:t>
      </w:r>
      <w:proofErr w:type="spellEnd"/>
      <w:r w:rsidRPr="00DE22AD">
        <w:rPr>
          <w:rFonts w:ascii="Times New Roman" w:hAnsi="Times New Roman"/>
          <w:sz w:val="28"/>
          <w:szCs w:val="28"/>
        </w:rPr>
        <w:t>, Луцького району, вул. Соборна, 75) є правонаступником майна, активів та зобов’язань, а саме: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9"/>
        <w:gridCol w:w="2947"/>
      </w:tblGrid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1" w:name="446568"/>
            <w:bookmarkEnd w:id="1"/>
            <w:r w:rsidRPr="00DE22AD">
              <w:rPr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2" w:name="446569"/>
            <w:bookmarkStart w:id="3" w:name="446570"/>
            <w:bookmarkStart w:id="4" w:name="446571"/>
            <w:bookmarkEnd w:id="2"/>
            <w:bookmarkEnd w:id="3"/>
            <w:bookmarkEnd w:id="4"/>
            <w:r w:rsidRPr="00DE22AD">
              <w:rPr>
                <w:sz w:val="28"/>
                <w:szCs w:val="28"/>
                <w:lang w:val="uk-UA"/>
              </w:rPr>
              <w:t>Станом на дату передавального акту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" w:name="446572"/>
            <w:bookmarkEnd w:id="5"/>
            <w:r w:rsidRPr="00DE22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6" w:name="446573"/>
            <w:bookmarkStart w:id="7" w:name="446574"/>
            <w:bookmarkStart w:id="8" w:name="446575"/>
            <w:bookmarkEnd w:id="6"/>
            <w:bookmarkEnd w:id="7"/>
            <w:bookmarkEnd w:id="8"/>
            <w:r w:rsidRPr="00DE22AD">
              <w:rPr>
                <w:sz w:val="28"/>
                <w:szCs w:val="28"/>
                <w:lang w:val="uk-UA"/>
              </w:rPr>
              <w:t>2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9B36B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9" w:name="446576"/>
            <w:bookmarkEnd w:id="9"/>
            <w:r w:rsidRPr="00DE22AD">
              <w:rPr>
                <w:b/>
                <w:bCs/>
                <w:sz w:val="28"/>
                <w:szCs w:val="28"/>
                <w:lang w:val="uk-UA"/>
              </w:rPr>
              <w:t>Необоротні активи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10" w:name="446577"/>
            <w:bookmarkStart w:id="11" w:name="446578"/>
            <w:bookmarkStart w:id="12" w:name="446579"/>
            <w:bookmarkEnd w:id="10"/>
            <w:bookmarkEnd w:id="11"/>
            <w:bookmarkEnd w:id="12"/>
            <w:r w:rsidRPr="00DE22A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13" w:name="446580"/>
            <w:bookmarkEnd w:id="13"/>
            <w:r w:rsidRPr="00DE22AD">
              <w:rPr>
                <w:sz w:val="28"/>
                <w:szCs w:val="28"/>
                <w:lang w:val="uk-UA"/>
              </w:rPr>
              <w:t>Основні засоби: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14" w:name="446581"/>
            <w:bookmarkStart w:id="15" w:name="446582"/>
            <w:bookmarkStart w:id="16" w:name="446583"/>
            <w:bookmarkEnd w:id="14"/>
            <w:bookmarkEnd w:id="15"/>
            <w:bookmarkEnd w:id="16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17" w:name="446584"/>
            <w:bookmarkEnd w:id="17"/>
            <w:r w:rsidRPr="00DE22AD">
              <w:rPr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18" w:name="446585"/>
            <w:bookmarkStart w:id="19" w:name="446586"/>
            <w:bookmarkEnd w:id="18"/>
            <w:bookmarkEnd w:id="19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20" w:name="446588"/>
            <w:bookmarkEnd w:id="20"/>
            <w:r w:rsidRPr="00DE22AD">
              <w:rPr>
                <w:sz w:val="28"/>
                <w:szCs w:val="28"/>
                <w:lang w:val="uk-UA"/>
              </w:rPr>
              <w:t>знос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21" w:name="446589"/>
            <w:bookmarkStart w:id="22" w:name="446590"/>
            <w:bookmarkEnd w:id="21"/>
            <w:bookmarkEnd w:id="22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23" w:name="446592"/>
            <w:bookmarkEnd w:id="23"/>
            <w:r w:rsidRPr="00DE22AD">
              <w:rPr>
                <w:sz w:val="28"/>
                <w:szCs w:val="28"/>
                <w:lang w:val="uk-UA"/>
              </w:rPr>
              <w:t>Інші необоротні активи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24" w:name="446593"/>
            <w:bookmarkStart w:id="25" w:name="446594"/>
            <w:bookmarkEnd w:id="24"/>
            <w:bookmarkEnd w:id="25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26" w:name="446596"/>
            <w:bookmarkEnd w:id="26"/>
            <w:r w:rsidRPr="00DE22AD">
              <w:rPr>
                <w:b/>
                <w:bCs/>
                <w:sz w:val="28"/>
                <w:szCs w:val="28"/>
                <w:lang w:val="uk-UA"/>
              </w:rPr>
              <w:t>Усього за розділом I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27" w:name="446597"/>
            <w:bookmarkStart w:id="28" w:name="446598"/>
            <w:bookmarkEnd w:id="27"/>
            <w:bookmarkEnd w:id="28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29" w:name="446600"/>
            <w:bookmarkEnd w:id="29"/>
            <w:r w:rsidRPr="00DE22AD">
              <w:rPr>
                <w:b/>
                <w:bCs/>
                <w:sz w:val="28"/>
                <w:szCs w:val="28"/>
                <w:lang w:val="uk-UA"/>
              </w:rPr>
              <w:t>II. Оборотні активи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30" w:name="446601"/>
            <w:bookmarkStart w:id="31" w:name="446602"/>
            <w:bookmarkEnd w:id="30"/>
            <w:bookmarkEnd w:id="31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32" w:name="446604"/>
            <w:bookmarkEnd w:id="32"/>
            <w:r w:rsidRPr="00DE22AD">
              <w:rPr>
                <w:sz w:val="28"/>
                <w:szCs w:val="28"/>
                <w:lang w:val="uk-UA"/>
              </w:rPr>
              <w:t>Запаси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33" w:name="446605"/>
            <w:bookmarkStart w:id="34" w:name="446606"/>
            <w:bookmarkEnd w:id="33"/>
            <w:bookmarkEnd w:id="34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35" w:name="446608"/>
            <w:bookmarkEnd w:id="35"/>
            <w:r w:rsidRPr="00DE22AD">
              <w:rPr>
                <w:sz w:val="28"/>
                <w:szCs w:val="28"/>
                <w:lang w:val="uk-UA"/>
              </w:rPr>
              <w:t>Поточна дебіторська заборгованість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36" w:name="446609"/>
            <w:bookmarkStart w:id="37" w:name="446610"/>
            <w:bookmarkEnd w:id="36"/>
            <w:bookmarkEnd w:id="37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38" w:name="446612"/>
            <w:bookmarkEnd w:id="38"/>
            <w:r w:rsidRPr="00DE22AD">
              <w:rPr>
                <w:sz w:val="28"/>
                <w:szCs w:val="28"/>
                <w:lang w:val="uk-UA"/>
              </w:rPr>
              <w:lastRenderedPageBreak/>
              <w:t>Гроші та їх еквіваленти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39" w:name="446613"/>
            <w:bookmarkStart w:id="40" w:name="446614"/>
            <w:bookmarkEnd w:id="39"/>
            <w:bookmarkEnd w:id="40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41" w:name="446616"/>
            <w:bookmarkEnd w:id="41"/>
            <w:r w:rsidRPr="00DE22AD">
              <w:rPr>
                <w:sz w:val="28"/>
                <w:szCs w:val="28"/>
                <w:lang w:val="uk-UA"/>
              </w:rPr>
              <w:t>Інші оборотні активи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42" w:name="446617"/>
            <w:bookmarkStart w:id="43" w:name="446618"/>
            <w:bookmarkEnd w:id="42"/>
            <w:bookmarkEnd w:id="43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44" w:name="446620"/>
            <w:bookmarkEnd w:id="44"/>
            <w:r w:rsidRPr="00DE22AD">
              <w:rPr>
                <w:b/>
                <w:bCs/>
                <w:sz w:val="28"/>
                <w:szCs w:val="28"/>
                <w:lang w:val="uk-UA"/>
              </w:rPr>
              <w:t>Усього за розділом II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45" w:name="446621"/>
            <w:bookmarkStart w:id="46" w:name="446622"/>
            <w:bookmarkEnd w:id="45"/>
            <w:bookmarkEnd w:id="46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47" w:name="446624"/>
            <w:bookmarkEnd w:id="47"/>
            <w:r w:rsidRPr="00DE22AD">
              <w:rPr>
                <w:b/>
                <w:bCs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48" w:name="446625"/>
            <w:bookmarkStart w:id="49" w:name="446626"/>
            <w:bookmarkEnd w:id="48"/>
            <w:bookmarkEnd w:id="49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0" w:name="446628"/>
            <w:bookmarkEnd w:id="50"/>
            <w:r w:rsidRPr="00DE22AD">
              <w:rPr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1" w:name="446629"/>
            <w:bookmarkStart w:id="52" w:name="446630"/>
            <w:bookmarkStart w:id="53" w:name="446631"/>
            <w:bookmarkEnd w:id="51"/>
            <w:bookmarkEnd w:id="52"/>
            <w:bookmarkEnd w:id="53"/>
            <w:r w:rsidRPr="00DE22AD">
              <w:rPr>
                <w:sz w:val="28"/>
                <w:szCs w:val="28"/>
                <w:lang w:val="uk-UA"/>
              </w:rPr>
              <w:t>Станом на дату передавального акту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4" w:name="446632"/>
            <w:bookmarkEnd w:id="54"/>
            <w:r w:rsidRPr="00DE22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5" w:name="446633"/>
            <w:bookmarkStart w:id="56" w:name="446634"/>
            <w:bookmarkStart w:id="57" w:name="446635"/>
            <w:bookmarkEnd w:id="55"/>
            <w:bookmarkEnd w:id="56"/>
            <w:bookmarkEnd w:id="57"/>
            <w:r w:rsidRPr="00DE22AD">
              <w:rPr>
                <w:sz w:val="28"/>
                <w:szCs w:val="28"/>
                <w:lang w:val="uk-UA"/>
              </w:rPr>
              <w:t>4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8" w:name="446636"/>
            <w:bookmarkEnd w:id="58"/>
            <w:r w:rsidRPr="00DE22AD">
              <w:rPr>
                <w:b/>
                <w:bCs/>
                <w:sz w:val="28"/>
                <w:szCs w:val="28"/>
                <w:lang w:val="uk-UA"/>
              </w:rPr>
              <w:t>I. Власний капітал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59" w:name="446637"/>
            <w:bookmarkStart w:id="60" w:name="446638"/>
            <w:bookmarkEnd w:id="59"/>
            <w:bookmarkEnd w:id="60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61" w:name="446640"/>
            <w:bookmarkEnd w:id="61"/>
            <w:r w:rsidRPr="00DE22AD">
              <w:rPr>
                <w:sz w:val="28"/>
                <w:szCs w:val="28"/>
                <w:lang w:val="uk-UA"/>
              </w:rPr>
              <w:t>Капітал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62" w:name="446641"/>
            <w:bookmarkStart w:id="63" w:name="446642"/>
            <w:bookmarkEnd w:id="62"/>
            <w:bookmarkEnd w:id="63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64" w:name="446644"/>
            <w:bookmarkEnd w:id="64"/>
            <w:r w:rsidRPr="00DE22AD">
              <w:rPr>
                <w:sz w:val="28"/>
                <w:szCs w:val="28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65" w:name="446645"/>
            <w:bookmarkStart w:id="66" w:name="446646"/>
            <w:bookmarkEnd w:id="65"/>
            <w:bookmarkEnd w:id="66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proofErr w:type="spellStart"/>
            <w:r w:rsidRPr="00DE22AD">
              <w:rPr>
                <w:rStyle w:val="st42"/>
                <w:sz w:val="28"/>
                <w:szCs w:val="28"/>
              </w:rPr>
              <w:t>Неоплачений</w:t>
            </w:r>
            <w:proofErr w:type="spellEnd"/>
            <w:r w:rsidRPr="00DE22AD">
              <w:rPr>
                <w:rStyle w:val="st42"/>
                <w:sz w:val="28"/>
                <w:szCs w:val="28"/>
              </w:rPr>
              <w:t xml:space="preserve"> </w:t>
            </w:r>
            <w:proofErr w:type="spellStart"/>
            <w:r w:rsidRPr="00DE22AD">
              <w:rPr>
                <w:rStyle w:val="st42"/>
                <w:sz w:val="28"/>
                <w:szCs w:val="28"/>
              </w:rPr>
              <w:t>капітал</w:t>
            </w:r>
            <w:proofErr w:type="spellEnd"/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67" w:name="446648"/>
            <w:bookmarkEnd w:id="67"/>
            <w:r w:rsidRPr="00DE22AD">
              <w:rPr>
                <w:b/>
                <w:bCs/>
                <w:sz w:val="28"/>
                <w:szCs w:val="28"/>
                <w:lang w:val="uk-UA"/>
              </w:rPr>
              <w:t>Усього за розділом I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68" w:name="446649"/>
            <w:bookmarkStart w:id="69" w:name="446650"/>
            <w:bookmarkEnd w:id="68"/>
            <w:bookmarkEnd w:id="69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70" w:name="446652"/>
            <w:bookmarkEnd w:id="70"/>
            <w:r w:rsidRPr="00DE22AD">
              <w:rPr>
                <w:b/>
                <w:bCs/>
                <w:sz w:val="28"/>
                <w:szCs w:val="28"/>
                <w:lang w:val="uk-UA"/>
              </w:rPr>
              <w:t>II. Довгострокові зобов'язання, цільове фінансування та забезпечення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71" w:name="446653"/>
            <w:bookmarkStart w:id="72" w:name="446654"/>
            <w:bookmarkEnd w:id="71"/>
            <w:bookmarkEnd w:id="72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73" w:name="446656"/>
            <w:bookmarkEnd w:id="73"/>
            <w:r w:rsidRPr="00DE22AD">
              <w:rPr>
                <w:b/>
                <w:bCs/>
                <w:sz w:val="28"/>
                <w:szCs w:val="28"/>
                <w:lang w:val="uk-UA"/>
              </w:rPr>
              <w:t>III. Поточні зобов'язання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74" w:name="446657"/>
            <w:bookmarkStart w:id="75" w:name="446658"/>
            <w:bookmarkEnd w:id="74"/>
            <w:bookmarkEnd w:id="75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76" w:name="446660"/>
            <w:bookmarkEnd w:id="76"/>
            <w:r w:rsidRPr="00DE22AD">
              <w:rPr>
                <w:sz w:val="28"/>
                <w:szCs w:val="28"/>
                <w:lang w:val="uk-UA"/>
              </w:rPr>
              <w:t>Короткострокові кредити банків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77" w:name="446661"/>
            <w:bookmarkStart w:id="78" w:name="446662"/>
            <w:bookmarkEnd w:id="77"/>
            <w:bookmarkEnd w:id="78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79" w:name="446664"/>
            <w:bookmarkEnd w:id="79"/>
            <w:r w:rsidRPr="00DE22AD">
              <w:rPr>
                <w:sz w:val="28"/>
                <w:szCs w:val="28"/>
                <w:lang w:val="uk-UA"/>
              </w:rPr>
              <w:t>Поточна кредиторська заборгованість за:</w:t>
            </w:r>
            <w:r w:rsidRPr="00DE22AD">
              <w:rPr>
                <w:sz w:val="28"/>
                <w:szCs w:val="28"/>
                <w:lang w:val="uk-UA"/>
              </w:rPr>
              <w:br/>
              <w:t>товари, роботи, послуги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80" w:name="446665"/>
            <w:bookmarkStart w:id="81" w:name="446666"/>
            <w:bookmarkEnd w:id="80"/>
            <w:bookmarkEnd w:id="81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82" w:name="446668"/>
            <w:bookmarkEnd w:id="82"/>
            <w:r w:rsidRPr="00DE22AD">
              <w:rPr>
                <w:sz w:val="28"/>
                <w:szCs w:val="28"/>
                <w:lang w:val="uk-UA"/>
              </w:rPr>
              <w:t>розрахунками з бюджетом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83" w:name="446669"/>
            <w:bookmarkStart w:id="84" w:name="446670"/>
            <w:bookmarkEnd w:id="83"/>
            <w:bookmarkEnd w:id="84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85" w:name="446672"/>
            <w:bookmarkEnd w:id="85"/>
            <w:r w:rsidRPr="00DE22AD">
              <w:rPr>
                <w:sz w:val="28"/>
                <w:szCs w:val="28"/>
                <w:lang w:val="uk-UA"/>
              </w:rPr>
              <w:t>розрахунками зі страхування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86" w:name="446673"/>
            <w:bookmarkStart w:id="87" w:name="446674"/>
            <w:bookmarkEnd w:id="86"/>
            <w:bookmarkEnd w:id="87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88" w:name="446676"/>
            <w:bookmarkEnd w:id="88"/>
            <w:r w:rsidRPr="00DE22AD">
              <w:rPr>
                <w:sz w:val="28"/>
                <w:szCs w:val="28"/>
                <w:lang w:val="uk-UA"/>
              </w:rPr>
              <w:t>розрахунками з оплати праці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89" w:name="446677"/>
            <w:bookmarkStart w:id="90" w:name="446678"/>
            <w:bookmarkEnd w:id="89"/>
            <w:bookmarkEnd w:id="90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91" w:name="446680"/>
            <w:bookmarkEnd w:id="91"/>
            <w:r w:rsidRPr="00DE22AD">
              <w:rPr>
                <w:sz w:val="28"/>
                <w:szCs w:val="28"/>
                <w:lang w:val="uk-UA"/>
              </w:rPr>
              <w:t>Інші поточні зобов'язання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92" w:name="446681"/>
            <w:bookmarkStart w:id="93" w:name="446682"/>
            <w:bookmarkEnd w:id="92"/>
            <w:bookmarkEnd w:id="93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94" w:name="446684"/>
            <w:bookmarkEnd w:id="94"/>
            <w:r w:rsidRPr="00DE22AD">
              <w:rPr>
                <w:b/>
                <w:bCs/>
                <w:sz w:val="28"/>
                <w:szCs w:val="28"/>
                <w:lang w:val="uk-UA"/>
              </w:rPr>
              <w:t>Усього за розділом III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95" w:name="446685"/>
            <w:bookmarkStart w:id="96" w:name="446686"/>
            <w:bookmarkEnd w:id="95"/>
            <w:bookmarkEnd w:id="96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  <w:tr w:rsidR="009759A0" w:rsidRPr="00DE22AD" w:rsidTr="009B36B1">
        <w:tc>
          <w:tcPr>
            <w:tcW w:w="3466" w:type="pct"/>
            <w:shd w:val="clear" w:color="auto" w:fill="auto"/>
          </w:tcPr>
          <w:p w:rsidR="009759A0" w:rsidRPr="00DE22AD" w:rsidRDefault="009759A0" w:rsidP="00862401">
            <w:pPr>
              <w:pStyle w:val="a4"/>
              <w:rPr>
                <w:sz w:val="28"/>
                <w:szCs w:val="28"/>
                <w:lang w:val="uk-UA"/>
              </w:rPr>
            </w:pPr>
            <w:bookmarkStart w:id="97" w:name="446688"/>
            <w:bookmarkEnd w:id="97"/>
            <w:r w:rsidRPr="00DE22AD">
              <w:rPr>
                <w:b/>
                <w:bCs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1534" w:type="pct"/>
            <w:shd w:val="clear" w:color="auto" w:fill="auto"/>
          </w:tcPr>
          <w:p w:rsidR="009759A0" w:rsidRPr="00DE22AD" w:rsidRDefault="009759A0" w:rsidP="00862401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bookmarkStart w:id="98" w:name="446689"/>
            <w:bookmarkStart w:id="99" w:name="446690"/>
            <w:bookmarkEnd w:id="98"/>
            <w:bookmarkEnd w:id="99"/>
            <w:r w:rsidRPr="00DE22AD">
              <w:rPr>
                <w:sz w:val="28"/>
                <w:szCs w:val="28"/>
                <w:lang w:val="uk-UA"/>
              </w:rPr>
              <w:t xml:space="preserve"> -</w:t>
            </w:r>
          </w:p>
        </w:tc>
      </w:tr>
    </w:tbl>
    <w:p w:rsidR="009759A0" w:rsidRPr="00DE22AD" w:rsidRDefault="009759A0" w:rsidP="009759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9A0" w:rsidRDefault="009759A0" w:rsidP="009759A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2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Комісія з реорганізації </w:t>
      </w:r>
      <w:r w:rsidRPr="00DE2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Центру культури та дозвілля </w:t>
      </w:r>
      <w:proofErr w:type="spellStart"/>
      <w:r w:rsidRPr="00DE2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Жидичинської</w:t>
      </w:r>
      <w:proofErr w:type="spellEnd"/>
      <w:r w:rsidRPr="00DE22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сільської ради</w:t>
      </w:r>
    </w:p>
    <w:p w:rsidR="009B36B1" w:rsidRPr="0018792F" w:rsidRDefault="009B36B1" w:rsidP="009759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59A0" w:rsidRPr="00DE22AD" w:rsidRDefault="009759A0" w:rsidP="009759A0">
      <w:pPr>
        <w:jc w:val="both"/>
        <w:rPr>
          <w:rFonts w:ascii="Times New Roman" w:hAnsi="Times New Roman" w:cs="Times New Roman"/>
          <w:color w:val="0070C0"/>
          <w:sz w:val="28"/>
          <w:szCs w:val="28"/>
          <w:lang w:eastAsia="uk-UA"/>
        </w:rPr>
      </w:pPr>
      <w:r w:rsidRPr="00DE22AD">
        <w:rPr>
          <w:rFonts w:ascii="Times New Roman" w:hAnsi="Times New Roman" w:cs="Times New Roman"/>
          <w:sz w:val="28"/>
          <w:szCs w:val="28"/>
        </w:rPr>
        <w:t xml:space="preserve">Голова комісії_____________________ </w:t>
      </w:r>
      <w:proofErr w:type="spellStart"/>
      <w:r w:rsidRPr="00DE2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Матвіюк</w:t>
      </w:r>
      <w:proofErr w:type="spellEnd"/>
      <w:r w:rsidRPr="00DE2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Валентинівна</w:t>
      </w:r>
      <w:r w:rsidRPr="00DE2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9A0" w:rsidRPr="0018792F" w:rsidRDefault="009759A0" w:rsidP="009759A0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759A0" w:rsidRPr="00DE22AD" w:rsidRDefault="009759A0" w:rsidP="009759A0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22AD">
        <w:rPr>
          <w:rFonts w:ascii="Times New Roman" w:hAnsi="Times New Roman"/>
          <w:sz w:val="28"/>
          <w:szCs w:val="28"/>
        </w:rPr>
        <w:t>Член комісії    _____________________</w:t>
      </w:r>
      <w:r w:rsidRPr="00DE22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22AD">
        <w:rPr>
          <w:rFonts w:ascii="Times New Roman" w:hAnsi="Times New Roman"/>
          <w:sz w:val="28"/>
          <w:szCs w:val="28"/>
          <w:lang w:eastAsia="uk-UA"/>
        </w:rPr>
        <w:t>Лущакевич</w:t>
      </w:r>
      <w:proofErr w:type="spellEnd"/>
      <w:r w:rsidRPr="00DE22AD">
        <w:rPr>
          <w:rFonts w:ascii="Times New Roman" w:hAnsi="Times New Roman"/>
          <w:sz w:val="28"/>
          <w:szCs w:val="28"/>
          <w:lang w:eastAsia="uk-UA"/>
        </w:rPr>
        <w:t xml:space="preserve"> Євгеній Вікторович</w:t>
      </w:r>
    </w:p>
    <w:p w:rsidR="009759A0" w:rsidRPr="0018792F" w:rsidRDefault="009759A0" w:rsidP="009759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59A0" w:rsidRDefault="009759A0" w:rsidP="009759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22AD">
        <w:rPr>
          <w:rFonts w:ascii="Times New Roman" w:hAnsi="Times New Roman"/>
          <w:sz w:val="28"/>
          <w:szCs w:val="28"/>
        </w:rPr>
        <w:t>Член комісії   _____________________</w:t>
      </w:r>
      <w:r w:rsidRPr="00DE22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E22AD">
        <w:rPr>
          <w:rFonts w:ascii="Times New Roman" w:hAnsi="Times New Roman"/>
          <w:sz w:val="28"/>
          <w:szCs w:val="28"/>
        </w:rPr>
        <w:t>Сорока Галина Володимирівна</w:t>
      </w:r>
    </w:p>
    <w:p w:rsidR="009B36B1" w:rsidRPr="0018792F" w:rsidRDefault="009B36B1" w:rsidP="009759A0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9759A0" w:rsidRPr="00DE22AD" w:rsidRDefault="009759A0" w:rsidP="009759A0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22AD">
        <w:rPr>
          <w:rFonts w:ascii="Times New Roman" w:hAnsi="Times New Roman"/>
          <w:sz w:val="28"/>
          <w:szCs w:val="28"/>
        </w:rPr>
        <w:t>Член комісії    _____________________</w:t>
      </w:r>
      <w:r w:rsidRPr="00DE22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E22AD">
        <w:rPr>
          <w:rFonts w:ascii="Times New Roman" w:hAnsi="Times New Roman"/>
          <w:sz w:val="28"/>
          <w:szCs w:val="28"/>
        </w:rPr>
        <w:t>Мельничук Вікторія Василівна</w:t>
      </w:r>
    </w:p>
    <w:p w:rsidR="008C37FB" w:rsidRDefault="008C37FB" w:rsidP="009759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92F" w:rsidRPr="0018792F" w:rsidRDefault="0018792F" w:rsidP="009759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B1" w:rsidRDefault="0018792F" w:rsidP="0097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p w:rsidR="0018792F" w:rsidRDefault="0018792F" w:rsidP="009759A0">
      <w:pPr>
        <w:rPr>
          <w:rFonts w:ascii="Times New Roman" w:hAnsi="Times New Roman" w:cs="Times New Roman"/>
          <w:sz w:val="28"/>
          <w:szCs w:val="28"/>
        </w:rPr>
      </w:pPr>
    </w:p>
    <w:p w:rsidR="0018792F" w:rsidRPr="0018792F" w:rsidRDefault="0018792F" w:rsidP="009759A0">
      <w:pPr>
        <w:rPr>
          <w:rFonts w:ascii="Times New Roman" w:hAnsi="Times New Roman" w:cs="Times New Roman"/>
          <w:sz w:val="24"/>
          <w:szCs w:val="24"/>
        </w:rPr>
      </w:pPr>
      <w:r w:rsidRPr="0018792F">
        <w:rPr>
          <w:rFonts w:ascii="Times New Roman" w:hAnsi="Times New Roman" w:cs="Times New Roman"/>
          <w:sz w:val="24"/>
          <w:szCs w:val="24"/>
        </w:rPr>
        <w:t>Гнатів Тетяна 723 426</w:t>
      </w:r>
    </w:p>
    <w:sectPr w:rsidR="0018792F" w:rsidRPr="0018792F" w:rsidSect="0018792F">
      <w:headerReference w:type="default" r:id="rId8"/>
      <w:pgSz w:w="11906" w:h="16838"/>
      <w:pgMar w:top="568" w:right="566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C0" w:rsidRDefault="00F91BC0" w:rsidP="004C2B11">
      <w:pPr>
        <w:spacing w:after="0"/>
      </w:pPr>
      <w:r>
        <w:separator/>
      </w:r>
    </w:p>
  </w:endnote>
  <w:endnote w:type="continuationSeparator" w:id="0">
    <w:p w:rsidR="00F91BC0" w:rsidRDefault="00F91BC0" w:rsidP="004C2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C0" w:rsidRDefault="00F91BC0" w:rsidP="004C2B11">
      <w:pPr>
        <w:spacing w:after="0"/>
      </w:pPr>
      <w:r>
        <w:separator/>
      </w:r>
    </w:p>
  </w:footnote>
  <w:footnote w:type="continuationSeparator" w:id="0">
    <w:p w:rsidR="00F91BC0" w:rsidRDefault="00F91BC0" w:rsidP="004C2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80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2B11" w:rsidRPr="004C2B11" w:rsidRDefault="004C2B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2B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B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B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792F" w:rsidRPr="0018792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C2B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2B11" w:rsidRDefault="004C2B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20BEA"/>
    <w:multiLevelType w:val="hybridMultilevel"/>
    <w:tmpl w:val="1BA4D856"/>
    <w:lvl w:ilvl="0" w:tplc="D8EC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A0"/>
    <w:rsid w:val="0018792F"/>
    <w:rsid w:val="004C2B11"/>
    <w:rsid w:val="008C37FB"/>
    <w:rsid w:val="009759A0"/>
    <w:rsid w:val="009B36B1"/>
    <w:rsid w:val="00DE22AD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A0"/>
    <w:pPr>
      <w:suppressAutoHyphens/>
      <w:spacing w:after="80" w:line="240" w:lineRule="auto"/>
    </w:pPr>
    <w:rPr>
      <w:rFonts w:ascii="Calibri" w:eastAsia="SimSun" w:hAnsi="Calibri" w:cs="font2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9759A0"/>
    <w:rPr>
      <w:color w:val="000000"/>
    </w:rPr>
  </w:style>
  <w:style w:type="paragraph" w:styleId="a3">
    <w:name w:val="No Spacing"/>
    <w:uiPriority w:val="99"/>
    <w:qFormat/>
    <w:rsid w:val="009759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9759A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C2B11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C2B11"/>
    <w:rPr>
      <w:rFonts w:ascii="Calibri" w:eastAsia="SimSun" w:hAnsi="Calibri" w:cs="font223"/>
    </w:rPr>
  </w:style>
  <w:style w:type="paragraph" w:styleId="a7">
    <w:name w:val="footer"/>
    <w:basedOn w:val="a"/>
    <w:link w:val="a8"/>
    <w:uiPriority w:val="99"/>
    <w:unhideWhenUsed/>
    <w:rsid w:val="004C2B11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C2B11"/>
    <w:rPr>
      <w:rFonts w:ascii="Calibri" w:eastAsia="SimSun" w:hAnsi="Calibri" w:cs="font2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A0"/>
    <w:pPr>
      <w:suppressAutoHyphens/>
      <w:spacing w:after="80" w:line="240" w:lineRule="auto"/>
    </w:pPr>
    <w:rPr>
      <w:rFonts w:ascii="Calibri" w:eastAsia="SimSun" w:hAnsi="Calibri" w:cs="font2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9759A0"/>
    <w:rPr>
      <w:color w:val="000000"/>
    </w:rPr>
  </w:style>
  <w:style w:type="paragraph" w:styleId="a3">
    <w:name w:val="No Spacing"/>
    <w:uiPriority w:val="99"/>
    <w:qFormat/>
    <w:rsid w:val="009759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9759A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C2B11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C2B11"/>
    <w:rPr>
      <w:rFonts w:ascii="Calibri" w:eastAsia="SimSun" w:hAnsi="Calibri" w:cs="font223"/>
    </w:rPr>
  </w:style>
  <w:style w:type="paragraph" w:styleId="a7">
    <w:name w:val="footer"/>
    <w:basedOn w:val="a"/>
    <w:link w:val="a8"/>
    <w:uiPriority w:val="99"/>
    <w:unhideWhenUsed/>
    <w:rsid w:val="004C2B11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C2B11"/>
    <w:rPr>
      <w:rFonts w:ascii="Calibri" w:eastAsia="SimSun" w:hAnsi="Calibri" w:cs="font2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2026-02-06T09:46:00Z</dcterms:created>
  <dcterms:modified xsi:type="dcterms:W3CDTF">2026-02-09T10:56:00Z</dcterms:modified>
</cp:coreProperties>
</file>