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5pt;height:59.25pt;mso-wrap-distance-right:0pt" filled="f" o:ole="">
            <v:imagedata r:id="rId3" o:title=""/>
          </v:shape>
          <o:OLEObject Type="Embed" ProgID="PBrush" ShapeID="ole_rId2" DrawAspect="Content" ObjectID="_1530561490" r:id="rId2"/>
        </w:object>
      </w:r>
    </w:p>
    <w:p>
      <w:pPr>
        <w:pStyle w:val="Normal"/>
        <w:jc w:val="center"/>
        <w:rPr>
          <w:sz w:val="16"/>
          <w:szCs w:val="16"/>
        </w:rPr>
      </w:pPr>
      <w:r>
        <w:rPr>
          <w:sz w:val="16"/>
          <w:szCs w:val="16"/>
        </w:rPr>
      </w:r>
    </w:p>
    <w:p>
      <w:pPr>
        <w:pStyle w:val="Heading1"/>
        <w:jc w:val="center"/>
        <w:rPr>
          <w:rFonts w:ascii="Times New Roman" w:hAnsi="Times New Roman"/>
        </w:rPr>
      </w:pPr>
      <w:r>
        <w:rPr>
          <w:rFonts w:ascii="Times New Roman" w:hAnsi="Times New Roman"/>
          <w:sz w:val="28"/>
          <w:szCs w:val="28"/>
        </w:rPr>
        <w:t>ЛУЦЬКА  МІСЬКА  РАДА</w:t>
      </w:r>
    </w:p>
    <w:p>
      <w:pPr>
        <w:pStyle w:val="Normal"/>
        <w:rPr>
          <w:sz w:val="20"/>
          <w:szCs w:val="20"/>
        </w:rPr>
      </w:pPr>
      <w:r>
        <w:rPr>
          <w:sz w:val="20"/>
          <w:szCs w:val="20"/>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tabs>
          <w:tab w:val="clear" w:pos="708"/>
          <w:tab w:val="left" w:pos="4305" w:leader="none"/>
          <w:tab w:val="left" w:pos="7590" w:leader="none"/>
        </w:tabs>
        <w:jc w:val="center"/>
        <w:rPr/>
      </w:pPr>
      <w:r>
        <w:rPr/>
        <w:t>_______________</w:t>
        <w:tab/>
        <w:t>м. Луцьк</w:t>
        <w:tab/>
        <w:t>№____________</w:t>
      </w:r>
    </w:p>
    <w:p>
      <w:pPr>
        <w:pStyle w:val="Normal"/>
        <w:tabs>
          <w:tab w:val="clear" w:pos="708"/>
          <w:tab w:val="left" w:pos="4305" w:leader="none"/>
          <w:tab w:val="left" w:pos="7590" w:leader="none"/>
        </w:tabs>
        <w:jc w:val="center"/>
        <w:rPr>
          <w:sz w:val="28"/>
          <w:szCs w:val="28"/>
        </w:rPr>
      </w:pPr>
      <w:r>
        <w:rPr>
          <w:sz w:val="28"/>
          <w:szCs w:val="28"/>
        </w:rPr>
      </w:r>
    </w:p>
    <w:p>
      <w:pPr>
        <w:pStyle w:val="Normal"/>
        <w:rPr>
          <w:rFonts w:ascii="Times New Roman" w:hAnsi="Times New Roman"/>
          <w:sz w:val="28"/>
          <w:szCs w:val="28"/>
        </w:rPr>
      </w:pPr>
      <w:r>
        <w:rPr>
          <w:sz w:val="28"/>
          <w:szCs w:val="28"/>
        </w:rPr>
        <w:t xml:space="preserve">Про   </w:t>
      </w:r>
      <w:r>
        <w:rPr>
          <w:sz w:val="28"/>
          <w:szCs w:val="28"/>
          <w:lang w:val="uk-UA"/>
        </w:rPr>
        <w:t>надання  дозволу    на   розроблення</w:t>
      </w:r>
    </w:p>
    <w:p>
      <w:pPr>
        <w:pStyle w:val="Normal"/>
        <w:rPr>
          <w:rFonts w:ascii="Times New Roman" w:hAnsi="Times New Roman"/>
          <w:sz w:val="28"/>
          <w:szCs w:val="28"/>
          <w:lang w:val="uk-UA"/>
        </w:rPr>
      </w:pPr>
      <w:r>
        <w:rPr>
          <w:sz w:val="28"/>
          <w:szCs w:val="28"/>
          <w:lang w:val="uk-UA"/>
        </w:rPr>
        <w:t xml:space="preserve">технічної    документації   з   нормативної </w:t>
      </w:r>
    </w:p>
    <w:p>
      <w:pPr>
        <w:pStyle w:val="Normal"/>
        <w:rPr>
          <w:rFonts w:ascii="Times New Roman" w:hAnsi="Times New Roman"/>
          <w:sz w:val="28"/>
          <w:szCs w:val="28"/>
        </w:rPr>
      </w:pPr>
      <w:r>
        <w:rPr>
          <w:sz w:val="28"/>
          <w:szCs w:val="28"/>
          <w:lang w:val="uk-UA"/>
        </w:rPr>
        <w:t>грошової оцінки земель у межах території</w:t>
      </w:r>
    </w:p>
    <w:p>
      <w:pPr>
        <w:pStyle w:val="Normal"/>
        <w:rPr>
          <w:rFonts w:ascii="Times New Roman" w:hAnsi="Times New Roman"/>
          <w:sz w:val="28"/>
          <w:szCs w:val="28"/>
          <w:lang w:val="uk-UA"/>
        </w:rPr>
      </w:pPr>
      <w:r>
        <w:rPr>
          <w:rFonts w:eastAsia="Times New Roman" w:cs="Times New Roman"/>
          <w:color w:val="00000A"/>
          <w:kern w:val="0"/>
          <w:sz w:val="28"/>
          <w:szCs w:val="28"/>
          <w:lang w:val="uk-UA" w:eastAsia="zh-CN" w:bidi="ar-SA"/>
        </w:rPr>
        <w:t>Луцької міської територіальної громади</w:t>
      </w:r>
    </w:p>
    <w:p>
      <w:pPr>
        <w:pStyle w:val="Normal"/>
        <w:rPr>
          <w:rFonts w:ascii="Times New Roman" w:hAnsi="Times New Roman"/>
          <w:sz w:val="28"/>
          <w:szCs w:val="28"/>
          <w:lang w:val="uk-UA"/>
        </w:rPr>
      </w:pPr>
      <w:r>
        <w:rPr>
          <w:sz w:val="28"/>
          <w:szCs w:val="28"/>
          <w:lang w:val="uk-UA"/>
        </w:rPr>
      </w:r>
    </w:p>
    <w:p>
      <w:pPr>
        <w:pStyle w:val="Normal"/>
        <w:widowControl/>
        <w:suppressAutoHyphens w:val="true"/>
        <w:bidi w:val="0"/>
        <w:spacing w:before="0" w:after="0"/>
        <w:ind w:firstLine="567" w:left="0" w:right="0"/>
        <w:jc w:val="both"/>
        <w:rPr/>
      </w:pPr>
      <w:r>
        <w:rPr>
          <w:sz w:val="28"/>
          <w:szCs w:val="28"/>
          <w:lang w:val="uk-UA"/>
        </w:rPr>
        <w:t xml:space="preserve">З метою створення у межах території Луцької міської територіальної громади економічної бази для регулювання земельних відносин та наповнення місцевого бюджету, керуючись статтями 12, 201 Земельного кодексу України, статтею 271 Податкового кодексу України, статтями 15, 18, 20, 23, 24 Закону України «Про оцінку земель», статтею 26 Закону України «Про місцеве самоврядування в Україні», постановою Кабінету Міністрів України від 03.11.2021 № 1147 «Про затвердження Методики нормативної грошової оцінки земельних ділянок», рішенням Луцької міської ради від 26.11.2025 № 84/88 «Про внесення змін до Програми реалізації містобудівної політики, раціонального використання та охорони земель Луцької міської територіальної громади на 2025-2026 роки та продовження її дії на 2027-2028 роки», рішенням Луцької міської ради від 22.12.2025 № 86/1 «Про затвердження проєкту землеустрою щодо встановлення меж території Луцької міської територіальної громади Луцького району Волинської області», міська рада </w:t>
      </w:r>
    </w:p>
    <w:p>
      <w:pPr>
        <w:pStyle w:val="Normal"/>
        <w:widowControl/>
        <w:suppressAutoHyphens w:val="true"/>
        <w:bidi w:val="0"/>
        <w:spacing w:before="0" w:after="0"/>
        <w:ind w:firstLine="624" w:left="0" w:right="0"/>
        <w:jc w:val="both"/>
        <w:rPr>
          <w:rFonts w:ascii="Times New Roman" w:hAnsi="Times New Roman"/>
          <w:sz w:val="28"/>
          <w:szCs w:val="28"/>
          <w:lang w:val="uk-UA"/>
        </w:rPr>
      </w:pPr>
      <w:r>
        <w:rPr>
          <w:sz w:val="28"/>
          <w:szCs w:val="28"/>
          <w:lang w:val="uk-UA"/>
        </w:rPr>
      </w:r>
    </w:p>
    <w:p>
      <w:pPr>
        <w:pStyle w:val="Normal"/>
        <w:ind w:hanging="0" w:left="0" w:right="-567"/>
        <w:jc w:val="both"/>
        <w:rPr/>
      </w:pPr>
      <w:r>
        <w:rPr>
          <w:sz w:val="28"/>
          <w:szCs w:val="28"/>
          <w:lang w:val="uk-UA"/>
        </w:rPr>
        <w:t>ВИРІШИЛА:</w:t>
      </w:r>
    </w:p>
    <w:p>
      <w:pPr>
        <w:pStyle w:val="Normal"/>
        <w:widowControl/>
        <w:suppressAutoHyphens w:val="true"/>
        <w:bidi w:val="0"/>
        <w:spacing w:before="0" w:after="0"/>
        <w:ind w:firstLine="624" w:left="0" w:right="0"/>
        <w:jc w:val="both"/>
        <w:rPr>
          <w:rFonts w:ascii="Times New Roman" w:hAnsi="Times New Roman"/>
          <w:sz w:val="28"/>
          <w:szCs w:val="28"/>
          <w:lang w:val="uk-UA"/>
        </w:rPr>
      </w:pPr>
      <w:r>
        <w:rPr>
          <w:sz w:val="28"/>
          <w:szCs w:val="28"/>
          <w:lang w:val="uk-UA"/>
        </w:rPr>
      </w:r>
    </w:p>
    <w:p>
      <w:pPr>
        <w:pStyle w:val="Normal"/>
        <w:widowControl/>
        <w:suppressAutoHyphens w:val="true"/>
        <w:bidi w:val="0"/>
        <w:spacing w:before="0" w:after="0"/>
        <w:ind w:firstLine="567" w:left="0" w:right="0"/>
        <w:jc w:val="both"/>
        <w:rPr/>
      </w:pPr>
      <w:r>
        <w:rPr>
          <w:sz w:val="28"/>
          <w:szCs w:val="28"/>
          <w:lang w:val="uk-UA"/>
        </w:rPr>
        <w:t>1. Надати виконавчому комітету Луцької міської ради дозвіл на розроблення технічної документації з нормативної грошової оцінки земель у межах території Луцької міської територіальної громади.</w:t>
      </w:r>
    </w:p>
    <w:p>
      <w:pPr>
        <w:pStyle w:val="Normal"/>
        <w:widowControl/>
        <w:suppressAutoHyphens w:val="true"/>
        <w:bidi w:val="0"/>
        <w:spacing w:before="0" w:after="0"/>
        <w:ind w:firstLine="567" w:left="0" w:right="0"/>
        <w:jc w:val="both"/>
        <w:rPr/>
      </w:pPr>
      <w:r>
        <w:rPr>
          <w:sz w:val="28"/>
          <w:szCs w:val="28"/>
          <w:lang w:val="uk-UA"/>
        </w:rPr>
        <w:t>2. Департаменту містобудування, земельних ресурсів та реклами Луцької міської ради:</w:t>
      </w:r>
    </w:p>
    <w:p>
      <w:pPr>
        <w:pStyle w:val="Normal"/>
        <w:widowControl/>
        <w:suppressAutoHyphens w:val="true"/>
        <w:bidi w:val="0"/>
        <w:spacing w:before="0" w:after="0"/>
        <w:ind w:firstLine="567" w:left="0" w:right="0"/>
        <w:jc w:val="both"/>
        <w:rPr/>
      </w:pPr>
      <w:r>
        <w:rPr>
          <w:sz w:val="28"/>
          <w:szCs w:val="28"/>
          <w:lang w:val="uk-UA"/>
        </w:rPr>
        <w:t>2.1. Провести збір інформації, матеріалів та документів, необхідних для складання технічного завдання на розроблення технічної документації з нормативної грошової оцінки земель у межах території Луцької міської територіальної громади, та скласти відповідне технічне завдання.</w:t>
      </w:r>
    </w:p>
    <w:p>
      <w:pPr>
        <w:pStyle w:val="Normal"/>
        <w:widowControl/>
        <w:suppressAutoHyphens w:val="true"/>
        <w:bidi w:val="0"/>
        <w:spacing w:before="0" w:after="0"/>
        <w:ind w:firstLine="567" w:left="0" w:right="0"/>
        <w:jc w:val="both"/>
        <w:rPr/>
      </w:pPr>
      <w:r>
        <w:rPr>
          <w:sz w:val="28"/>
          <w:szCs w:val="28"/>
          <w:lang w:val="uk-UA"/>
        </w:rPr>
        <w:t>2.2. Подати складене технічне завдання на затвердження Луцькому міському голові.</w:t>
      </w:r>
    </w:p>
    <w:p>
      <w:pPr>
        <w:pStyle w:val="Normal"/>
        <w:widowControl/>
        <w:suppressAutoHyphens w:val="true"/>
        <w:bidi w:val="0"/>
        <w:spacing w:before="0" w:after="0"/>
        <w:ind w:firstLine="567" w:left="0" w:right="0"/>
        <w:jc w:val="both"/>
        <w:rPr/>
      </w:pPr>
      <w:r>
        <w:rPr>
          <w:sz w:val="28"/>
          <w:szCs w:val="28"/>
          <w:lang w:val="uk-UA"/>
        </w:rPr>
        <w:t>2.3. Відповідно до вимог Закону України «Про публічні закупівлі» визначити розробника технічної документації з нормативної грошової оцінки земель у межах території Луцької міської територіальної громади, з яким  виконавчим комітетом Луцької міської ради буде укладено договір на розроблення технічної документації, зазначеної в рішенні.</w:t>
      </w:r>
    </w:p>
    <w:p>
      <w:pPr>
        <w:pStyle w:val="Normal"/>
        <w:widowControl/>
        <w:suppressAutoHyphens w:val="true"/>
        <w:bidi w:val="0"/>
        <w:spacing w:before="0" w:after="0"/>
        <w:ind w:firstLine="567" w:left="0" w:right="0"/>
        <w:jc w:val="both"/>
        <w:rPr/>
      </w:pPr>
      <w:r>
        <w:rPr>
          <w:sz w:val="28"/>
          <w:szCs w:val="28"/>
          <w:lang w:val="uk-UA"/>
        </w:rPr>
        <w:t>2.4. Подати розроблену технічну документацію з нормативної грошової оцінки земель у межах території Луцької міської територіальної громади на розгляд та затвердження Луцькій міській раді.</w:t>
      </w:r>
    </w:p>
    <w:p>
      <w:pPr>
        <w:pStyle w:val="Normal"/>
        <w:widowControl/>
        <w:suppressAutoHyphens w:val="true"/>
        <w:bidi w:val="0"/>
        <w:spacing w:before="0" w:after="0"/>
        <w:ind w:firstLine="567" w:left="0" w:right="0"/>
        <w:jc w:val="both"/>
        <w:rPr/>
      </w:pPr>
      <w:r>
        <w:rPr>
          <w:sz w:val="28"/>
          <w:szCs w:val="28"/>
          <w:lang w:val="uk-UA"/>
        </w:rPr>
        <w:t>3. Визнати такими, що втратили чинність, рішення Луцької міської ради:</w:t>
      </w:r>
    </w:p>
    <w:p>
      <w:pPr>
        <w:pStyle w:val="Normal"/>
        <w:widowControl/>
        <w:suppressAutoHyphens w:val="true"/>
        <w:bidi w:val="0"/>
        <w:spacing w:before="0" w:after="0"/>
        <w:ind w:firstLine="567" w:left="0" w:right="0"/>
        <w:jc w:val="both"/>
        <w:rPr/>
      </w:pPr>
      <w:r>
        <w:rPr>
          <w:sz w:val="28"/>
          <w:szCs w:val="28"/>
          <w:lang w:val="uk-UA"/>
        </w:rPr>
        <w:t>від 22.12.2021 № 24/2 «Про розроблення технічної документації з нормативної грошової оцінки земель міста Луцька Волинської області»;</w:t>
      </w:r>
    </w:p>
    <w:p>
      <w:pPr>
        <w:pStyle w:val="Normal"/>
        <w:widowControl/>
        <w:suppressAutoHyphens w:val="true"/>
        <w:bidi w:val="0"/>
        <w:spacing w:before="0" w:after="0"/>
        <w:ind w:firstLine="567" w:left="0" w:right="0"/>
        <w:jc w:val="both"/>
        <w:rPr/>
      </w:pPr>
      <w:r>
        <w:rPr>
          <w:sz w:val="28"/>
          <w:szCs w:val="28"/>
          <w:lang w:val="uk-UA"/>
        </w:rPr>
        <w:t>від 22.12.2021 № 24/3 «Про розроблення технічних документацій з нормативної грошової оцінки земель сільських населених пунктів та селища міського типу Луцької міської територіальної громади».</w:t>
      </w:r>
    </w:p>
    <w:p>
      <w:pPr>
        <w:pStyle w:val="Normal"/>
        <w:widowControl/>
        <w:suppressAutoHyphens w:val="true"/>
        <w:bidi w:val="0"/>
        <w:spacing w:before="0" w:after="0"/>
        <w:ind w:firstLine="567" w:left="0" w:right="0"/>
        <w:jc w:val="both"/>
        <w:rPr/>
      </w:pPr>
      <w:r>
        <w:rPr>
          <w:sz w:val="28"/>
          <w:szCs w:val="28"/>
          <w:lang w:val="uk-UA"/>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680" w:left="0" w:right="-567"/>
        <w:jc w:val="both"/>
        <w:rPr>
          <w:rFonts w:ascii="Times New Roman" w:hAnsi="Times New Roman"/>
          <w:sz w:val="28"/>
          <w:szCs w:val="28"/>
          <w:lang w:val="uk-UA"/>
        </w:rPr>
      </w:pPr>
      <w:r>
        <w:rPr>
          <w:sz w:val="28"/>
          <w:szCs w:val="28"/>
          <w:lang w:val="uk-UA"/>
        </w:rPr>
      </w:r>
    </w:p>
    <w:p>
      <w:pPr>
        <w:pStyle w:val="Normal"/>
        <w:ind w:firstLine="680" w:left="0" w:right="-567"/>
        <w:jc w:val="both"/>
        <w:rPr>
          <w:rFonts w:ascii="Times New Roman" w:hAnsi="Times New Roman"/>
          <w:sz w:val="28"/>
          <w:szCs w:val="28"/>
          <w:lang w:val="uk-UA"/>
        </w:rPr>
      </w:pPr>
      <w:r>
        <w:rPr>
          <w:sz w:val="28"/>
          <w:szCs w:val="28"/>
          <w:lang w:val="uk-UA"/>
        </w:rPr>
      </w:r>
    </w:p>
    <w:p>
      <w:pPr>
        <w:pStyle w:val="Normal"/>
        <w:ind w:hanging="0" w:left="0" w:right="-567"/>
        <w:jc w:val="both"/>
        <w:rPr>
          <w:rFonts w:ascii="Times New Roman" w:hAnsi="Times New Roman"/>
          <w:sz w:val="28"/>
          <w:szCs w:val="28"/>
          <w:lang w:val="uk-UA"/>
        </w:rPr>
      </w:pPr>
      <w:r>
        <w:rPr>
          <w:sz w:val="28"/>
          <w:szCs w:val="28"/>
          <w:lang w:val="uk-UA"/>
        </w:rPr>
        <w:t>Міський голова                                                                               Ігор ПОЛІЩУК</w:t>
      </w:r>
    </w:p>
    <w:p>
      <w:pPr>
        <w:pStyle w:val="Normal"/>
        <w:ind w:hanging="0" w:left="0" w:right="-567"/>
        <w:jc w:val="both"/>
        <w:rPr>
          <w:rFonts w:ascii="Times New Roman" w:hAnsi="Times New Roman"/>
          <w:sz w:val="28"/>
          <w:szCs w:val="28"/>
          <w:lang w:val="uk-UA"/>
        </w:rPr>
      </w:pPr>
      <w:r>
        <w:rPr>
          <w:sz w:val="28"/>
          <w:szCs w:val="28"/>
          <w:lang w:val="uk-UA"/>
        </w:rPr>
      </w:r>
    </w:p>
    <w:p>
      <w:pPr>
        <w:pStyle w:val="Normal"/>
        <w:ind w:hanging="0" w:left="0" w:right="-567"/>
        <w:jc w:val="both"/>
        <w:rPr>
          <w:rFonts w:ascii="Times New Roman" w:hAnsi="Times New Roman"/>
          <w:sz w:val="28"/>
          <w:szCs w:val="28"/>
          <w:lang w:val="uk-UA"/>
        </w:rPr>
      </w:pPr>
      <w:r>
        <w:rPr>
          <w:sz w:val="28"/>
          <w:szCs w:val="28"/>
          <w:lang w:val="uk-UA"/>
        </w:rPr>
      </w:r>
    </w:p>
    <w:p>
      <w:pPr>
        <w:pStyle w:val="Normal"/>
        <w:widowControl/>
        <w:suppressAutoHyphens w:val="true"/>
        <w:bidi w:val="0"/>
        <w:spacing w:before="0" w:after="0"/>
        <w:ind w:hanging="0" w:left="0" w:right="0"/>
        <w:jc w:val="both"/>
        <w:rPr>
          <w:rFonts w:ascii="Times New Roman" w:hAnsi="Times New Roman"/>
          <w:sz w:val="24"/>
          <w:szCs w:val="24"/>
          <w:lang w:val="uk-UA"/>
        </w:rPr>
      </w:pPr>
      <w:r>
        <w:rPr>
          <w:sz w:val="24"/>
          <w:szCs w:val="24"/>
          <w:lang w:val="uk-UA"/>
        </w:rPr>
        <w:t>Туз 777 863</w:t>
      </w:r>
    </w:p>
    <w:sectPr>
      <w:type w:val="nextPage"/>
      <w:pgSz w:w="11906" w:h="16838"/>
      <w:pgMar w:left="1984" w:right="51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4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ru-RU" w:bidi="ar-SA"/>
    </w:rPr>
  </w:style>
  <w:style w:type="paragraph" w:styleId="Heading1" w:customStyle="1">
    <w:name w:val="Heading 1"/>
    <w:basedOn w:val="Normal"/>
    <w:next w:val="Normal"/>
    <w:link w:val="1"/>
    <w:qFormat/>
    <w:rsid w:val="000d696a"/>
    <w:pPr>
      <w:keepNext w:val="true"/>
      <w:spacing w:before="240" w:after="60"/>
      <w:outlineLvl w:val="0"/>
    </w:pPr>
    <w:rPr>
      <w:rFonts w:ascii="Arial" w:hAnsi="Arial" w:cs="Arial"/>
      <w:b/>
      <w:bCs/>
      <w:kern w:val="2"/>
      <w:sz w:val="32"/>
      <w:szCs w:val="32"/>
    </w:rPr>
  </w:style>
  <w:style w:type="paragraph" w:styleId="Heading2" w:customStyle="1">
    <w:name w:val="Heading 2"/>
    <w:basedOn w:val="Normal"/>
    <w:next w:val="Normal"/>
    <w:link w:val="2"/>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customStyle="1">
    <w:name w:val="Заголовок"/>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3" w:customStyle="1">
    <w:name w:val="Покажчик"/>
    <w:basedOn w:val="Normal"/>
    <w:qFormat/>
    <w:rsid w:val="00c7405a"/>
    <w:pPr>
      <w:suppressLineNumbers/>
    </w:pPr>
    <w:rPr>
      <w:rFonts w:cs="Lucida Sans"/>
    </w:rPr>
  </w:style>
  <w:style w:type="paragraph" w:styleId="Caption1" w:customStyle="1">
    <w:name w:val="caption1"/>
    <w:basedOn w:val="Normal"/>
    <w:qFormat/>
    <w:rsid w:val="00c7405a"/>
    <w:pPr>
      <w:suppressLineNumbers/>
      <w:spacing w:before="120" w:after="120"/>
    </w:pPr>
    <w:rPr>
      <w:rFonts w:cs="Lucida Sans"/>
      <w:i/>
      <w:iCs/>
    </w:rPr>
  </w:style>
  <w:style w:type="numbering" w:styleId="Style14"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334</TotalTime>
  <Application>LibreOffice/7.6.2.1$Windows_X86_64 LibreOffice_project/56f7684011345957bbf33a7ee678afaf4d2ba333</Application>
  <AppVersion>15.0000</AppVersion>
  <Pages>2</Pages>
  <Words>388</Words>
  <Characters>2605</Characters>
  <CharactersWithSpaces>3070</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2026-02-02T16:25:17Z</cp:lastPrinted>
  <dcterms:modified xsi:type="dcterms:W3CDTF">2026-02-02T16:25:02Z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file>