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A653" w14:textId="77777777" w:rsidR="00934FDE" w:rsidRDefault="00000000" w:rsidP="00B84954">
      <w:pPr>
        <w:tabs>
          <w:tab w:val="left" w:pos="10915"/>
        </w:tabs>
        <w:ind w:right="508"/>
        <w:rPr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7"/>
          <w:szCs w:val="27"/>
        </w:rPr>
        <w:t>Додаток</w:t>
      </w:r>
    </w:p>
    <w:p w14:paraId="4C44B4FD" w14:textId="77777777" w:rsidR="00934FDE" w:rsidRDefault="00000000" w:rsidP="00B84954">
      <w:pPr>
        <w:tabs>
          <w:tab w:val="left" w:pos="10915"/>
        </w:tabs>
        <w:ind w:right="508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до розпорядження міського голови</w:t>
      </w:r>
    </w:p>
    <w:p w14:paraId="02E02B0D" w14:textId="77777777" w:rsidR="00934FDE" w:rsidRDefault="00000000" w:rsidP="00B84954">
      <w:pPr>
        <w:tabs>
          <w:tab w:val="left" w:pos="10915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  <w:t>_________________№___________</w:t>
      </w:r>
    </w:p>
    <w:p w14:paraId="6CE03CBB" w14:textId="77777777" w:rsidR="00934FDE" w:rsidRDefault="00934FDE">
      <w:pPr>
        <w:tabs>
          <w:tab w:val="left" w:pos="9585"/>
        </w:tabs>
        <w:rPr>
          <w:rFonts w:ascii="Times New Roman" w:hAnsi="Times New Roman"/>
          <w:sz w:val="6"/>
          <w:szCs w:val="6"/>
        </w:rPr>
      </w:pPr>
    </w:p>
    <w:p w14:paraId="7186B5D0" w14:textId="77777777" w:rsidR="00934FDE" w:rsidRDefault="00000000">
      <w:pPr>
        <w:tabs>
          <w:tab w:val="left" w:pos="9585"/>
        </w:tabs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2"/>
        </w:rPr>
        <w:t xml:space="preserve"> </w:t>
      </w:r>
    </w:p>
    <w:p w14:paraId="57F9E246" w14:textId="77777777" w:rsidR="00934FDE" w:rsidRDefault="00934FDE">
      <w:pPr>
        <w:tabs>
          <w:tab w:val="left" w:pos="9585"/>
        </w:tabs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286A7F0F" w14:textId="77777777" w:rsidR="00934FDE" w:rsidRDefault="00000000">
      <w:pPr>
        <w:tabs>
          <w:tab w:val="left" w:pos="9585"/>
        </w:tabs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План дій з реалізації принципів Міжнародної хартії відкритих даних </w:t>
      </w:r>
    </w:p>
    <w:p w14:paraId="18991DF2" w14:textId="77CFA238" w:rsidR="00934FDE" w:rsidRDefault="00000000">
      <w:pPr>
        <w:tabs>
          <w:tab w:val="left" w:pos="9585"/>
        </w:tabs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 Луцькій міській раді у 2026</w:t>
      </w:r>
      <w:r w:rsidR="00B84954">
        <w:rPr>
          <w:rFonts w:ascii="Times New Roman" w:hAnsi="Times New Roman"/>
          <w:sz w:val="27"/>
          <w:szCs w:val="27"/>
        </w:rPr>
        <w:t>–</w:t>
      </w:r>
      <w:r>
        <w:rPr>
          <w:rFonts w:ascii="Times New Roman" w:hAnsi="Times New Roman"/>
          <w:sz w:val="27"/>
          <w:szCs w:val="27"/>
          <w:lang w:val="ru-RU"/>
        </w:rPr>
        <w:t>202</w:t>
      </w:r>
      <w:r>
        <w:rPr>
          <w:rFonts w:ascii="Times New Roman" w:hAnsi="Times New Roman"/>
          <w:sz w:val="27"/>
          <w:szCs w:val="27"/>
        </w:rPr>
        <w:t>8 роках</w:t>
      </w:r>
    </w:p>
    <w:p w14:paraId="4956CB00" w14:textId="77777777" w:rsidR="00B84954" w:rsidRDefault="00B84954">
      <w:pPr>
        <w:tabs>
          <w:tab w:val="left" w:pos="9585"/>
        </w:tabs>
        <w:ind w:firstLine="709"/>
        <w:jc w:val="center"/>
      </w:pPr>
    </w:p>
    <w:tbl>
      <w:tblPr>
        <w:tblW w:w="15643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9"/>
        <w:gridCol w:w="1696"/>
        <w:gridCol w:w="5935"/>
        <w:gridCol w:w="2038"/>
        <w:gridCol w:w="3545"/>
      </w:tblGrid>
      <w:tr w:rsidR="00934FDE" w14:paraId="2669CCBC" w14:textId="77777777">
        <w:trPr>
          <w:tblHeader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E88EF" w14:textId="77777777" w:rsidR="00934FDE" w:rsidRDefault="00000000">
            <w:pPr>
              <w:jc w:val="center"/>
            </w:pPr>
            <w:r>
              <w:rPr>
                <w:rFonts w:ascii="Times New Roman" w:hAnsi="Times New Roman"/>
                <w:b/>
              </w:rPr>
              <w:t>Принципи Хартії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7FF42" w14:textId="77777777" w:rsidR="00934FDE" w:rsidRDefault="00000000">
            <w:pPr>
              <w:ind w:right="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Розділ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856EC" w14:textId="77777777" w:rsidR="00934FDE" w:rsidRDefault="00000000">
            <w:pPr>
              <w:ind w:right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Завдання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B94AA" w14:textId="77777777" w:rsidR="00934FDE" w:rsidRDefault="00000000">
            <w:pPr>
              <w:spacing w:line="252" w:lineRule="auto"/>
              <w:ind w:firstLine="57"/>
              <w:jc w:val="center"/>
            </w:pPr>
            <w:r>
              <w:rPr>
                <w:rFonts w:ascii="Times New Roman" w:hAnsi="Times New Roman"/>
                <w:b/>
              </w:rPr>
              <w:t>Період виконання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448D" w14:textId="77777777" w:rsidR="00934FDE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Відповідальний</w:t>
            </w:r>
          </w:p>
        </w:tc>
      </w:tr>
      <w:tr w:rsidR="00934FDE" w14:paraId="61CB5DF9" w14:textId="77777777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01745" w14:textId="77777777" w:rsidR="00934FDE" w:rsidRDefault="000000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 Відкритість за замовчуванням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99D25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Нормативне забезпечення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E3735" w14:textId="49A62F8F" w:rsidR="00934FDE" w:rsidRDefault="00000000">
            <w:pPr>
              <w:ind w:right="-1"/>
              <w:jc w:val="both"/>
            </w:pPr>
            <w:r>
              <w:rPr>
                <w:rFonts w:ascii="Times New Roman" w:hAnsi="Times New Roman"/>
              </w:rPr>
              <w:t>Забезпечувати оновлення нормативної бази відповідно до визначеного переліку пріоритетних до оприлюднення наборів даних згідно з постановою К</w:t>
            </w:r>
            <w:r w:rsidR="00B84954">
              <w:rPr>
                <w:rFonts w:ascii="Times New Roman" w:hAnsi="Times New Roman"/>
              </w:rPr>
              <w:t>абінету Міністрів України</w:t>
            </w:r>
            <w:r>
              <w:rPr>
                <w:rFonts w:ascii="Times New Roman" w:hAnsi="Times New Roman"/>
              </w:rPr>
              <w:t xml:space="preserve"> від 21.10.2015 </w:t>
            </w:r>
            <w:r w:rsidR="00B84954">
              <w:rPr>
                <w:rFonts w:ascii="Times New Roman" w:hAnsi="Times New Roman"/>
              </w:rPr>
              <w:t xml:space="preserve">№ 835 </w:t>
            </w:r>
            <w:r>
              <w:rPr>
                <w:rFonts w:ascii="Times New Roman" w:hAnsi="Times New Roman"/>
              </w:rPr>
              <w:t>«Про затвердження Положення про набори даних, які підлягають оприлюдненню у формі відкритих даних»</w:t>
            </w:r>
            <w:r w:rsidR="00B84954">
              <w:rPr>
                <w:rFonts w:ascii="Times New Roman" w:hAnsi="Times New Roman"/>
              </w:rPr>
              <w:t xml:space="preserve"> зі змінами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F3FF9" w14:textId="77777777" w:rsidR="00B84954" w:rsidRDefault="00000000">
            <w:pPr>
              <w:ind w:left="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протягом </w:t>
            </w:r>
          </w:p>
          <w:p w14:paraId="2CD8D0E2" w14:textId="70BBB785" w:rsidR="00934FDE" w:rsidRDefault="00000000">
            <w:pPr>
              <w:ind w:left="156"/>
              <w:jc w:val="center"/>
            </w:pPr>
            <w:r>
              <w:rPr>
                <w:rFonts w:ascii="Times New Roman" w:hAnsi="Times New Roman"/>
              </w:rPr>
              <w:t>2026</w:t>
            </w:r>
            <w:r w:rsidR="00B84954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lang w:val="en-US"/>
              </w:rPr>
              <w:t>202</w:t>
            </w:r>
            <w:r>
              <w:rPr>
                <w:rFonts w:ascii="Times New Roman" w:hAnsi="Times New Roman"/>
              </w:rPr>
              <w:t>8 років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45C5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934FDE" w14:paraId="041CDC69" w14:textId="77777777">
        <w:trPr>
          <w:trHeight w:val="1578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0F744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AD56D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Організаційне та кадрове забезпечення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A9BC1" w14:textId="707A7B49" w:rsidR="00934FDE" w:rsidRPr="00854077" w:rsidRDefault="00000000">
            <w:pPr>
              <w:spacing w:line="252" w:lineRule="auto"/>
              <w:ind w:right="-1"/>
              <w:jc w:val="both"/>
              <w:rPr>
                <w:color w:val="000000" w:themeColor="text1"/>
              </w:rPr>
            </w:pPr>
            <w:r w:rsidRPr="00854077">
              <w:rPr>
                <w:rFonts w:ascii="Times New Roman" w:hAnsi="Times New Roman"/>
                <w:color w:val="000000" w:themeColor="text1"/>
              </w:rPr>
              <w:t>Забезпечувати ефективну комунікацію з посадовими особами, відповідальн</w:t>
            </w:r>
            <w:r w:rsidR="00B84954" w:rsidRPr="00854077">
              <w:rPr>
                <w:rFonts w:ascii="Times New Roman" w:hAnsi="Times New Roman"/>
                <w:color w:val="000000" w:themeColor="text1"/>
              </w:rPr>
              <w:t>ими</w:t>
            </w:r>
            <w:r w:rsidRPr="00854077">
              <w:rPr>
                <w:rFonts w:ascii="Times New Roman" w:hAnsi="Times New Roman"/>
                <w:color w:val="000000" w:themeColor="text1"/>
              </w:rPr>
              <w:t xml:space="preserve"> за створення, оновлення та публікацію відкритих даних у виконавчих органах Луцької міської ради, </w:t>
            </w:r>
            <w:r w:rsidR="00854077" w:rsidRPr="00854077">
              <w:rPr>
                <w:rFonts w:ascii="Times New Roman" w:hAnsi="Times New Roman"/>
                <w:color w:val="000000" w:themeColor="text1"/>
              </w:rPr>
              <w:t xml:space="preserve">на </w:t>
            </w:r>
            <w:r w:rsidRPr="00854077">
              <w:rPr>
                <w:rFonts w:ascii="Times New Roman" w:hAnsi="Times New Roman"/>
                <w:color w:val="000000" w:themeColor="text1"/>
              </w:rPr>
              <w:t>комунальних підприємствах</w:t>
            </w:r>
            <w:r w:rsidR="00854077" w:rsidRPr="00854077">
              <w:rPr>
                <w:rFonts w:ascii="Times New Roman" w:hAnsi="Times New Roman"/>
                <w:color w:val="000000" w:themeColor="text1"/>
              </w:rPr>
              <w:t>, в організаціях (установах, закладах)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5F6D4" w14:textId="77777777" w:rsidR="00934FDE" w:rsidRDefault="00000000">
            <w:pPr>
              <w:ind w:right="10"/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1A4E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інформаційних технологій управління інформаційно-комунікаційних технологій</w:t>
            </w:r>
          </w:p>
        </w:tc>
      </w:tr>
      <w:tr w:rsidR="00934FDE" w14:paraId="248EF74D" w14:textId="77777777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052DA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76390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03523" w14:textId="77777777" w:rsidR="00934FDE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Забезпечувати надання консультацій та допомогу в отриманні методичних рекомендацій щодо оновлення наборів відкритих даних та правил їхньої публікації на Єдиному державному </w:t>
            </w:r>
            <w:proofErr w:type="spellStart"/>
            <w:r>
              <w:rPr>
                <w:rFonts w:ascii="Times New Roman" w:hAnsi="Times New Roman"/>
              </w:rPr>
              <w:t>вебпорталі</w:t>
            </w:r>
            <w:proofErr w:type="spellEnd"/>
            <w:r>
              <w:rPr>
                <w:rFonts w:ascii="Times New Roman" w:hAnsi="Times New Roman"/>
              </w:rPr>
              <w:t xml:space="preserve"> відкритих даних, місцевому порталі</w:t>
            </w:r>
          </w:p>
          <w:p w14:paraId="0E737A82" w14:textId="77777777" w:rsidR="00B84954" w:rsidRDefault="00B84954">
            <w:pPr>
              <w:jc w:val="both"/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F95FA" w14:textId="77777777" w:rsidR="00934FDE" w:rsidRDefault="00000000">
            <w:pPr>
              <w:ind w:right="10"/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A655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інформаційних технологій управління інформаційно-комунікаційних технологій</w:t>
            </w:r>
          </w:p>
        </w:tc>
      </w:tr>
      <w:tr w:rsidR="00934FDE" w14:paraId="7D6D3D80" w14:textId="77777777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21872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08E3B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D257C" w14:textId="77777777" w:rsidR="00934FDE" w:rsidRDefault="00000000">
            <w:pPr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Сприяти внесенню завдань та обов’язків в посадові інструкції посадових осіб, відповідальних за створення, оновлення та публікацію відкритих даних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3B46E" w14:textId="77777777" w:rsidR="00934FDE" w:rsidRDefault="00000000">
            <w:pPr>
              <w:ind w:right="1"/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A425" w14:textId="77777777" w:rsidR="00934FDE" w:rsidRDefault="00000000">
            <w:pPr>
              <w:spacing w:line="252" w:lineRule="auto"/>
              <w:ind w:right="3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технологій, управління персоналу</w:t>
            </w:r>
          </w:p>
          <w:p w14:paraId="074F0486" w14:textId="77777777" w:rsidR="00934FDE" w:rsidRDefault="00934FDE">
            <w:pPr>
              <w:rPr>
                <w:rFonts w:ascii="Times New Roman" w:hAnsi="Times New Roman"/>
              </w:rPr>
            </w:pPr>
          </w:p>
        </w:tc>
      </w:tr>
      <w:tr w:rsidR="00934FDE" w14:paraId="749BEAEE" w14:textId="77777777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D59E0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DC24F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Фінансове забезпечення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44C08" w14:textId="77777777" w:rsidR="00934FDE" w:rsidRDefault="00000000">
            <w:pPr>
              <w:jc w:val="both"/>
            </w:pPr>
            <w:r>
              <w:rPr>
                <w:rFonts w:ascii="Times New Roman" w:hAnsi="Times New Roman"/>
              </w:rPr>
              <w:t>Визначати обсяг фінансування щодо адаптації інформаційних систем до створення АРІ для автоматизації процесів публікації відкритих даних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5A7FF" w14:textId="77777777" w:rsidR="00934FDE" w:rsidRDefault="00000000">
            <w:pPr>
              <w:ind w:left="156"/>
              <w:jc w:val="center"/>
            </w:pPr>
            <w:r>
              <w:rPr>
                <w:rFonts w:ascii="Times New Roman" w:hAnsi="Times New Roman"/>
              </w:rPr>
              <w:t>при потребі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BA5A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934FDE" w14:paraId="038F953E" w14:textId="77777777"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 w14:paraId="1C909D4E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 w14:paraId="72EF8217" w14:textId="77777777" w:rsidR="00934FDE" w:rsidRDefault="00934FDE"/>
        </w:tc>
        <w:tc>
          <w:tcPr>
            <w:tcW w:w="5935" w:type="dxa"/>
            <w:tcBorders>
              <w:left w:val="single" w:sz="4" w:space="0" w:color="000000"/>
              <w:bottom w:val="single" w:sz="4" w:space="0" w:color="000000"/>
            </w:tcBorders>
          </w:tcPr>
          <w:p w14:paraId="695E9481" w14:textId="77777777" w:rsidR="00934FDE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плануванні бюджету враховувати фінансування робіт, що пов’язані з автоматизацією процесу публікації відкритих даних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</w:tcPr>
          <w:p w14:paraId="6C740548" w14:textId="77777777" w:rsidR="00934FDE" w:rsidRDefault="00000000">
            <w:pPr>
              <w:ind w:left="156"/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4FE" w14:textId="4206F401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Управління інформаційно-комунікаційних технологій, розпорядники інформації </w:t>
            </w:r>
            <w:r w:rsidR="00B84954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юридичні особи</w:t>
            </w:r>
          </w:p>
        </w:tc>
      </w:tr>
      <w:tr w:rsidR="00934FDE" w14:paraId="347A65CD" w14:textId="77777777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D0B25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156F2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146D9" w14:textId="77777777" w:rsidR="00934FDE" w:rsidRDefault="00000000">
            <w:pPr>
              <w:jc w:val="both"/>
            </w:pPr>
            <w:r>
              <w:rPr>
                <w:rFonts w:ascii="Times New Roman" w:hAnsi="Times New Roman"/>
              </w:rPr>
              <w:t>Пошук міжнародної грантової допомоги на розвиток відкритих даних при наявності оголошених конкурсів, що стосуються цієї сфери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7D0DE" w14:textId="77777777" w:rsidR="00934FDE" w:rsidRDefault="00000000">
            <w:pPr>
              <w:ind w:right="4"/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ACE9" w14:textId="77777777" w:rsidR="00934FDE" w:rsidRDefault="0000000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технологій, управління міжнародного співробітництва та проектної діяльності</w:t>
            </w:r>
          </w:p>
        </w:tc>
      </w:tr>
      <w:tr w:rsidR="00934FDE" w14:paraId="7B73BF4E" w14:textId="77777777">
        <w:trPr>
          <w:trHeight w:val="1167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02663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D97A7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Методологічне забезпечення та оцінювання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FCCE4" w14:textId="77777777" w:rsidR="00934FDE" w:rsidRDefault="00000000">
            <w:pPr>
              <w:jc w:val="both"/>
            </w:pPr>
            <w:r>
              <w:rPr>
                <w:rFonts w:ascii="Times New Roman" w:hAnsi="Times New Roman"/>
              </w:rPr>
              <w:t xml:space="preserve">Надавати розпорядникам інформації методологічну та консультаційну підтримку для публікації відкритих даних на Єдиному державному </w:t>
            </w:r>
            <w:proofErr w:type="spellStart"/>
            <w:r>
              <w:rPr>
                <w:rFonts w:ascii="Times New Roman" w:hAnsi="Times New Roman"/>
              </w:rPr>
              <w:t>вебпорталі</w:t>
            </w:r>
            <w:proofErr w:type="spellEnd"/>
            <w:r>
              <w:rPr>
                <w:rFonts w:ascii="Times New Roman" w:hAnsi="Times New Roman"/>
              </w:rPr>
              <w:t xml:space="preserve"> відкритих даних, місцевому порталі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41DE4" w14:textId="77777777" w:rsidR="00934FDE" w:rsidRDefault="00000000">
            <w:pPr>
              <w:ind w:right="6"/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B693" w14:textId="77777777" w:rsidR="00934FDE" w:rsidRDefault="0000000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 ,</w:t>
            </w:r>
          </w:p>
          <w:p w14:paraId="27582442" w14:textId="77777777" w:rsidR="00934FDE" w:rsidRDefault="0000000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члени робочої групи з питань відкритих даних міської ради</w:t>
            </w:r>
          </w:p>
        </w:tc>
      </w:tr>
      <w:tr w:rsidR="00934FDE" w14:paraId="7C8EEDDA" w14:textId="77777777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F108B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A6C0D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01A78" w14:textId="77777777" w:rsidR="00934FDE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Підвищувати якість публікації наборів даних, базуючись при цьому на індикативних показниках якості наборів даних, керуючись Порядком щорічної оцінки стану оприлюднення та оновлення відкритих даних розпорядниками інформації на Єдиному державному </w:t>
            </w:r>
            <w:proofErr w:type="spellStart"/>
            <w:r>
              <w:rPr>
                <w:rFonts w:ascii="Times New Roman" w:hAnsi="Times New Roman"/>
              </w:rPr>
              <w:t>вебпорталі</w:t>
            </w:r>
            <w:proofErr w:type="spellEnd"/>
            <w:r>
              <w:rPr>
                <w:rFonts w:ascii="Times New Roman" w:hAnsi="Times New Roman"/>
              </w:rPr>
              <w:t xml:space="preserve"> відкритих даних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44F3A" w14:textId="77777777" w:rsidR="00934FDE" w:rsidRDefault="00000000">
            <w:pPr>
              <w:ind w:left="96"/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318D" w14:textId="77777777" w:rsidR="00934FDE" w:rsidRDefault="0000000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технологій,</w:t>
            </w:r>
          </w:p>
          <w:p w14:paraId="04599AA9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члени робочої групи з питань відкритих даних міської ради</w:t>
            </w:r>
          </w:p>
        </w:tc>
      </w:tr>
      <w:tr w:rsidR="00934FDE" w14:paraId="599006AF" w14:textId="77777777">
        <w:trPr>
          <w:trHeight w:val="927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7C7B3" w14:textId="77777777" w:rsidR="00934FDE" w:rsidRDefault="000000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2. Оперативність та чіткість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4C91C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якості даних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42206" w14:textId="77777777" w:rsidR="00934FDE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Використовувати аналітичний модуль Єдиного державного </w:t>
            </w:r>
            <w:proofErr w:type="spellStart"/>
            <w:r>
              <w:rPr>
                <w:rFonts w:ascii="Times New Roman" w:hAnsi="Times New Roman"/>
              </w:rPr>
              <w:t>вебпорталу</w:t>
            </w:r>
            <w:proofErr w:type="spellEnd"/>
            <w:r>
              <w:rPr>
                <w:rFonts w:ascii="Times New Roman" w:hAnsi="Times New Roman"/>
              </w:rPr>
              <w:t xml:space="preserve"> та власний моніторинг дотримання термінів та якості публікації відкритих даних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9F467" w14:textId="77777777" w:rsidR="00934FDE" w:rsidRDefault="00000000">
            <w:pPr>
              <w:ind w:right="6"/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0468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934FDE" w14:paraId="733F0095" w14:textId="77777777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D5FEA" w14:textId="77777777" w:rsidR="00934FDE" w:rsidRDefault="00934FDE"/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53C8B" w14:textId="77777777" w:rsidR="00934FDE" w:rsidRDefault="00934FDE"/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0849A" w14:textId="77777777" w:rsidR="00934FDE" w:rsidRDefault="00000000">
            <w:pPr>
              <w:jc w:val="both"/>
            </w:pPr>
            <w:r>
              <w:rPr>
                <w:rFonts w:ascii="Times New Roman" w:hAnsi="Times New Roman"/>
              </w:rPr>
              <w:t>Здійснювати моніторинг оприлюднення наборів даних та  їх якості, проведення опитування розпорядників інформації (результати щорічної оцінки  стану оприлюднення і оновлення відкритих даних)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90315" w14:textId="77777777" w:rsidR="00B84954" w:rsidRDefault="00000000">
            <w:pPr>
              <w:ind w:left="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щокварталу протягом </w:t>
            </w:r>
          </w:p>
          <w:p w14:paraId="6CCBD532" w14:textId="3D5A425C" w:rsidR="00934FDE" w:rsidRDefault="00000000">
            <w:pPr>
              <w:ind w:left="156"/>
              <w:jc w:val="center"/>
            </w:pPr>
            <w:r>
              <w:rPr>
                <w:rFonts w:ascii="Times New Roman" w:hAnsi="Times New Roman"/>
              </w:rPr>
              <w:t xml:space="preserve"> 2026</w:t>
            </w:r>
            <w:r w:rsidR="00B84954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2028</w:t>
            </w:r>
          </w:p>
          <w:p w14:paraId="62BEC36B" w14:textId="77777777" w:rsidR="00934FDE" w:rsidRDefault="00000000">
            <w:pPr>
              <w:ind w:left="156"/>
              <w:jc w:val="center"/>
            </w:pPr>
            <w:r>
              <w:rPr>
                <w:rFonts w:ascii="Times New Roman" w:hAnsi="Times New Roman"/>
              </w:rPr>
              <w:t>років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BB35" w14:textId="77777777" w:rsidR="00934FDE" w:rsidRDefault="00000000">
            <w:pPr>
              <w:spacing w:line="252" w:lineRule="auto"/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технологій,</w:t>
            </w:r>
          </w:p>
          <w:p w14:paraId="1929CA35" w14:textId="77777777" w:rsidR="00934FDE" w:rsidRDefault="00000000">
            <w:r>
              <w:rPr>
                <w:rFonts w:ascii="Times New Roman" w:hAnsi="Times New Roman"/>
              </w:rPr>
              <w:t>члени робочої групи з питань відкритих даних міської ради</w:t>
            </w:r>
          </w:p>
        </w:tc>
      </w:tr>
      <w:tr w:rsidR="00934FDE" w14:paraId="06AA0C0E" w14:textId="77777777">
        <w:trPr>
          <w:trHeight w:val="120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65036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FF9AA" w14:textId="77777777" w:rsidR="00934FDE" w:rsidRDefault="00000000">
            <w:pPr>
              <w:ind w:righ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Оновлення наборів даних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9C4A1" w14:textId="4AB093AB" w:rsidR="00934FDE" w:rsidRDefault="00000000">
            <w:pPr>
              <w:ind w:right="148"/>
              <w:jc w:val="both"/>
            </w:pPr>
            <w:r>
              <w:rPr>
                <w:rFonts w:ascii="Times New Roman" w:hAnsi="Times New Roman"/>
              </w:rPr>
              <w:t xml:space="preserve">Забезпечувати оновлення наборів відкритих даних на Єдиному державному </w:t>
            </w:r>
            <w:proofErr w:type="spellStart"/>
            <w:r>
              <w:rPr>
                <w:rFonts w:ascii="Times New Roman" w:hAnsi="Times New Roman"/>
              </w:rPr>
              <w:t>вебпорталі</w:t>
            </w:r>
            <w:proofErr w:type="spellEnd"/>
            <w:r>
              <w:rPr>
                <w:rFonts w:ascii="Times New Roman" w:hAnsi="Times New Roman"/>
              </w:rPr>
              <w:t xml:space="preserve"> відкритих даних, місцевому порталі відповідно до термінів оприлюднення, </w:t>
            </w:r>
            <w:r w:rsidRPr="00854077">
              <w:rPr>
                <w:rFonts w:ascii="Times New Roman" w:hAnsi="Times New Roman"/>
                <w:color w:val="000000" w:themeColor="text1"/>
              </w:rPr>
              <w:t xml:space="preserve">зазначених в рекомендаціях </w:t>
            </w:r>
            <w:proofErr w:type="spellStart"/>
            <w:r w:rsidRPr="00854077">
              <w:rPr>
                <w:rFonts w:ascii="Times New Roman" w:hAnsi="Times New Roman"/>
                <w:color w:val="000000" w:themeColor="text1"/>
              </w:rPr>
              <w:t>Мінцифри</w:t>
            </w:r>
            <w:proofErr w:type="spellEnd"/>
            <w:r w:rsidR="00B84954" w:rsidRPr="00854077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</w:rPr>
              <w:t xml:space="preserve"> та у разі змін у наборах даних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90E1C" w14:textId="77777777" w:rsidR="00934FDE" w:rsidRDefault="00000000">
            <w:pPr>
              <w:ind w:right="6"/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15CC" w14:textId="77777777" w:rsidR="00934FDE" w:rsidRDefault="00000000">
            <w:r>
              <w:rPr>
                <w:rFonts w:ascii="Times New Roman" w:hAnsi="Times New Roman"/>
              </w:rPr>
              <w:t>Управління інформаційно-комунікаційних технологій,</w:t>
            </w:r>
          </w:p>
          <w:p w14:paraId="38F413D8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розпорядники інформації, відповідальні за публікацію</w:t>
            </w:r>
          </w:p>
        </w:tc>
      </w:tr>
      <w:tr w:rsidR="00934FDE" w14:paraId="27A76B11" w14:textId="77777777">
        <w:trPr>
          <w:trHeight w:val="1746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D2C9C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52700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Аудит та реєстри даних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60C09" w14:textId="0FB6FC43" w:rsidR="00934FDE" w:rsidRDefault="00256F05">
            <w:pPr>
              <w:jc w:val="both"/>
            </w:pPr>
            <w:r>
              <w:rPr>
                <w:rFonts w:ascii="Times New Roman" w:hAnsi="Times New Roman"/>
              </w:rPr>
              <w:t>Проводити інформаційний аудит публічної інформації у виконавчих органах Луцької міської ради не менше одного разу на рік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D8C07" w14:textId="77777777" w:rsidR="00B8495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протягом </w:t>
            </w:r>
          </w:p>
          <w:p w14:paraId="55B8715C" w14:textId="0794104D" w:rsidR="00934FDE" w:rsidRDefault="00000000">
            <w:pPr>
              <w:jc w:val="center"/>
            </w:pPr>
            <w:r>
              <w:rPr>
                <w:rFonts w:ascii="Times New Roman" w:hAnsi="Times New Roman"/>
              </w:rPr>
              <w:t>2026</w:t>
            </w:r>
            <w:r w:rsidR="00B84954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2028 років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CA30" w14:textId="77777777" w:rsidR="00934FDE" w:rsidRDefault="0000000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технологій,</w:t>
            </w:r>
          </w:p>
          <w:p w14:paraId="34165F44" w14:textId="77777777" w:rsidR="00934FDE" w:rsidRDefault="0000000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члени робочої групи з питань відкритих даних міської ради,</w:t>
            </w:r>
          </w:p>
          <w:p w14:paraId="595186A6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керівники виконавчих органів, в яких проводиться аудит</w:t>
            </w:r>
          </w:p>
        </w:tc>
      </w:tr>
      <w:tr w:rsidR="00934FDE" w14:paraId="7915881A" w14:textId="77777777" w:rsidTr="00B84954">
        <w:trPr>
          <w:trHeight w:val="522"/>
        </w:trPr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 w14:paraId="5CC34011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 w14:paraId="497DC4A9" w14:textId="77777777" w:rsidR="00934FDE" w:rsidRDefault="00934FDE"/>
        </w:tc>
        <w:tc>
          <w:tcPr>
            <w:tcW w:w="5935" w:type="dxa"/>
            <w:tcBorders>
              <w:left w:val="single" w:sz="4" w:space="0" w:color="000000"/>
              <w:bottom w:val="single" w:sz="4" w:space="0" w:color="000000"/>
            </w:tcBorders>
          </w:tcPr>
          <w:p w14:paraId="78EE643A" w14:textId="732950D5" w:rsidR="00934FDE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Ініціювати проведення інформаційного аудиту </w:t>
            </w:r>
            <w:r w:rsidR="00B84954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 w:rsidRPr="00C96CCE">
              <w:rPr>
                <w:rFonts w:ascii="Times New Roman" w:hAnsi="Times New Roman"/>
                <w:color w:val="000000" w:themeColor="text1"/>
              </w:rPr>
              <w:t>комунальних підприємствах</w:t>
            </w:r>
            <w:r w:rsidR="00854077" w:rsidRPr="00C96CCE">
              <w:rPr>
                <w:rFonts w:ascii="Times New Roman" w:hAnsi="Times New Roman"/>
                <w:color w:val="000000" w:themeColor="text1"/>
              </w:rPr>
              <w:t>, в організаціях (установах, закладах)</w:t>
            </w:r>
            <w:r w:rsidR="00854077" w:rsidRPr="00C96CCE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C96CCE">
              <w:rPr>
                <w:rFonts w:ascii="Times New Roman" w:hAnsi="Times New Roman"/>
                <w:color w:val="000000" w:themeColor="text1"/>
              </w:rPr>
              <w:t>які володіють публічною</w:t>
            </w:r>
            <w:r>
              <w:rPr>
                <w:rFonts w:ascii="Times New Roman" w:hAnsi="Times New Roman"/>
              </w:rPr>
              <w:t xml:space="preserve"> інформацією, </w:t>
            </w:r>
            <w:r w:rsidR="00B84954">
              <w:rPr>
                <w:rFonts w:ascii="Times New Roman" w:hAnsi="Times New Roman"/>
              </w:rPr>
              <w:t>що</w:t>
            </w:r>
            <w:r>
              <w:rPr>
                <w:rFonts w:ascii="Times New Roman" w:hAnsi="Times New Roman"/>
              </w:rPr>
              <w:t xml:space="preserve"> має суспільний інтерес та може мати економічний вплив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</w:tcPr>
          <w:p w14:paraId="68BC244C" w14:textId="77777777" w:rsidR="00B84954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протягом </w:t>
            </w:r>
          </w:p>
          <w:p w14:paraId="6C88074B" w14:textId="3416C624" w:rsidR="00934FDE" w:rsidRDefault="00000000">
            <w:pPr>
              <w:jc w:val="center"/>
            </w:pPr>
            <w:r>
              <w:rPr>
                <w:rFonts w:ascii="Times New Roman" w:hAnsi="Times New Roman"/>
              </w:rPr>
              <w:t>2026</w:t>
            </w:r>
            <w:r w:rsidR="00B84954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2028 років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BCC3" w14:textId="77777777" w:rsidR="00934FDE" w:rsidRDefault="00000000">
            <w:pPr>
              <w:spacing w:line="252" w:lineRule="auto"/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технологій,</w:t>
            </w:r>
          </w:p>
          <w:p w14:paraId="673249B2" w14:textId="77777777" w:rsidR="00934FDE" w:rsidRDefault="00000000">
            <w:pPr>
              <w:spacing w:line="252" w:lineRule="auto"/>
            </w:pPr>
            <w:r>
              <w:rPr>
                <w:rFonts w:ascii="Times New Roman" w:hAnsi="Times New Roman"/>
              </w:rPr>
              <w:t>члени робочої групи з питань відкритих даних міської ради,</w:t>
            </w:r>
          </w:p>
          <w:p w14:paraId="0F422F19" w14:textId="2E67EFC7" w:rsidR="00934FDE" w:rsidRDefault="0000000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керівники </w:t>
            </w:r>
            <w:r w:rsidRPr="00D76CA6">
              <w:rPr>
                <w:rFonts w:ascii="Times New Roman" w:hAnsi="Times New Roman"/>
                <w:color w:val="000000" w:themeColor="text1"/>
              </w:rPr>
              <w:t xml:space="preserve">виконавчих органів, в підпорядкуванні яких знаходяться комунальні </w:t>
            </w:r>
            <w:r w:rsidRPr="00D76CA6">
              <w:rPr>
                <w:rFonts w:ascii="Times New Roman" w:hAnsi="Times New Roman"/>
                <w:color w:val="000000" w:themeColor="text1"/>
              </w:rPr>
              <w:lastRenderedPageBreak/>
              <w:t xml:space="preserve">підприємства, </w:t>
            </w:r>
            <w:r w:rsidR="00D76CA6" w:rsidRPr="00D76CA6">
              <w:rPr>
                <w:rFonts w:ascii="Times New Roman" w:hAnsi="Times New Roman"/>
                <w:color w:val="000000" w:themeColor="text1"/>
              </w:rPr>
              <w:t xml:space="preserve">організації (установи, заклади), </w:t>
            </w:r>
            <w:r w:rsidRPr="00D76CA6">
              <w:rPr>
                <w:rFonts w:ascii="Times New Roman" w:hAnsi="Times New Roman"/>
                <w:color w:val="000000" w:themeColor="text1"/>
              </w:rPr>
              <w:t>комунальні підприємства</w:t>
            </w:r>
            <w:r w:rsidR="00D76CA6" w:rsidRPr="00D76CA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76CA6" w:rsidRPr="00D76CA6">
              <w:rPr>
                <w:rFonts w:ascii="Times New Roman" w:hAnsi="Times New Roman"/>
                <w:color w:val="000000" w:themeColor="text1"/>
              </w:rPr>
              <w:t>організації (установи, заклади)</w:t>
            </w:r>
          </w:p>
        </w:tc>
      </w:tr>
      <w:tr w:rsidR="00934FDE" w14:paraId="3954D05B" w14:textId="77777777">
        <w:trPr>
          <w:trHeight w:val="1238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34C39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00D6F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0364A" w14:textId="77777777" w:rsidR="00934FDE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Проводити аналіз результатів проведених інформаційних аудитів та розробляти пропозиції щодо публікації нових наборів даних, які мають значний суспільний інтерес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F7BFD" w14:textId="77777777" w:rsidR="00934FDE" w:rsidRDefault="00000000">
            <w:pPr>
              <w:jc w:val="center"/>
            </w:pPr>
            <w:r>
              <w:rPr>
                <w:rFonts w:ascii="Times New Roman" w:hAnsi="Times New Roman"/>
              </w:rPr>
              <w:t>протягом</w:t>
            </w:r>
          </w:p>
          <w:p w14:paraId="78248135" w14:textId="418F9193" w:rsidR="00934FDE" w:rsidRDefault="00000000">
            <w:pPr>
              <w:jc w:val="center"/>
            </w:pPr>
            <w:r>
              <w:rPr>
                <w:rFonts w:ascii="Times New Roman" w:hAnsi="Times New Roman"/>
              </w:rPr>
              <w:t>2026</w:t>
            </w:r>
            <w:r w:rsidR="00B84954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2028 років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C877" w14:textId="77777777" w:rsidR="00934FDE" w:rsidRDefault="0000000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технологій,</w:t>
            </w:r>
          </w:p>
          <w:p w14:paraId="13803A9A" w14:textId="77777777" w:rsidR="00934FDE" w:rsidRDefault="0000000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члени робочої групи з питань відкритих даних міської ради</w:t>
            </w:r>
          </w:p>
        </w:tc>
      </w:tr>
      <w:tr w:rsidR="00934FDE" w14:paraId="0E16F0EC" w14:textId="77777777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A058F" w14:textId="77777777" w:rsidR="00934FDE" w:rsidRDefault="00000000">
            <w:pPr>
              <w:ind w:left="284" w:hanging="28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Доступність і використання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3F1E7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Розвиток відкритих даних міста Луцька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3F22C" w14:textId="77777777" w:rsidR="00934FDE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Використовувати доступні аналітичні застосунки для візуалізації відкритих даних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E7838" w14:textId="77777777" w:rsidR="00934FDE" w:rsidRDefault="00000000">
            <w:pPr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EE76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934FDE" w14:paraId="7EA8A366" w14:textId="77777777">
        <w:trPr>
          <w:trHeight w:val="612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54F39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D0E1B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2F7D4" w14:textId="77777777" w:rsidR="00934FDE" w:rsidRDefault="00000000">
            <w:pPr>
              <w:jc w:val="both"/>
            </w:pPr>
            <w:r>
              <w:rPr>
                <w:rFonts w:ascii="Times New Roman" w:hAnsi="Times New Roman"/>
              </w:rPr>
              <w:t xml:space="preserve">Сприяти пошуку технічних рішень для створення </w:t>
            </w:r>
            <w:proofErr w:type="spellStart"/>
            <w:r>
              <w:rPr>
                <w:rFonts w:ascii="Times New Roman" w:hAnsi="Times New Roman"/>
              </w:rPr>
              <w:t>дашбордів</w:t>
            </w:r>
            <w:proofErr w:type="spellEnd"/>
            <w:r>
              <w:rPr>
                <w:rFonts w:ascii="Times New Roman" w:hAnsi="Times New Roman"/>
              </w:rPr>
              <w:t xml:space="preserve"> на основі відкритих даних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A4792" w14:textId="77777777" w:rsidR="00934FDE" w:rsidRDefault="00000000">
            <w:pPr>
              <w:ind w:right="4"/>
              <w:jc w:val="center"/>
            </w:pPr>
            <w:r>
              <w:rPr>
                <w:rFonts w:ascii="Times New Roman" w:hAnsi="Times New Roman"/>
              </w:rPr>
              <w:t>протягом</w:t>
            </w:r>
          </w:p>
          <w:p w14:paraId="563897C9" w14:textId="47C036CB" w:rsidR="00934FDE" w:rsidRDefault="00000000">
            <w:pPr>
              <w:jc w:val="center"/>
            </w:pPr>
            <w:r>
              <w:rPr>
                <w:rFonts w:ascii="Times New Roman" w:hAnsi="Times New Roman"/>
              </w:rPr>
              <w:t>2026</w:t>
            </w:r>
            <w:r w:rsidR="00B84954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2028 років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DB80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934FDE" w14:paraId="49867F9D" w14:textId="77777777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18175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033A8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Оприлюднення якісних даних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A78D0" w14:textId="4DA2E540" w:rsidR="00934FDE" w:rsidRDefault="00000000">
            <w:pPr>
              <w:ind w:right="46"/>
              <w:jc w:val="both"/>
            </w:pPr>
            <w:r>
              <w:rPr>
                <w:rFonts w:ascii="Times New Roman" w:hAnsi="Times New Roman"/>
              </w:rPr>
              <w:t>Забезпечувати оприлюднення на Єдиному державному порталі відкритих даних</w:t>
            </w:r>
            <w:r w:rsidR="006C278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/</w:t>
            </w:r>
            <w:r w:rsidR="006C2785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місцевому порталі пріоритетних наборів даних з використанням розроблених рекомендацій, міжнародних стандартів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9BA06" w14:textId="77777777" w:rsidR="00934FDE" w:rsidRDefault="00000000">
            <w:pPr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58AF" w14:textId="77777777" w:rsidR="00934FDE" w:rsidRDefault="0000000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технологій,</w:t>
            </w:r>
          </w:p>
          <w:p w14:paraId="68212FFA" w14:textId="77777777" w:rsidR="00934FDE" w:rsidRDefault="0000000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члени робочої групи з питань відкритих даних міської ради,</w:t>
            </w:r>
          </w:p>
          <w:p w14:paraId="5C3A7424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розпорядники інформації, відповідальні за підготовку та публікацію наборів даних</w:t>
            </w:r>
          </w:p>
        </w:tc>
      </w:tr>
      <w:tr w:rsidR="00934FDE" w14:paraId="3F73651A" w14:textId="77777777">
        <w:trPr>
          <w:trHeight w:val="1209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A9183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D2283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Популяризація відкритих даних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1BFDA" w14:textId="3A11BCE7" w:rsidR="00934FDE" w:rsidRDefault="00000000">
            <w:pPr>
              <w:jc w:val="both"/>
            </w:pPr>
            <w:r>
              <w:rPr>
                <w:rFonts w:ascii="Times New Roman" w:hAnsi="Times New Roman"/>
              </w:rPr>
              <w:t xml:space="preserve">Сприяти популяризації відкритих даних (використання всіх можливих каналів </w:t>
            </w:r>
            <w:r w:rsidRPr="00D76CA6">
              <w:rPr>
                <w:rFonts w:ascii="Times New Roman" w:hAnsi="Times New Roman"/>
                <w:color w:val="000000" w:themeColor="text1"/>
              </w:rPr>
              <w:t xml:space="preserve">комунікації: </w:t>
            </w:r>
            <w:r w:rsidR="00D76CA6" w:rsidRPr="00D76CA6">
              <w:rPr>
                <w:rFonts w:ascii="Times New Roman" w:hAnsi="Times New Roman"/>
                <w:color w:val="000000" w:themeColor="text1"/>
              </w:rPr>
              <w:t>медіа</w:t>
            </w:r>
            <w:r w:rsidRPr="00D76CA6">
              <w:rPr>
                <w:rFonts w:ascii="Times New Roman" w:hAnsi="Times New Roman"/>
                <w:color w:val="000000" w:themeColor="text1"/>
              </w:rPr>
              <w:t>, соціальні</w:t>
            </w:r>
            <w:r>
              <w:rPr>
                <w:rFonts w:ascii="Times New Roman" w:hAnsi="Times New Roman"/>
              </w:rPr>
              <w:t xml:space="preserve"> мережі, офіційний </w:t>
            </w:r>
            <w:proofErr w:type="spellStart"/>
            <w:r w:rsidR="006C2785">
              <w:rPr>
                <w:rFonts w:ascii="Times New Roman" w:hAnsi="Times New Roman"/>
              </w:rPr>
              <w:t>веб</w:t>
            </w:r>
            <w:r>
              <w:rPr>
                <w:rFonts w:ascii="Times New Roman" w:hAnsi="Times New Roman"/>
              </w:rPr>
              <w:t>сайт</w:t>
            </w:r>
            <w:proofErr w:type="spellEnd"/>
            <w:r>
              <w:rPr>
                <w:rFonts w:ascii="Times New Roman" w:hAnsi="Times New Roman"/>
              </w:rPr>
              <w:t xml:space="preserve"> Луцької міської ради, чат-боти)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9D3E0" w14:textId="77777777" w:rsidR="00934FDE" w:rsidRDefault="00000000">
            <w:pPr>
              <w:ind w:right="3"/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35BB" w14:textId="77777777" w:rsidR="00934FDE" w:rsidRDefault="0000000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технологій,</w:t>
            </w:r>
          </w:p>
          <w:p w14:paraId="56741C6D" w14:textId="77777777" w:rsidR="00934FDE" w:rsidRDefault="00000000">
            <w:pPr>
              <w:ind w:right="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інформаційної роботи</w:t>
            </w:r>
          </w:p>
        </w:tc>
      </w:tr>
      <w:tr w:rsidR="00934FDE" w14:paraId="5F06CA1B" w14:textId="77777777">
        <w:trPr>
          <w:trHeight w:val="1171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A78AD" w14:textId="77777777" w:rsidR="00934FDE" w:rsidRDefault="000000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4. Порівнянність та </w:t>
            </w:r>
            <w:proofErr w:type="spellStart"/>
            <w:r>
              <w:rPr>
                <w:rFonts w:ascii="Times New Roman" w:hAnsi="Times New Roman"/>
                <w:b/>
              </w:rPr>
              <w:t>інтероперабельність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463B5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Дотримання стандартів публікації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1EEF1" w14:textId="2221BB8B" w:rsidR="00934FDE" w:rsidRDefault="00000000">
            <w:pPr>
              <w:jc w:val="both"/>
            </w:pPr>
            <w:r>
              <w:rPr>
                <w:rFonts w:ascii="Times New Roman" w:hAnsi="Times New Roman"/>
              </w:rPr>
              <w:t xml:space="preserve">Забезпечувати дотримання рекомендацій </w:t>
            </w:r>
            <w:proofErr w:type="spellStart"/>
            <w:r>
              <w:rPr>
                <w:rFonts w:ascii="Times New Roman" w:hAnsi="Times New Roman"/>
              </w:rPr>
              <w:t>Мінцифри</w:t>
            </w:r>
            <w:proofErr w:type="spellEnd"/>
            <w:r>
              <w:rPr>
                <w:rFonts w:ascii="Times New Roman" w:hAnsi="Times New Roman"/>
              </w:rPr>
              <w:t xml:space="preserve"> для оприлюднення наборів відкритих даних, використання міжнародних стандартів. Враховувати стандарти відображення даних та рекомендації </w:t>
            </w:r>
            <w:proofErr w:type="spellStart"/>
            <w:r>
              <w:rPr>
                <w:rFonts w:ascii="Times New Roman" w:hAnsi="Times New Roman"/>
              </w:rPr>
              <w:t>Мінцифри</w:t>
            </w:r>
            <w:proofErr w:type="spellEnd"/>
            <w:r>
              <w:rPr>
                <w:rFonts w:ascii="Times New Roman" w:hAnsi="Times New Roman"/>
              </w:rPr>
              <w:t xml:space="preserve"> при створенні реєстрів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88BBC" w14:textId="77777777" w:rsidR="00934FDE" w:rsidRDefault="00000000">
            <w:pPr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929F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технологій, відповідальні за підготовку та публікацію наборів даних</w:t>
            </w:r>
          </w:p>
        </w:tc>
      </w:tr>
      <w:tr w:rsidR="00934FDE" w14:paraId="44AF7C83" w14:textId="77777777">
        <w:trPr>
          <w:trHeight w:val="1445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460AD" w14:textId="77777777" w:rsidR="00934FDE" w:rsidRDefault="00000000">
            <w:pPr>
              <w:ind w:right="4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 Покращене урядування та залучення громадян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D91C8" w14:textId="77777777" w:rsidR="00934FDE" w:rsidRDefault="00000000">
            <w:pPr>
              <w:ind w:righ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Розвиток культури управління даними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E83B1" w14:textId="77777777" w:rsidR="00934FDE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Сприяти використанню даних як інструменту прийняття ефективних рішень щодо вирішення проблем міста на основі аналітичних досліджень (застосування єдиних </w:t>
            </w:r>
            <w:r w:rsidRPr="00D76CA6">
              <w:rPr>
                <w:rFonts w:ascii="Times New Roman" w:hAnsi="Times New Roman"/>
                <w:color w:val="000000" w:themeColor="text1"/>
              </w:rPr>
              <w:t>стандартів для можливості обміну даними та застосування АРІ)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EF590" w14:textId="77777777" w:rsidR="00934FDE" w:rsidRDefault="00000000">
            <w:pPr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9478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934FDE" w14:paraId="7D8E4831" w14:textId="77777777">
        <w:trPr>
          <w:trHeight w:val="1185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87AEB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04E3B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60481" w14:textId="5FA704A1" w:rsidR="00934FDE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</w:t>
            </w:r>
            <w:r w:rsidR="007970A3">
              <w:rPr>
                <w:rFonts w:ascii="Times New Roman" w:hAnsi="Times New Roman"/>
              </w:rPr>
              <w:t>одити</w:t>
            </w:r>
            <w:r>
              <w:rPr>
                <w:rFonts w:ascii="Times New Roman" w:hAnsi="Times New Roman"/>
              </w:rPr>
              <w:t xml:space="preserve"> навчан</w:t>
            </w:r>
            <w:r w:rsidR="007970A3">
              <w:rPr>
                <w:rFonts w:ascii="Times New Roman" w:hAnsi="Times New Roman"/>
              </w:rPr>
              <w:t>ня</w:t>
            </w:r>
            <w:r>
              <w:rPr>
                <w:rFonts w:ascii="Times New Roman" w:hAnsi="Times New Roman"/>
              </w:rPr>
              <w:t xml:space="preserve"> відповідальних осіб з питань відкритих даних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77EE3" w14:textId="77777777" w:rsidR="00934FDE" w:rsidRDefault="00000000">
            <w:pPr>
              <w:ind w:right="4"/>
              <w:jc w:val="center"/>
            </w:pPr>
            <w:r>
              <w:rPr>
                <w:rFonts w:ascii="Times New Roman" w:hAnsi="Times New Roman"/>
              </w:rPr>
              <w:t>протягом</w:t>
            </w:r>
          </w:p>
          <w:p w14:paraId="36DBA2E2" w14:textId="1F05A4DB" w:rsidR="00934FDE" w:rsidRDefault="00000000">
            <w:pPr>
              <w:ind w:left="3"/>
              <w:jc w:val="center"/>
            </w:pPr>
            <w:r>
              <w:rPr>
                <w:rFonts w:ascii="Times New Roman" w:hAnsi="Times New Roman"/>
              </w:rPr>
              <w:t>2026</w:t>
            </w:r>
            <w:r w:rsidR="007970A3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2028 років відповідно до графіка проведення навчань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7878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934FDE" w14:paraId="09A8B2B1" w14:textId="77777777">
        <w:trPr>
          <w:trHeight w:val="1184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46D45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0D871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Залучення громадян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C41DE" w14:textId="402BE400" w:rsidR="00934FDE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Використовувати платформу </w:t>
            </w:r>
            <w:r w:rsidR="007970A3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Е-консультації</w:t>
            </w:r>
            <w:r w:rsidR="007970A3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для зворотного зв'язку та залучення громадян з метою розвитку відкритих даних міста та визначення суспільного інтересу в цій сфері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79AD1" w14:textId="77777777" w:rsidR="00934FDE" w:rsidRDefault="00000000">
            <w:pPr>
              <w:ind w:right="3"/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3478" w14:textId="77777777" w:rsidR="00934FDE" w:rsidRDefault="00000000">
            <w:pPr>
              <w:rPr>
                <w:rFonts w:ascii="Times New Roman" w:hAnsi="Times New Roman"/>
              </w:rPr>
            </w:pPr>
            <w:bookmarkStart w:id="0" w:name="__DdeLink__565_4048515369"/>
            <w:r>
              <w:rPr>
                <w:rFonts w:ascii="Times New Roman" w:hAnsi="Times New Roman"/>
              </w:rPr>
              <w:t>Управління інформаційно-комунікаційних технологій, розпорядники інформації</w:t>
            </w:r>
            <w:bookmarkEnd w:id="0"/>
          </w:p>
        </w:tc>
      </w:tr>
      <w:tr w:rsidR="00934FDE" w14:paraId="3956C62F" w14:textId="77777777">
        <w:trPr>
          <w:trHeight w:val="935"/>
        </w:trPr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 w14:paraId="27DBF4A3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</w:tcPr>
          <w:p w14:paraId="3C44DDDE" w14:textId="77777777" w:rsidR="00934FDE" w:rsidRDefault="00934FDE"/>
        </w:tc>
        <w:tc>
          <w:tcPr>
            <w:tcW w:w="5935" w:type="dxa"/>
            <w:tcBorders>
              <w:left w:val="single" w:sz="4" w:space="0" w:color="000000"/>
              <w:bottom w:val="single" w:sz="4" w:space="0" w:color="000000"/>
            </w:tcBorders>
          </w:tcPr>
          <w:p w14:paraId="39006085" w14:textId="5892D1A4" w:rsidR="00934FDE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</w:t>
            </w:r>
            <w:r w:rsidR="00256F05">
              <w:rPr>
                <w:rFonts w:ascii="Times New Roman" w:hAnsi="Times New Roman"/>
              </w:rPr>
              <w:t>одити</w:t>
            </w:r>
            <w:r>
              <w:rPr>
                <w:rFonts w:ascii="Times New Roman" w:hAnsi="Times New Roman"/>
              </w:rPr>
              <w:t xml:space="preserve"> кругл</w:t>
            </w:r>
            <w:r w:rsidR="00256F05">
              <w:rPr>
                <w:rFonts w:ascii="Times New Roman" w:hAnsi="Times New Roman"/>
              </w:rPr>
              <w:t>і</w:t>
            </w:r>
            <w:r>
              <w:rPr>
                <w:rFonts w:ascii="Times New Roman" w:hAnsi="Times New Roman"/>
              </w:rPr>
              <w:t xml:space="preserve"> стол</w:t>
            </w:r>
            <w:r w:rsidR="00256F05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, онлайн-конференц</w:t>
            </w:r>
            <w:r w:rsidR="00256F05">
              <w:rPr>
                <w:rFonts w:ascii="Times New Roman" w:hAnsi="Times New Roman"/>
              </w:rPr>
              <w:t>ії</w:t>
            </w:r>
            <w:r>
              <w:rPr>
                <w:rFonts w:ascii="Times New Roman" w:hAnsi="Times New Roman"/>
              </w:rPr>
              <w:t xml:space="preserve"> щодо сфери відкритих даних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</w:tcPr>
          <w:p w14:paraId="02901995" w14:textId="77777777" w:rsidR="007970A3" w:rsidRDefault="00000000">
            <w:pPr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протягом </w:t>
            </w:r>
          </w:p>
          <w:p w14:paraId="5E83A41C" w14:textId="57C38347" w:rsidR="00934FDE" w:rsidRDefault="00000000">
            <w:pPr>
              <w:ind w:right="3"/>
              <w:jc w:val="center"/>
            </w:pPr>
            <w:r>
              <w:rPr>
                <w:rFonts w:ascii="Times New Roman" w:hAnsi="Times New Roman"/>
              </w:rPr>
              <w:t>2026</w:t>
            </w:r>
            <w:r w:rsidR="007970A3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2028 років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9F2F" w14:textId="77777777" w:rsidR="00934FDE" w:rsidRDefault="00000000">
            <w:r>
              <w:rPr>
                <w:rFonts w:ascii="Times New Roman" w:hAnsi="Times New Roman"/>
              </w:rPr>
              <w:t>Управління інформаційно-комунікаційних технологій, розпорядники інформації</w:t>
            </w:r>
          </w:p>
        </w:tc>
      </w:tr>
      <w:tr w:rsidR="00934FDE" w14:paraId="676F0F67" w14:textId="77777777">
        <w:trPr>
          <w:trHeight w:val="1492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DD982" w14:textId="77777777" w:rsidR="00934FDE" w:rsidRDefault="0000000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6. Інклюзивний розвиток та інновації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E214D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Стимулювання інновацій та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</w:rPr>
              <w:t xml:space="preserve"> на базі відкритих даних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04EFB" w14:textId="53D8E37E" w:rsidR="00934FDE" w:rsidRDefault="00000000">
            <w:pPr>
              <w:spacing w:line="252" w:lineRule="auto"/>
              <w:jc w:val="both"/>
            </w:pPr>
            <w:r>
              <w:rPr>
                <w:rFonts w:ascii="Times New Roman" w:hAnsi="Times New Roman"/>
              </w:rPr>
              <w:t xml:space="preserve">Сприяти </w:t>
            </w:r>
            <w:r w:rsidRPr="00D76CA6">
              <w:rPr>
                <w:rFonts w:ascii="Times New Roman" w:hAnsi="Times New Roman"/>
                <w:color w:val="000000" w:themeColor="text1"/>
              </w:rPr>
              <w:t xml:space="preserve">популяризації сервісів на основі відкритих даних для заохочення створення продуктів на </w:t>
            </w:r>
            <w:r w:rsidR="00D76CA6" w:rsidRPr="00D76CA6">
              <w:rPr>
                <w:rFonts w:ascii="Times New Roman" w:hAnsi="Times New Roman"/>
                <w:color w:val="000000" w:themeColor="text1"/>
              </w:rPr>
              <w:t xml:space="preserve">їх </w:t>
            </w:r>
            <w:r w:rsidRPr="00D76CA6">
              <w:rPr>
                <w:rFonts w:ascii="Times New Roman" w:hAnsi="Times New Roman"/>
                <w:color w:val="000000" w:themeColor="text1"/>
              </w:rPr>
              <w:t xml:space="preserve">основі: проведення зустрічей з ІТ-компаніями, громадськими організаціями, тренінгів, лекцій, </w:t>
            </w:r>
            <w:proofErr w:type="spellStart"/>
            <w:r w:rsidRPr="00D76CA6">
              <w:rPr>
                <w:rFonts w:ascii="Times New Roman" w:hAnsi="Times New Roman"/>
                <w:color w:val="000000" w:themeColor="text1"/>
              </w:rPr>
              <w:t>ідеатонів</w:t>
            </w:r>
            <w:proofErr w:type="spellEnd"/>
            <w:r w:rsidRPr="00D76CA6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76CA6">
              <w:rPr>
                <w:rFonts w:ascii="Times New Roman" w:hAnsi="Times New Roman"/>
                <w:color w:val="000000" w:themeColor="text1"/>
              </w:rPr>
              <w:t>хакатонів</w:t>
            </w:r>
            <w:proofErr w:type="spellEnd"/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2BC04" w14:textId="77777777" w:rsidR="00934FDE" w:rsidRDefault="00000000">
            <w:pPr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AE35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934FDE" w14:paraId="7C810116" w14:textId="77777777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ECEB1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C21D6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AD7CD" w14:textId="77777777" w:rsidR="00934FDE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Сприяти співпраці з навчальними закладами та бізнес-середовищем з метою використання відкритих даних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58AC6" w14:textId="77777777" w:rsidR="00934FDE" w:rsidRDefault="00000000">
            <w:pPr>
              <w:ind w:left="38"/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835A" w14:textId="77777777" w:rsidR="00934FDE" w:rsidRDefault="0000000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технологій, департамент освіти</w:t>
            </w:r>
          </w:p>
        </w:tc>
      </w:tr>
      <w:tr w:rsidR="00934FDE" w14:paraId="2FAB9A83" w14:textId="77777777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3B0AF" w14:textId="77777777" w:rsidR="00934FDE" w:rsidRDefault="00934FDE">
            <w:pPr>
              <w:spacing w:after="160"/>
              <w:rPr>
                <w:rFonts w:ascii="Times New Roman" w:hAnsi="Times New Roma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E27FB" w14:textId="77777777" w:rsidR="00934FDE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Міжнародна співпраця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08C26" w14:textId="77777777" w:rsidR="00934FDE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Розвивати міжнародне партнерство у сфері відкритих даних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D379E" w14:textId="77777777" w:rsidR="00934FDE" w:rsidRDefault="00000000">
            <w:pPr>
              <w:ind w:left="38"/>
              <w:jc w:val="center"/>
            </w:pPr>
            <w:r>
              <w:rPr>
                <w:rFonts w:ascii="Times New Roman" w:hAnsi="Times New Roman"/>
              </w:rPr>
              <w:t>постійно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6983" w14:textId="77777777" w:rsidR="00934FDE" w:rsidRDefault="00000000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технологій, управління міжнародного співробітництва та проектної діяльності</w:t>
            </w:r>
          </w:p>
        </w:tc>
      </w:tr>
    </w:tbl>
    <w:p w14:paraId="655357D9" w14:textId="77777777" w:rsidR="00934FDE" w:rsidRDefault="00934FDE">
      <w:pPr>
        <w:tabs>
          <w:tab w:val="left" w:pos="9585"/>
        </w:tabs>
        <w:rPr>
          <w:rFonts w:ascii="Times New Roman" w:hAnsi="Times New Roman"/>
          <w:sz w:val="28"/>
          <w:szCs w:val="28"/>
        </w:rPr>
      </w:pPr>
    </w:p>
    <w:p w14:paraId="495E0BE1" w14:textId="77777777" w:rsidR="00934FDE" w:rsidRDefault="00934FDE">
      <w:pPr>
        <w:tabs>
          <w:tab w:val="left" w:pos="9585"/>
        </w:tabs>
        <w:rPr>
          <w:rFonts w:ascii="Times New Roman" w:hAnsi="Times New Roman"/>
          <w:sz w:val="28"/>
          <w:szCs w:val="28"/>
        </w:rPr>
      </w:pPr>
    </w:p>
    <w:p w14:paraId="37FA8DBB" w14:textId="77777777" w:rsidR="00934FDE" w:rsidRDefault="00000000" w:rsidP="00F859A2">
      <w:pPr>
        <w:ind w:left="284" w:right="5233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Заступник міського голови,</w:t>
      </w:r>
    </w:p>
    <w:p w14:paraId="221C145B" w14:textId="4BE5FEAE" w:rsidR="00934FDE" w:rsidRDefault="00000000" w:rsidP="00F859A2">
      <w:pPr>
        <w:tabs>
          <w:tab w:val="left" w:pos="10965"/>
        </w:tabs>
        <w:spacing w:line="252" w:lineRule="auto"/>
        <w:ind w:left="284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керуючий справами виконкому</w:t>
      </w:r>
      <w:r>
        <w:rPr>
          <w:rFonts w:ascii="Times New Roman" w:hAnsi="Times New Roman"/>
          <w:sz w:val="27"/>
          <w:szCs w:val="27"/>
        </w:rPr>
        <w:tab/>
      </w:r>
      <w:r w:rsidR="007970A3">
        <w:rPr>
          <w:rFonts w:ascii="Times New Roman" w:hAnsi="Times New Roman"/>
          <w:sz w:val="27"/>
          <w:szCs w:val="27"/>
        </w:rPr>
        <w:tab/>
      </w:r>
      <w:r w:rsidR="007970A3">
        <w:rPr>
          <w:rFonts w:ascii="Times New Roman" w:hAnsi="Times New Roman"/>
          <w:sz w:val="27"/>
          <w:szCs w:val="27"/>
        </w:rPr>
        <w:tab/>
      </w:r>
      <w:r w:rsidR="007970A3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>Юрій ВЕРБИЧ</w:t>
      </w:r>
    </w:p>
    <w:p w14:paraId="2A459D3C" w14:textId="77777777" w:rsidR="00934FDE" w:rsidRDefault="00934FDE" w:rsidP="00F859A2">
      <w:pPr>
        <w:tabs>
          <w:tab w:val="left" w:pos="10965"/>
        </w:tabs>
        <w:spacing w:line="252" w:lineRule="auto"/>
        <w:ind w:left="284"/>
        <w:rPr>
          <w:rFonts w:ascii="Times New Roman" w:hAnsi="Times New Roman"/>
          <w:sz w:val="28"/>
          <w:szCs w:val="28"/>
        </w:rPr>
      </w:pPr>
    </w:p>
    <w:p w14:paraId="4BADC6C9" w14:textId="77777777" w:rsidR="00934FDE" w:rsidRDefault="00934FDE" w:rsidP="00F859A2">
      <w:pPr>
        <w:tabs>
          <w:tab w:val="left" w:pos="10965"/>
        </w:tabs>
        <w:spacing w:line="252" w:lineRule="auto"/>
        <w:ind w:left="284"/>
        <w:rPr>
          <w:rFonts w:ascii="Times New Roman" w:hAnsi="Times New Roman"/>
        </w:rPr>
      </w:pPr>
    </w:p>
    <w:p w14:paraId="64AFEB81" w14:textId="77777777" w:rsidR="00934FDE" w:rsidRDefault="00000000" w:rsidP="00F859A2">
      <w:pPr>
        <w:tabs>
          <w:tab w:val="left" w:pos="10965"/>
        </w:tabs>
        <w:spacing w:line="252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Король 777 999 </w:t>
      </w:r>
    </w:p>
    <w:p w14:paraId="4BEA8F93" w14:textId="77777777" w:rsidR="00934FDE" w:rsidRDefault="00000000" w:rsidP="00F859A2">
      <w:pPr>
        <w:tabs>
          <w:tab w:val="left" w:pos="10965"/>
        </w:tabs>
        <w:spacing w:line="252" w:lineRule="auto"/>
        <w:ind w:left="28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Хмель</w:t>
      </w:r>
      <w:proofErr w:type="spellEnd"/>
      <w:r>
        <w:rPr>
          <w:rFonts w:ascii="Times New Roman" w:hAnsi="Times New Roman"/>
        </w:rPr>
        <w:t xml:space="preserve"> 741 055</w:t>
      </w:r>
    </w:p>
    <w:sectPr w:rsidR="00934FDE" w:rsidSect="00B84954">
      <w:headerReference w:type="default" r:id="rId7"/>
      <w:pgSz w:w="16838" w:h="11906" w:orient="landscape"/>
      <w:pgMar w:top="1985" w:right="567" w:bottom="1134" w:left="737" w:header="992" w:footer="0" w:gutter="0"/>
      <w:pgNumType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2FB81" w14:textId="77777777" w:rsidR="00A851BA" w:rsidRDefault="00A851BA">
      <w:r>
        <w:separator/>
      </w:r>
    </w:p>
  </w:endnote>
  <w:endnote w:type="continuationSeparator" w:id="0">
    <w:p w14:paraId="0DA0ACF4" w14:textId="77777777" w:rsidR="00A851BA" w:rsidRDefault="00A8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CF7D" w14:textId="77777777" w:rsidR="00A851BA" w:rsidRDefault="00A851BA">
      <w:r>
        <w:separator/>
      </w:r>
    </w:p>
  </w:footnote>
  <w:footnote w:type="continuationSeparator" w:id="0">
    <w:p w14:paraId="39A2C117" w14:textId="77777777" w:rsidR="00A851BA" w:rsidRDefault="00A8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ECED" w14:textId="77777777" w:rsidR="00934FDE" w:rsidRPr="00B84954" w:rsidRDefault="00000000">
    <w:pPr>
      <w:pStyle w:val="ad"/>
      <w:jc w:val="center"/>
      <w:rPr>
        <w:rFonts w:ascii="Times New Roman" w:hAnsi="Times New Roman"/>
        <w:sz w:val="28"/>
        <w:szCs w:val="28"/>
      </w:rPr>
    </w:pPr>
    <w:r w:rsidRPr="00B84954">
      <w:rPr>
        <w:rFonts w:ascii="Times New Roman" w:hAnsi="Times New Roman"/>
        <w:sz w:val="28"/>
        <w:szCs w:val="28"/>
      </w:rPr>
      <w:fldChar w:fldCharType="begin"/>
    </w:r>
    <w:r w:rsidRPr="00B84954">
      <w:rPr>
        <w:rFonts w:ascii="Times New Roman" w:hAnsi="Times New Roman"/>
        <w:sz w:val="28"/>
        <w:szCs w:val="28"/>
      </w:rPr>
      <w:instrText xml:space="preserve"> PAGE </w:instrText>
    </w:r>
    <w:r w:rsidRPr="00B84954">
      <w:rPr>
        <w:rFonts w:ascii="Times New Roman" w:hAnsi="Times New Roman"/>
        <w:sz w:val="28"/>
        <w:szCs w:val="28"/>
      </w:rPr>
      <w:fldChar w:fldCharType="separate"/>
    </w:r>
    <w:r w:rsidRPr="00B84954">
      <w:rPr>
        <w:rFonts w:ascii="Times New Roman" w:hAnsi="Times New Roman"/>
        <w:sz w:val="28"/>
        <w:szCs w:val="28"/>
      </w:rPr>
      <w:t>#</w:t>
    </w:r>
    <w:r w:rsidRPr="00B84954">
      <w:rPr>
        <w:rFonts w:ascii="Times New Roman" w:hAnsi="Times New Roman"/>
        <w:sz w:val="28"/>
        <w:szCs w:val="28"/>
      </w:rPr>
      <w:fldChar w:fldCharType="end"/>
    </w:r>
  </w:p>
  <w:p w14:paraId="56EE016F" w14:textId="77777777" w:rsidR="00934FDE" w:rsidRDefault="00934FDE">
    <w:pPr>
      <w:pStyle w:val="a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FDE"/>
    <w:rsid w:val="00256F05"/>
    <w:rsid w:val="004D3464"/>
    <w:rsid w:val="006C2785"/>
    <w:rsid w:val="007970A3"/>
    <w:rsid w:val="00854077"/>
    <w:rsid w:val="00934FDE"/>
    <w:rsid w:val="00A851BA"/>
    <w:rsid w:val="00B84954"/>
    <w:rsid w:val="00C96CCE"/>
    <w:rsid w:val="00D475D9"/>
    <w:rsid w:val="00D76CA6"/>
    <w:rsid w:val="00D84AEA"/>
    <w:rsid w:val="00F8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1E2E"/>
  <w15:docId w15:val="{CF539462-AFC8-4E9B-9E67-29226519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a8">
    <w:name w:val="Указатель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pPr>
      <w:suppressLineNumbers/>
      <w:tabs>
        <w:tab w:val="center" w:pos="7569"/>
        <w:tab w:val="right" w:pos="15138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  <w:rPr>
      <w:szCs w:val="21"/>
    </w:rPr>
  </w:style>
  <w:style w:type="character" w:styleId="af">
    <w:name w:val="line number"/>
    <w:basedOn w:val="a0"/>
    <w:semiHidden/>
  </w:style>
  <w:style w:type="character" w:styleId="af0">
    <w:name w:val="Hyperlink"/>
    <w:rPr>
      <w:color w:val="0000FF"/>
      <w:u w:val="single"/>
    </w:rPr>
  </w:style>
  <w:style w:type="character" w:customStyle="1" w:styleId="af1">
    <w:name w:val="Нижний колонтитул Знак"/>
    <w:basedOn w:val="a0"/>
    <w:qFormat/>
    <w:rPr>
      <w:sz w:val="24"/>
      <w:szCs w:val="21"/>
    </w:rPr>
  </w:style>
  <w:style w:type="character" w:customStyle="1" w:styleId="af2">
    <w:name w:val="Верхній колонтитул Знак"/>
    <w:basedOn w:val="a0"/>
    <w:qFormat/>
    <w:rPr>
      <w:sz w:val="24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user2">
    <w:name w:val="Без маркерів (user)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D0D3B-79C4-4A0C-8AD6-282ED2EB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5390</Words>
  <Characters>3073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21</cp:revision>
  <dcterms:created xsi:type="dcterms:W3CDTF">2022-01-04T14:39:00Z</dcterms:created>
  <dcterms:modified xsi:type="dcterms:W3CDTF">2026-02-13T12:01:00Z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253ef6e7a377c1327fad560dd8dd3bcec2e23a5b3c21ee9aefc85dae025b2ef9</vt:lpwstr>
  </property>
</Properties>
</file>