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A3" w:rsidRDefault="00B078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BF3DA3" w:rsidRDefault="00B078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Сущука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Петра Ігоровича – старости Прилуцького старостинського округу</w:t>
      </w:r>
    </w:p>
    <w:p w:rsidR="00BF3DA3" w:rsidRDefault="00BF3D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:rsidR="00BF3DA3" w:rsidRDefault="00B078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своїй роботі керуюсь </w:t>
      </w:r>
      <w:r>
        <w:rPr>
          <w:rFonts w:ascii="Times New Roman" w:hAnsi="Times New Roman" w:cs="Times New Roman"/>
          <w:sz w:val="28"/>
          <w:szCs w:val="28"/>
        </w:rPr>
        <w:t xml:space="preserve">Положенням про старосту старостинського округу Луцької міської територіальної громади, затвердженим рішенням міської ради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27.10.2021 № 20/42 (раніше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>рішення міської ради від 17.12.2020 № 1/5 «Про затвердження Положення про старосту села, сіл, старостинського округу Луцької міської територіальної громади» зі змінами</w:t>
      </w:r>
      <w:r w:rsidR="00D902BB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 xml:space="preserve"> та доповненнями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 xml:space="preserve">), розробленим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Конституції України, законів України «Про місцеве самоврядування в Україні», «Про службу в органах місцевого самоврядування», інших актів законодавства України та посадовою інструкцією старости старостинського округу Луцької міської територіальної громади. </w:t>
      </w:r>
    </w:p>
    <w:p w:rsidR="00BF3DA3" w:rsidRDefault="00B078F3">
      <w:pPr>
        <w:pStyle w:val="21"/>
        <w:shd w:val="clear" w:color="auto" w:fill="auto"/>
        <w:spacing w:before="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До складу Прилуцького старостинського округу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входять 4 населених пункти, а саме: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Прилуцьке, Дачне, Жабка, Сапогове </w:t>
      </w:r>
      <w:r>
        <w:rPr>
          <w:rFonts w:ascii="Times New Roman" w:eastAsia="Calibri" w:hAnsi="Times New Roman" w:cs="Times New Roman"/>
          <w:sz w:val="28"/>
          <w:szCs w:val="28"/>
        </w:rPr>
        <w:t>і відповідно до Генеральних планів:</w:t>
      </w:r>
    </w:p>
    <w:p w:rsidR="00BF3DA3" w:rsidRDefault="00B078F3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Село Прилуцьке площею 292,5 га;</w:t>
      </w:r>
    </w:p>
    <w:p w:rsidR="00BF3DA3" w:rsidRDefault="00B078F3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Село Дачне площею 90,6 га;</w:t>
      </w:r>
    </w:p>
    <w:p w:rsidR="00BF3DA3" w:rsidRDefault="00B078F3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Село Жабка площею 67,4 га;</w:t>
      </w:r>
    </w:p>
    <w:p w:rsidR="00BF3DA3" w:rsidRDefault="00B078F3">
      <w:pPr>
        <w:pStyle w:val="21"/>
        <w:numPr>
          <w:ilvl w:val="0"/>
          <w:numId w:val="2"/>
        </w:numPr>
        <w:shd w:val="clear" w:color="auto" w:fill="auto"/>
        <w:spacing w:before="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Село Сапогове площею 33,1 га.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чисельність наявного населення сіл станом на 31.12.2025 становила 4039 особа. </w:t>
      </w:r>
    </w:p>
    <w:p w:rsidR="00BF3DA3" w:rsidRDefault="00B078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Площа території старостату 3182 га. </w:t>
      </w:r>
    </w:p>
    <w:p w:rsidR="00BF3DA3" w:rsidRDefault="00B078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Загальна протяжність доріг – 34,6 км</w:t>
      </w:r>
    </w:p>
    <w:p w:rsidR="00BF3DA3" w:rsidRDefault="00B07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ЗАКЛАДИ ОСВІТИ</w:t>
      </w:r>
    </w:p>
    <w:p w:rsidR="00BF3DA3" w:rsidRDefault="00B078F3">
      <w:pPr>
        <w:numPr>
          <w:ilvl w:val="0"/>
          <w:numId w:val="3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ЗСО «Прилуцька гімназія № 29 Луцької міської ради»;</w:t>
      </w:r>
    </w:p>
    <w:p w:rsidR="00BF3DA3" w:rsidRDefault="00B078F3">
      <w:pPr>
        <w:numPr>
          <w:ilvl w:val="0"/>
          <w:numId w:val="3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Дачнівський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 дошкільної освіти (ясла-садок) № 42 Луцької міської ради».</w:t>
      </w:r>
    </w:p>
    <w:p w:rsidR="00BF3DA3" w:rsidRDefault="00B07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ЗАКЛАДИ КУЛЬТУРИ</w:t>
      </w:r>
    </w:p>
    <w:p w:rsidR="00BF3DA3" w:rsidRDefault="00B078F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Прилуцький будинок культури;</w:t>
      </w:r>
    </w:p>
    <w:p w:rsidR="00BF3DA3" w:rsidRDefault="00B078F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клуб с. Дачне.</w:t>
      </w:r>
    </w:p>
    <w:p w:rsidR="00BF3DA3" w:rsidRDefault="00B07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БІБЛІОТЕКИ</w:t>
      </w:r>
    </w:p>
    <w:p w:rsidR="00BF3DA3" w:rsidRDefault="00B078F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Бібліотека-філія с. Прилуцьке; </w:t>
      </w:r>
    </w:p>
    <w:p w:rsidR="00BF3DA3" w:rsidRDefault="00B078F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Бібліотека-філія с. Дачне. </w:t>
      </w:r>
    </w:p>
    <w:p w:rsidR="00BF3DA3" w:rsidRDefault="00B07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ЗАКЛАДИ ОХОРОНИ ЗДОРОВ’Я</w:t>
      </w:r>
    </w:p>
    <w:p w:rsidR="00BF3DA3" w:rsidRDefault="00B078F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Амбулаторія загальної практики – сімейної медицини № 6 (с. Прилуцьке)</w:t>
      </w:r>
    </w:p>
    <w:p w:rsidR="00BF3DA3" w:rsidRDefault="00BF3D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8"/>
          <w:lang w:eastAsia="uk-UA"/>
        </w:rPr>
      </w:pP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Прилуцького старостинського округу також знаходяться</w:t>
      </w:r>
      <w:r>
        <w:rPr>
          <w:rFonts w:ascii="Times New Roman" w:hAnsi="Times New Roman" w:cs="Times New Roman"/>
          <w:sz w:val="28"/>
          <w:szCs w:val="28"/>
        </w:rPr>
        <w:t xml:space="preserve"> підприємства, установи та організації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BF3DA3" w:rsidRDefault="00B078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Прилуцьке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Релігійна громада Святого Іоанна Хрестителя УПЦ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Церка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Християн віри Євангеліє «Спасіння»;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Західна Конфесія Церкви Адвентистів сьомого дня;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Іоанно-Предтеченська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релігійна громада УПЦ МП;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Приміщення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(не діючий);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Магазин, підприємець Остапенко Микола Вікторович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АЗС № 6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Укр-Петроль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«Нафтова компанія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Аветра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АЗС № РН27 </w:t>
      </w:r>
      <w:proofErr w:type="spellStart"/>
      <w:r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„Окко-Рітейл”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шиномонтаж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магазин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Tobi</w:t>
      </w:r>
      <w:proofErr w:type="spellEnd"/>
      <w:r>
        <w:rPr>
          <w:rFonts w:ascii="Times New Roman" w:hAnsi="Times New Roman" w:cs="Times New Roman"/>
          <w:sz w:val="28"/>
          <w:szCs w:val="28"/>
        </w:rPr>
        <w:t>» (24 </w:t>
      </w:r>
      <w:proofErr w:type="spellStart"/>
      <w:r>
        <w:rPr>
          <w:rFonts w:ascii="Times New Roman" w:hAnsi="Times New Roman" w:cs="Times New Roman"/>
          <w:sz w:val="28"/>
          <w:szCs w:val="28"/>
        </w:rPr>
        <w:t>hexpress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“СМАК”;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Магазин-кафе </w:t>
      </w:r>
      <w:proofErr w:type="spellStart"/>
      <w:r>
        <w:rPr>
          <w:rFonts w:ascii="Times New Roman" w:hAnsi="Times New Roman" w:cs="Times New Roman"/>
          <w:sz w:val="28"/>
          <w:szCs w:val="28"/>
        </w:rPr>
        <w:t>“Святослав”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Господарська крамниця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Магазин-кафе;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«Тачка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прокачку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ремонт та обслуговування автомобілів, виробництво пам’ятників;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паливно-мастильних матеріалів;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TRUCK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Lutsk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(запчастини б/в для вантажних автомобілів);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„Наша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лєпка”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виробництво та продаж ліпнини з гіпсу, архітектурне оформлення та декорування інтер'єру гіпсовою ліпниною);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Кузня (художня ковка);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Прийом вторинної сировини;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будівельних матеріалів;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Виробництво щепи для коптіння;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Творча майстерня церковних виробів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„Благо”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Кольоровий металопрокат;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побутової хімії;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Виробництво меблів;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Приміщення по виробництву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газосилікатних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блоків;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«СІМ-ХІМ», виробництво побутової хімії;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Мегаофісний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(кав’ярня «М’ята», магазин </w:t>
      </w:r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Kärcher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», офісні приміщення);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Мийка самообслуговування «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Kärcher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  <w:shd w:val="clear" w:color="auto" w:fill="FFFFFF"/>
        </w:rPr>
        <w:t>»;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Інтелект-центр (бухгалтерські послуги);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Fitnessstudio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Hladkov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dental studio,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стоматологія</w:t>
      </w:r>
      <w:proofErr w:type="spellEnd"/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Перукарня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KonsaltSG</w:t>
      </w:r>
      <w:proofErr w:type="spellEnd"/>
      <w:r>
        <w:rPr>
          <w:rFonts w:ascii="Times New Roman" w:hAnsi="Times New Roman" w:cs="Times New Roman"/>
          <w:sz w:val="28"/>
          <w:szCs w:val="28"/>
        </w:rPr>
        <w:t>, юридична компанія, адвокат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BOMOND beauty center,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центркраси</w:t>
      </w:r>
      <w:proofErr w:type="spellEnd"/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Лакмус – аналіз виявляє діагноз, лабораторія;</w:t>
      </w:r>
    </w:p>
    <w:p w:rsidR="00BF3DA3" w:rsidRDefault="00B078F3">
      <w:pPr>
        <w:pStyle w:val="ac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«ОПОС».</w:t>
      </w:r>
    </w:p>
    <w:p w:rsidR="00BF3DA3" w:rsidRDefault="00B078F3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Дачне</w:t>
      </w:r>
    </w:p>
    <w:p w:rsidR="00BF3DA3" w:rsidRDefault="00B078F3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Парафіяльна громада Свято-Михайлівський храм УПЦ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F3DA3" w:rsidRDefault="00B078F3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Приміщення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не діючий );</w:t>
      </w:r>
    </w:p>
    <w:p w:rsidR="00BF3DA3" w:rsidRDefault="00B078F3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Приватний пансіонат для людей похилого віку «Ти не один»;</w:t>
      </w:r>
    </w:p>
    <w:p w:rsidR="00BF3DA3" w:rsidRDefault="00B078F3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Дитячий оздоровчий табір "Світанок", що належить Волинській обласній організації профспілки працівників державних установ;</w:t>
      </w:r>
    </w:p>
    <w:p w:rsidR="00BF3DA3" w:rsidRDefault="00B078F3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Спортивно-тренувальний комплекс, що належить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товариству з обмеженою відповідальністю «Біла акація»;</w:t>
      </w:r>
    </w:p>
    <w:p w:rsidR="00BF3DA3" w:rsidRDefault="00B078F3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Кафе-магазин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„Дача”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F3DA3" w:rsidRDefault="00B078F3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„Крамниця”</w:t>
      </w:r>
      <w:proofErr w:type="spellEnd"/>
      <w:r>
        <w:rPr>
          <w:rFonts w:ascii="Times New Roman" w:hAnsi="Times New Roman" w:cs="Times New Roman"/>
          <w:sz w:val="28"/>
          <w:szCs w:val="28"/>
        </w:rPr>
        <w:t>, Сільське споживче товариство;</w:t>
      </w:r>
    </w:p>
    <w:p w:rsidR="00BF3DA3" w:rsidRDefault="00B078F3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„Лілія”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F3DA3" w:rsidRDefault="00B078F3">
      <w:pPr>
        <w:pStyle w:val="ac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«Нафтова компанія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Аветра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F3DA3" w:rsidRDefault="00B078F3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Жабка</w:t>
      </w:r>
    </w:p>
    <w:p w:rsidR="00BF3DA3" w:rsidRDefault="00B078F3">
      <w:pPr>
        <w:pStyle w:val="ac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Свято-Юріївська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релігійна громада УПЦ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F3DA3" w:rsidRDefault="00B078F3">
      <w:pPr>
        <w:pStyle w:val="ac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Санаторій для дітей з батьками «Дачний», що належить Волинському обласному дитячому територіально-медичному об’єднанню;</w:t>
      </w:r>
    </w:p>
    <w:p w:rsidR="00BF3DA3" w:rsidRDefault="00B078F3">
      <w:pPr>
        <w:pStyle w:val="ac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Магазин, Сільське споживче товариство</w:t>
      </w:r>
    </w:p>
    <w:p w:rsidR="00BF3DA3" w:rsidRDefault="00B078F3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 Сапогове:</w:t>
      </w:r>
    </w:p>
    <w:p w:rsidR="00BF3DA3" w:rsidRDefault="00B078F3">
      <w:pPr>
        <w:pStyle w:val="ac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Релігійна Громада Святих Жінок Мироносиць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УПЦ МП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3DA3" w:rsidRDefault="00B078F3">
      <w:pPr>
        <w:pStyle w:val="ac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Приміщення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(не діючий, використовується як виборча дільниця).</w:t>
      </w:r>
    </w:p>
    <w:p w:rsidR="00BF3DA3" w:rsidRDefault="00BF3D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F3DA3" w:rsidRDefault="00B078F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 період роботи з 01.01.2025 до 31.12.2025 старостою було:</w:t>
      </w:r>
    </w:p>
    <w:p w:rsidR="00BF3DA3" w:rsidRDefault="00B078F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Звернень громадян – 266 (з них письмових – 100, через ЦНАП – 3);</w:t>
      </w:r>
    </w:p>
    <w:p w:rsidR="00BF3DA3" w:rsidRDefault="00B078F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</w:rPr>
        <w:t>За результатами розгляду було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BF3DA3" w:rsidRDefault="00B078F3">
      <w:pPr>
        <w:pStyle w:val="ac"/>
        <w:numPr>
          <w:ilvl w:val="1"/>
          <w:numId w:val="5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надано консультацій </w:t>
      </w:r>
      <w:r>
        <w:rPr>
          <w:rFonts w:ascii="Times New Roman" w:hAnsi="Times New Roman" w:cs="Times New Roman"/>
          <w:sz w:val="28"/>
          <w:szCs w:val="28"/>
        </w:rPr>
        <w:t>з різного роду питань (прийняття спадщини, приватизація земельних ділянок, оформлення права власності, реєстрація та зняття з реєстрації місця проживання, зняття нарахувань на вивіз сміття)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166;</w:t>
      </w:r>
    </w:p>
    <w:p w:rsidR="00BF3DA3" w:rsidRDefault="00B078F3">
      <w:pPr>
        <w:pStyle w:val="ac"/>
        <w:numPr>
          <w:ilvl w:val="1"/>
          <w:numId w:val="5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идано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виписок та характеристик – 69;</w:t>
      </w:r>
    </w:p>
    <w:p w:rsidR="00BF3DA3" w:rsidRDefault="00B078F3">
      <w:pPr>
        <w:pStyle w:val="ac"/>
        <w:numPr>
          <w:ilvl w:val="1"/>
          <w:numId w:val="5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идано актів обстеження – 40;</w:t>
      </w:r>
    </w:p>
    <w:p w:rsidR="00BF3DA3" w:rsidRDefault="00B078F3">
      <w:pPr>
        <w:pStyle w:val="ac"/>
        <w:numPr>
          <w:ilvl w:val="1"/>
          <w:numId w:val="5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eastAsia="uk-UA"/>
        </w:rPr>
        <w:t>идано довіреностей</w:t>
      </w:r>
      <w:r>
        <w:rPr>
          <w:rFonts w:ascii="Times New Roman" w:hAnsi="Times New Roman" w:cs="Times New Roman"/>
          <w:sz w:val="28"/>
          <w:szCs w:val="28"/>
        </w:rPr>
        <w:t>, прирівняних до нотаріально посвідчених – 4;</w:t>
      </w:r>
    </w:p>
    <w:p w:rsidR="00BF3DA3" w:rsidRDefault="00B078F3">
      <w:pPr>
        <w:pStyle w:val="ac"/>
        <w:numPr>
          <w:ilvl w:val="1"/>
          <w:numId w:val="5"/>
        </w:num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вчинено нотаріальних дій – 4.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Опрацьовано документів, що надійшло до старостинського округу (внутрішніх/вхідних) – 318.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Підготовлено проєктів внутрішніх чи вихідних листів – 129.</w:t>
      </w:r>
    </w:p>
    <w:p w:rsidR="00BF3DA3" w:rsidRDefault="00B078F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Отримано л</w:t>
      </w:r>
      <w:r>
        <w:rPr>
          <w:rFonts w:ascii="Times New Roman" w:hAnsi="Times New Roman" w:cs="Times New Roman"/>
          <w:sz w:val="28"/>
          <w:szCs w:val="28"/>
        </w:rPr>
        <w:t>истів від органів нотаріату та надано відповідей – 3;</w:t>
      </w:r>
    </w:p>
    <w:p w:rsidR="00BF3DA3" w:rsidRDefault="00B078F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Подано статистичні звіти й таблиці з усіх основних видів діяльності (на вимогу).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Брав участь у засіданнях виконавчого комітету міської ради.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Брав участь в засіданнях робочих груп.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Брав участь у складі комісій:</w:t>
      </w:r>
    </w:p>
    <w:p w:rsidR="00BF3DA3" w:rsidRDefault="00B078F3">
      <w:pPr>
        <w:pStyle w:val="ac"/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комісія з обстеження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фактичного місця проживання (фактичного місця реєстрації) особи;</w:t>
      </w:r>
    </w:p>
    <w:p w:rsidR="00BF3DA3" w:rsidRDefault="00B078F3">
      <w:pPr>
        <w:pStyle w:val="ac"/>
        <w:numPr>
          <w:ilvl w:val="1"/>
          <w:numId w:val="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комісія з обстеження житлово-побутових умов проживання особи, тощо.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Брав участь в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онлайн-навчаннях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Брав участь у здійсненні контролю за використанням об’єктів комунальної власності, розташованих на території відповідного старостинського округу:</w:t>
      </w:r>
    </w:p>
    <w:p w:rsidR="00BF3DA3" w:rsidRDefault="00B078F3">
      <w:pPr>
        <w:pStyle w:val="ac"/>
        <w:numPr>
          <w:ilvl w:val="1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стану комунальних закладів, які втратили функціональне призначення;</w:t>
      </w:r>
    </w:p>
    <w:p w:rsidR="00BF3DA3" w:rsidRDefault="00B078F3">
      <w:pPr>
        <w:pStyle w:val="ac"/>
        <w:numPr>
          <w:ilvl w:val="1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стану доріг (загальна протяжність доріг в громаді – 34,6 км);</w:t>
      </w:r>
    </w:p>
    <w:p w:rsidR="00BF3DA3" w:rsidRDefault="00B078F3">
      <w:pPr>
        <w:pStyle w:val="ac"/>
        <w:numPr>
          <w:ilvl w:val="1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об’їзд та обстеження стану дорожніх знаків, вказівників, обмежувачів руху;</w:t>
      </w:r>
    </w:p>
    <w:p w:rsidR="00BF3DA3" w:rsidRDefault="00B078F3">
      <w:pPr>
        <w:pStyle w:val="ac"/>
        <w:numPr>
          <w:ilvl w:val="1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кладовищ (кількість кладовищ в громаді – 3);</w:t>
      </w:r>
    </w:p>
    <w:p w:rsidR="00BF3DA3" w:rsidRDefault="00B078F3">
      <w:pPr>
        <w:pStyle w:val="ac"/>
        <w:numPr>
          <w:ilvl w:val="1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території комунальної власності для визначення площі косіння;</w:t>
      </w:r>
    </w:p>
    <w:p w:rsidR="00BF3DA3" w:rsidRDefault="00B078F3">
      <w:pPr>
        <w:pStyle w:val="ac"/>
        <w:numPr>
          <w:ilvl w:val="1"/>
          <w:numId w:val="11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об’їзд та обстеження наявності та стану майданчиків для контейнерів роздільного збору ТПВ.</w:t>
      </w:r>
    </w:p>
    <w:p w:rsidR="00BF3DA3" w:rsidRDefault="00BF3D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Cs w:val="28"/>
          <w:lang w:eastAsia="uk-UA"/>
        </w:rPr>
      </w:pP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Брав участь у здійсненні контролю за станом благоустрою Прилуцького старостинського округу. За заявкою старости виконавцями робіт будо проведено:</w:t>
      </w:r>
    </w:p>
    <w:p w:rsidR="00BF3DA3" w:rsidRDefault="00B078F3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заміна ліхтарів та ламп у ліхтарях у мережі вуличного освітлення;</w:t>
      </w:r>
    </w:p>
    <w:p w:rsidR="00BF3DA3" w:rsidRDefault="00B078F3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ґрейдерування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та підсипання доріг;</w:t>
      </w:r>
    </w:p>
    <w:p w:rsidR="00BF3DA3" w:rsidRPr="00B078F3" w:rsidRDefault="00B078F3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здійснено поточний ремонт дороги на</w:t>
      </w:r>
      <w:r>
        <w:rPr>
          <w:rFonts w:ascii="Times New Roman" w:hAnsi="Times New Roman" w:cs="Times New Roman"/>
          <w:sz w:val="28"/>
          <w:szCs w:val="28"/>
        </w:rPr>
        <w:t xml:space="preserve"> вулиці Молодіжній в с. Прилуцьке, на вулиці Козацька у с. Жабка, </w:t>
      </w:r>
      <w:r w:rsidRPr="00B078F3">
        <w:rPr>
          <w:rFonts w:ascii="Times New Roman" w:hAnsi="Times New Roman" w:cs="Times New Roman"/>
          <w:sz w:val="28"/>
          <w:szCs w:val="28"/>
        </w:rPr>
        <w:t>частини вул. І.Франка в с. Дачне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078F3"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 w:rsidRPr="00B078F3">
        <w:rPr>
          <w:rFonts w:ascii="Times New Roman" w:hAnsi="Times New Roman" w:cs="Times New Roman"/>
          <w:sz w:val="28"/>
          <w:szCs w:val="28"/>
        </w:rPr>
        <w:t>ґрейдерування</w:t>
      </w:r>
      <w:proofErr w:type="spellEnd"/>
      <w:r w:rsidRPr="00B078F3">
        <w:rPr>
          <w:rFonts w:ascii="Times New Roman" w:hAnsi="Times New Roman" w:cs="Times New Roman"/>
          <w:sz w:val="28"/>
          <w:szCs w:val="28"/>
        </w:rPr>
        <w:t xml:space="preserve"> вул. Лісна у с. Прилуцьке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078F3">
        <w:rPr>
          <w:rFonts w:ascii="Times New Roman" w:hAnsi="Times New Roman" w:cs="Times New Roman"/>
          <w:sz w:val="28"/>
          <w:szCs w:val="28"/>
        </w:rPr>
        <w:t>частини вул. Л.Українки в с. Сапогове.</w:t>
      </w:r>
    </w:p>
    <w:p w:rsidR="00BF3DA3" w:rsidRDefault="00B078F3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розчистка снігу на комунальних дорогах;</w:t>
      </w:r>
    </w:p>
    <w:p w:rsidR="00B078F3" w:rsidRPr="00B078F3" w:rsidRDefault="00B078F3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078F3">
        <w:rPr>
          <w:rFonts w:ascii="Times New Roman" w:hAnsi="Times New Roman" w:cs="Times New Roman"/>
          <w:sz w:val="28"/>
          <w:szCs w:val="28"/>
        </w:rPr>
        <w:t>проведено ремонт огорожі біля пам'ятного знаку загиблим односельчанам, які були розстріляні в Луцькій тюрмі у 1941 році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3DA3" w:rsidRDefault="00B078F3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організація </w:t>
      </w:r>
      <w:r>
        <w:rPr>
          <w:rFonts w:ascii="Times New Roman" w:hAnsi="Times New Roman" w:cs="Times New Roman"/>
          <w:sz w:val="28"/>
          <w:szCs w:val="28"/>
        </w:rPr>
        <w:t>роботи з населенням щодо укладення договорів для надання послуг з вивезення твердих побутових відходів;</w:t>
      </w:r>
    </w:p>
    <w:p w:rsidR="00BF3DA3" w:rsidRDefault="00B078F3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співпраця з представниками правоохоронних органів, служби безпеки щодо забезпечення громадського порядку на території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старостинського округу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BF3DA3" w:rsidRDefault="00B078F3">
      <w:pPr>
        <w:pStyle w:val="ac"/>
        <w:numPr>
          <w:ilvl w:val="1"/>
          <w:numId w:val="12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облік раціонального використання енергоносіїв на території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старостинського округу.</w:t>
      </w:r>
    </w:p>
    <w:p w:rsidR="00BF3DA3" w:rsidRDefault="00BF3D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Участь в організації виконання рішень міської ради, її виконавчого комітету, розпоряджень міського голови на території старостинського округу та у здійсненні контролю за їх виконанням.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Сприяння жителям старостинського округу у підготовці документів, що подаються до органів місцевого самоврядування та місцевих органів виконавчої влади, а також у поданні відповідних документів до зазначених органів. 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Контроль за станом державних символів на території громади.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Співпраця з структурними підрозділами виконавчого комітету Луцької міської ради. </w:t>
      </w:r>
    </w:p>
    <w:p w:rsidR="00BF3DA3" w:rsidRDefault="00B078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роботу, спрямовану на захист населення та підтримку життєдіяльності громади в умовах воєнного стану, про допомогу ЗСУ:</w:t>
      </w:r>
    </w:p>
    <w:p w:rsidR="00BF3DA3" w:rsidRDefault="00B078F3">
      <w:pPr>
        <w:pStyle w:val="ac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базі Прилуцької гімназії на постійній основі силами педагогів, учнів, батьків та жителями громади плетуться маскувальні сітки, виготовляються окопні свічки, формуються продуктові набори з сухофруктів.</w:t>
      </w:r>
    </w:p>
    <w:p w:rsidR="00BF3DA3" w:rsidRDefault="00B078F3">
      <w:pPr>
        <w:pStyle w:val="ac"/>
        <w:numPr>
          <w:ilvl w:val="1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робота з гуманітарною допомогою в старостаті (одяг, продукти харчування на ЗСУ, тощо);</w:t>
      </w:r>
    </w:p>
    <w:p w:rsidR="00BF3DA3" w:rsidRDefault="00B078F3">
      <w:pPr>
        <w:pStyle w:val="ac"/>
        <w:numPr>
          <w:ilvl w:val="1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продовжено та вдосконалено роботу «Пункту незламності» на базі приміщення Прилуцького старостинського округу у разі порушення належних умов життєдіяльності;</w:t>
      </w:r>
    </w:p>
    <w:p w:rsidR="00BF3DA3" w:rsidRDefault="00BF3D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Cs w:val="28"/>
          <w:lang w:eastAsia="uk-UA"/>
        </w:rPr>
      </w:pPr>
    </w:p>
    <w:p w:rsidR="00BF3DA3" w:rsidRDefault="00B078F3">
      <w:pPr>
        <w:tabs>
          <w:tab w:val="left" w:pos="695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2025 році на території старостинського округу продовжено роботу щодо ведення погосподарського обліку на території сільських населених пунктів шляхом проведення обходу,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перезакладення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погосподарського обліку та наповненням відомостями програми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“Місцевий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 об'єктів погосподарського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обліку”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(проведено збір/уточнення інформації щодо об’єктів ПГО, внесено в книги ПГО домогосподарства по селах Сапогове, Жабка, Дачне, продовжено внесення в книги по селі Прилуцьке, наповнюється актуальною інформацією програму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“Місцевий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 об’єктів погосподарського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обліку”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внесено 2073 об’єкти ПГО станом на 31.12.2025). По 868 об’єктам ПГО було здійснено перенесення відомостей до книг та електронного реєстру ПГО уже зібраних та внесених відомостей у 2022-2024 роках. </w:t>
      </w:r>
    </w:p>
    <w:p w:rsidR="00686DFC" w:rsidRPr="00686DFC" w:rsidRDefault="00686DFC" w:rsidP="00686DFC">
      <w:pPr>
        <w:tabs>
          <w:tab w:val="left" w:pos="6954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86DFC">
        <w:rPr>
          <w:rFonts w:ascii="Times New Roman" w:hAnsi="Times New Roman" w:cs="Times New Roman"/>
          <w:sz w:val="28"/>
          <w:szCs w:val="28"/>
        </w:rPr>
        <w:t>Надається допомога департаменту містобудування, земельних ресурсів та реклами у присвоєнні та впорядкуванні поштових адрес об'єктам будівництва та об'єктам нерухомого майна та</w:t>
      </w:r>
      <w:r w:rsidRPr="00686DF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інформація відділу ведення державного реєстру виборців про наявність адресних об'єктів. </w:t>
      </w:r>
    </w:p>
    <w:p w:rsidR="00686DFC" w:rsidRPr="00686DFC" w:rsidRDefault="00686DFC" w:rsidP="00686DFC">
      <w:pPr>
        <w:tabs>
          <w:tab w:val="left" w:pos="695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DFC">
        <w:rPr>
          <w:rFonts w:ascii="Times New Roman" w:hAnsi="Times New Roman" w:cs="Times New Roman"/>
          <w:sz w:val="28"/>
        </w:rPr>
        <w:t>Окрім того, з метою наповнення адресного реєстру Луцької міської територіальної громади опрацьовуються картографічні матеріали з нанесенням на них поштових адрес по населених пунктах округів.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Сприяв виданню книги місцевого краєзнавця Кирилюка О.С. «Прилуцькі озера». Ця книга є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історико-краєзнавчим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дослідженням про роль місцевих озер у житті селян. На жаль на цей час рівень ґрунтових вод опустився і озера висохли.</w:t>
      </w:r>
    </w:p>
    <w:p w:rsidR="00BF3DA3" w:rsidRDefault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Виконував обов’язки тимчасово відсутнього старости іншого старостинського округу.</w:t>
      </w:r>
    </w:p>
    <w:p w:rsidR="00B078F3" w:rsidRDefault="00B078F3" w:rsidP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Надавав пропозиції до Програми соціально-економічного розвитку та до проекту бюджету Луцької міської територіальної громади на 2025 рік в частині фінансування програм, що реалізуються на території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Прилуц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старостинського округу. Постійно аналізую потреби мешканців громади на основі особистих звернень, опитувань та консультацій у телефонному режимі. Відповідно можна виділити основні питання та потреби,які турбують жителів старостату:</w:t>
      </w:r>
    </w:p>
    <w:p w:rsidR="00B078F3" w:rsidRDefault="00B078F3" w:rsidP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отримання соціальних пільг ВПО та малозабезпеченими верствами населення;</w:t>
      </w:r>
    </w:p>
    <w:p w:rsidR="00B078F3" w:rsidRDefault="00B078F3" w:rsidP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зростання кількості безпритульних тварин;</w:t>
      </w:r>
    </w:p>
    <w:p w:rsidR="00B078F3" w:rsidRDefault="00B078F3" w:rsidP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проведення поточних ремонтів доріг;</w:t>
      </w:r>
    </w:p>
    <w:p w:rsidR="00B078F3" w:rsidRDefault="00B078F3" w:rsidP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допомога воїнам-землякам, які служать у ЗСУ;</w:t>
      </w:r>
    </w:p>
    <w:p w:rsidR="00B078F3" w:rsidRDefault="00B078F3" w:rsidP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- благоустрій кладовищ (кількість кладовищ у громаді — 3);</w:t>
      </w:r>
    </w:p>
    <w:p w:rsidR="00B078F3" w:rsidRDefault="00B078F3" w:rsidP="00B078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 попередження дорожньо-транспортних пригод, шляхом облаштування примусових засобів та встановлення дорожніх знаків, тощо.</w:t>
      </w:r>
    </w:p>
    <w:p w:rsidR="00BF3DA3" w:rsidRDefault="00B078F3">
      <w:pPr>
        <w:tabs>
          <w:tab w:val="left" w:pos="695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Ремонту потребує актова зала Будинку культури в с. Прилуцьке, який є єдиним приміщенням на території </w:t>
      </w:r>
      <w:r>
        <w:rPr>
          <w:rFonts w:ascii="Times New Roman" w:hAnsi="Times New Roman" w:cs="Times New Roman"/>
          <w:sz w:val="28"/>
          <w:szCs w:val="28"/>
          <w:lang w:eastAsia="uk-UA"/>
        </w:rPr>
        <w:t>Прилуцького старостинського округу</w:t>
      </w:r>
      <w:r>
        <w:rPr>
          <w:rFonts w:ascii="Times New Roman" w:hAnsi="Times New Roman" w:cs="Times New Roman"/>
          <w:sz w:val="28"/>
          <w:szCs w:val="28"/>
        </w:rPr>
        <w:t xml:space="preserve"> у якому можна проводити масові заходи. Є потреба у продовженні поточних ремонтів доріг населених пунктів старостату асфальтовим покриттям. Це питання є важливим для жителів населених пунктів Сапогове та Жабка, оскільки п</w:t>
      </w:r>
      <w:r>
        <w:rPr>
          <w:rFonts w:ascii="Times New Roman" w:hAnsi="Times New Roman" w:cs="Times New Roman"/>
          <w:sz w:val="28"/>
          <w:szCs w:val="28"/>
          <w:lang w:eastAsia="uk-UA"/>
        </w:rPr>
        <w:t>ов’язане</w:t>
      </w:r>
      <w:r>
        <w:rPr>
          <w:rFonts w:ascii="Times New Roman" w:hAnsi="Times New Roman" w:cs="Times New Roman"/>
          <w:sz w:val="28"/>
          <w:szCs w:val="28"/>
        </w:rPr>
        <w:t xml:space="preserve"> з регулярним курсуванням автобуса по маршруту № 19. </w:t>
      </w:r>
    </w:p>
    <w:p w:rsidR="00BF3DA3" w:rsidRDefault="00BF3D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F3DA3" w:rsidRDefault="00BF3D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F3DA3" w:rsidRDefault="00B078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Староста</w:t>
      </w:r>
    </w:p>
    <w:p w:rsidR="00BF3DA3" w:rsidRDefault="00B078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Прилуцького старостинського округу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СУЩУК</w:t>
      </w:r>
    </w:p>
    <w:p w:rsidR="00BF3DA3" w:rsidRDefault="00BF3DA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F3DA3" w:rsidSect="008528F6">
      <w:headerReference w:type="default" r:id="rId7"/>
      <w:pgSz w:w="11906" w:h="16838"/>
      <w:pgMar w:top="956" w:right="567" w:bottom="1560" w:left="1701" w:header="426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8F6" w:rsidRDefault="008528F6" w:rsidP="008528F6">
      <w:pPr>
        <w:spacing w:after="0" w:line="240" w:lineRule="auto"/>
      </w:pPr>
      <w:r>
        <w:separator/>
      </w:r>
    </w:p>
  </w:endnote>
  <w:endnote w:type="continuationSeparator" w:id="1">
    <w:p w:rsidR="008528F6" w:rsidRDefault="008528F6" w:rsidP="0085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8F6" w:rsidRDefault="008528F6" w:rsidP="008528F6">
      <w:pPr>
        <w:spacing w:after="0" w:line="240" w:lineRule="auto"/>
      </w:pPr>
      <w:r>
        <w:separator/>
      </w:r>
    </w:p>
  </w:footnote>
  <w:footnote w:type="continuationSeparator" w:id="1">
    <w:p w:rsidR="008528F6" w:rsidRDefault="008528F6" w:rsidP="0085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2127063"/>
      <w:docPartObj>
        <w:docPartGallery w:val="Page Numbers (Top of Page)"/>
        <w:docPartUnique/>
      </w:docPartObj>
    </w:sdtPr>
    <w:sdtContent>
      <w:p w:rsidR="008528F6" w:rsidRPr="008528F6" w:rsidRDefault="0067530C" w:rsidP="008528F6">
        <w:pPr>
          <w:pStyle w:val="ae"/>
          <w:jc w:val="right"/>
        </w:pPr>
        <w:fldSimple w:instr=" PAGE   \* MERGEFORMAT ">
          <w:r w:rsidR="001D1121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7C95"/>
    <w:multiLevelType w:val="multilevel"/>
    <w:tmpl w:val="4720EEF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7C3558D"/>
    <w:multiLevelType w:val="multilevel"/>
    <w:tmpl w:val="A2DA0EF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1DCD0B7F"/>
    <w:multiLevelType w:val="multilevel"/>
    <w:tmpl w:val="691272C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37642"/>
    <w:multiLevelType w:val="multilevel"/>
    <w:tmpl w:val="29B42F3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193125A"/>
    <w:multiLevelType w:val="multilevel"/>
    <w:tmpl w:val="597423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DE0F65"/>
    <w:multiLevelType w:val="multilevel"/>
    <w:tmpl w:val="B1FE12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>
    <w:nsid w:val="42CF3DB3"/>
    <w:multiLevelType w:val="multilevel"/>
    <w:tmpl w:val="6AE8C65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8F6C7B"/>
    <w:multiLevelType w:val="multilevel"/>
    <w:tmpl w:val="D69480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>
    <w:nsid w:val="54591F2E"/>
    <w:multiLevelType w:val="multilevel"/>
    <w:tmpl w:val="C004D46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54700340"/>
    <w:multiLevelType w:val="multilevel"/>
    <w:tmpl w:val="9A88CC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5E5C397F"/>
    <w:multiLevelType w:val="multilevel"/>
    <w:tmpl w:val="F1029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717F5FF1"/>
    <w:multiLevelType w:val="multilevel"/>
    <w:tmpl w:val="D4BCD6E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757730CD"/>
    <w:multiLevelType w:val="multilevel"/>
    <w:tmpl w:val="E3F8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782A2C8D"/>
    <w:multiLevelType w:val="multilevel"/>
    <w:tmpl w:val="90F6B41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11"/>
  </w:num>
  <w:num w:numId="7">
    <w:abstractNumId w:val="1"/>
  </w:num>
  <w:num w:numId="8">
    <w:abstractNumId w:val="13"/>
  </w:num>
  <w:num w:numId="9">
    <w:abstractNumId w:val="7"/>
  </w:num>
  <w:num w:numId="10">
    <w:abstractNumId w:val="5"/>
  </w:num>
  <w:num w:numId="11">
    <w:abstractNumId w:val="2"/>
  </w:num>
  <w:num w:numId="12">
    <w:abstractNumId w:val="6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DA3"/>
    <w:rsid w:val="001D1121"/>
    <w:rsid w:val="0067530C"/>
    <w:rsid w:val="00686DFC"/>
    <w:rsid w:val="007049AC"/>
    <w:rsid w:val="008528F6"/>
    <w:rsid w:val="009D3D6E"/>
    <w:rsid w:val="00B078F3"/>
    <w:rsid w:val="00BF3DA3"/>
    <w:rsid w:val="00D9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4F14C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A2591F"/>
    <w:rPr>
      <w:b/>
      <w:bCs/>
    </w:rPr>
  </w:style>
  <w:style w:type="character" w:customStyle="1" w:styleId="20">
    <w:name w:val="Основний текст (2)_"/>
    <w:link w:val="21"/>
    <w:qFormat/>
    <w:rsid w:val="002F0359"/>
    <w:rPr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45DF9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Heading2"/>
    <w:uiPriority w:val="9"/>
    <w:qFormat/>
    <w:rsid w:val="004F14C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6">
    <w:name w:val="Emphasis"/>
    <w:basedOn w:val="a0"/>
    <w:uiPriority w:val="20"/>
    <w:qFormat/>
    <w:rsid w:val="004F14C7"/>
    <w:rPr>
      <w:i/>
      <w:iCs/>
    </w:rPr>
  </w:style>
  <w:style w:type="paragraph" w:customStyle="1" w:styleId="a7">
    <w:name w:val="Заголовок"/>
    <w:basedOn w:val="a"/>
    <w:next w:val="a8"/>
    <w:qFormat/>
    <w:rsid w:val="00E12E1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E12E14"/>
    <w:pPr>
      <w:spacing w:after="140" w:line="276" w:lineRule="auto"/>
    </w:pPr>
  </w:style>
  <w:style w:type="paragraph" w:styleId="a9">
    <w:name w:val="List"/>
    <w:basedOn w:val="a8"/>
    <w:rsid w:val="00E12E14"/>
    <w:rPr>
      <w:rFonts w:cs="Arial"/>
    </w:rPr>
  </w:style>
  <w:style w:type="paragraph" w:customStyle="1" w:styleId="Caption">
    <w:name w:val="Caption"/>
    <w:basedOn w:val="a"/>
    <w:qFormat/>
    <w:rsid w:val="00E12E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E12E14"/>
    <w:pPr>
      <w:suppressLineNumbers/>
    </w:pPr>
    <w:rPr>
      <w:rFonts w:cs="Arial"/>
    </w:rPr>
  </w:style>
  <w:style w:type="paragraph" w:styleId="ab">
    <w:name w:val="Normal (Web)"/>
    <w:basedOn w:val="a"/>
    <w:uiPriority w:val="99"/>
    <w:semiHidden/>
    <w:unhideWhenUsed/>
    <w:qFormat/>
    <w:rsid w:val="00A259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0D7469"/>
    <w:pPr>
      <w:ind w:left="720"/>
      <w:contextualSpacing/>
    </w:pPr>
  </w:style>
  <w:style w:type="paragraph" w:customStyle="1" w:styleId="21">
    <w:name w:val="Основний текст (2)"/>
    <w:basedOn w:val="a"/>
    <w:link w:val="20"/>
    <w:qFormat/>
    <w:rsid w:val="002F0359"/>
    <w:pPr>
      <w:shd w:val="clear" w:color="auto" w:fill="FFFFFF"/>
      <w:spacing w:before="420" w:after="240" w:line="281" w:lineRule="exact"/>
    </w:pPr>
  </w:style>
  <w:style w:type="paragraph" w:styleId="a5">
    <w:name w:val="Balloon Text"/>
    <w:basedOn w:val="a"/>
    <w:link w:val="a4"/>
    <w:uiPriority w:val="99"/>
    <w:semiHidden/>
    <w:unhideWhenUsed/>
    <w:qFormat/>
    <w:rsid w:val="00445DF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481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8528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528F6"/>
  </w:style>
  <w:style w:type="paragraph" w:styleId="af0">
    <w:name w:val="footer"/>
    <w:basedOn w:val="a"/>
    <w:link w:val="af1"/>
    <w:uiPriority w:val="99"/>
    <w:semiHidden/>
    <w:unhideWhenUsed/>
    <w:rsid w:val="008528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528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6792</Words>
  <Characters>3873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galyna</cp:lastModifiedBy>
  <cp:revision>2</cp:revision>
  <cp:lastPrinted>2024-02-02T10:53:00Z</cp:lastPrinted>
  <dcterms:created xsi:type="dcterms:W3CDTF">2026-03-04T08:01:00Z</dcterms:created>
  <dcterms:modified xsi:type="dcterms:W3CDTF">2026-03-04T08:01:00Z</dcterms:modified>
  <dc:language>uk-UA</dc:language>
</cp:coreProperties>
</file>