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center"/>
        <w:rPr>
          <w:b/>
          <w:b/>
          <w:bCs/>
        </w:rPr>
      </w:pPr>
      <w:r>
        <w:rPr>
          <w:b/>
          <w:bCs/>
          <w:sz w:val="28"/>
          <w:szCs w:val="28"/>
        </w:rPr>
        <w:t>Інформація про роботу</w:t>
      </w:r>
    </w:p>
    <w:p>
      <w:pPr>
        <w:pStyle w:val="Normal"/>
        <w:bidi w:val="0"/>
        <w:jc w:val="center"/>
        <w:rPr>
          <w:b/>
          <w:b/>
          <w:bCs/>
        </w:rPr>
      </w:pPr>
      <w:r>
        <w:rPr>
          <w:b/>
          <w:bCs/>
          <w:sz w:val="28"/>
          <w:szCs w:val="28"/>
        </w:rPr>
        <w:t>Якубовської Марії Іванівни, старости Боголюбського старостинського округу за 2025 рік</w:t>
      </w:r>
    </w:p>
    <w:p>
      <w:pPr>
        <w:pStyle w:val="Normal"/>
        <w:bidi w:val="0"/>
        <w:jc w:val="center"/>
        <w:rPr>
          <w:rFonts w:ascii="Times New Roman" w:hAnsi="Times New Roman"/>
          <w:b/>
          <w:b/>
          <w:bCs/>
          <w:sz w:val="28"/>
          <w:szCs w:val="28"/>
        </w:rPr>
      </w:pPr>
      <w:r>
        <w:rPr>
          <w:b/>
          <w:bCs/>
          <w:sz w:val="28"/>
          <w:szCs w:val="28"/>
        </w:rPr>
      </w:r>
    </w:p>
    <w:p>
      <w:pPr>
        <w:pStyle w:val="Normal"/>
        <w:bidi w:val="0"/>
        <w:jc w:val="both"/>
        <w:rPr>
          <w:rFonts w:ascii="Times New Roman" w:hAnsi="Times New Roman"/>
          <w:sz w:val="28"/>
          <w:szCs w:val="28"/>
        </w:rPr>
      </w:pPr>
      <w:r>
        <w:rPr>
          <w:sz w:val="28"/>
          <w:szCs w:val="28"/>
        </w:rPr>
        <w:t xml:space="preserve">          </w:t>
      </w:r>
      <w:r>
        <w:rPr>
          <w:sz w:val="28"/>
          <w:szCs w:val="28"/>
        </w:rPr>
        <w:t>У своїй роботі керуюсь Положенням про старосту старостинського округу Луцької міської територіальної громади, затвердженим рішенням міської ради від 27.10.2021 №20/42 ( раніше рішенням міської ради від 17.12.2020 №1/5 “Про затвердження Положення про старосту села, сіл старостинського округу Луцької міської територіальної громади” зі змінами, внесеними рішенням міської ради від 23.06.2021 №13/109), розробленим відповідно до Конституції України, законів України “Про місцеве самоврядування в Україні”, “Про службу в органах місцевого самоврядування в Україні”, інших актів законодавства України та посадовою інструкцією старости старостинського округу.</w:t>
      </w:r>
    </w:p>
    <w:p>
      <w:pPr>
        <w:pStyle w:val="Normal"/>
        <w:bidi w:val="0"/>
        <w:ind w:left="0" w:right="0" w:hanging="0"/>
        <w:jc w:val="both"/>
        <w:rPr/>
      </w:pPr>
      <w:r>
        <w:rPr>
          <w:sz w:val="28"/>
          <w:szCs w:val="28"/>
          <w:lang w:val="uk-UA"/>
        </w:rPr>
        <w:t xml:space="preserve">     </w:t>
      </w:r>
      <w:r>
        <w:rPr>
          <w:sz w:val="28"/>
          <w:szCs w:val="28"/>
          <w:lang w:val="uk-UA"/>
        </w:rPr>
        <w:t xml:space="preserve">Основними напрямками діяльності у звітному періоді були: вирішення соціальних питань жителів  старостату; забезпечення розвитку інфраструктури.  </w:t>
      </w:r>
    </w:p>
    <w:p>
      <w:pPr>
        <w:pStyle w:val="Normal"/>
        <w:bidi w:val="0"/>
        <w:ind w:left="0" w:right="0" w:hanging="0"/>
        <w:jc w:val="both"/>
        <w:rPr/>
      </w:pPr>
      <w:r>
        <w:rPr>
          <w:sz w:val="28"/>
          <w:szCs w:val="28"/>
          <w:lang w:val="uk-UA"/>
        </w:rPr>
        <w:t xml:space="preserve">   </w:t>
      </w:r>
      <w:r>
        <w:rPr>
          <w:sz w:val="28"/>
          <w:szCs w:val="28"/>
          <w:lang w:val="uk-UA"/>
        </w:rPr>
        <w:t xml:space="preserve">В приміщенні старостату працює пункт незламності, а також консультаційний пункт з питань цивільного захисту громадян. </w:t>
      </w:r>
    </w:p>
    <w:p>
      <w:pPr>
        <w:pStyle w:val="Normal"/>
        <w:bidi w:val="0"/>
        <w:ind w:left="0" w:right="0" w:hanging="0"/>
        <w:jc w:val="both"/>
        <w:rPr/>
      </w:pPr>
      <w:r>
        <w:rPr>
          <w:sz w:val="28"/>
          <w:szCs w:val="28"/>
          <w:lang w:val="uk-UA"/>
        </w:rPr>
        <w:t xml:space="preserve"> </w:t>
      </w:r>
      <w:r>
        <w:rPr>
          <w:sz w:val="28"/>
          <w:szCs w:val="28"/>
          <w:lang w:val="uk-UA"/>
        </w:rPr>
        <w:t xml:space="preserve">Протягом 2025 року постійно проводилось інформування сільськогосподарських виробників, щодо їх  фінансової підтримки шляхом реалізації заходів Програми розвитку агропромислового розвитку Луцької міської територіальної громади та Комплексної програми розвитку агропромислового розвитку  Волинської області.  </w:t>
      </w:r>
    </w:p>
    <w:p>
      <w:pPr>
        <w:pStyle w:val="Normal"/>
        <w:bidi w:val="0"/>
        <w:ind w:left="0" w:right="0" w:hanging="0"/>
        <w:jc w:val="both"/>
        <w:rPr/>
      </w:pPr>
      <w:r>
        <w:rPr>
          <w:sz w:val="28"/>
          <w:szCs w:val="28"/>
          <w:lang w:val="uk-UA"/>
        </w:rPr>
        <w:t xml:space="preserve">    </w:t>
      </w:r>
      <w:r>
        <w:rPr>
          <w:sz w:val="28"/>
          <w:szCs w:val="28"/>
          <w:lang w:val="uk-UA"/>
        </w:rPr>
        <w:t xml:space="preserve">На території Боголюбського старостинського округу в 2025 році проведено:   </w:t>
      </w:r>
    </w:p>
    <w:p>
      <w:pPr>
        <w:pStyle w:val="Normal"/>
        <w:tabs>
          <w:tab w:val="clear" w:pos="709"/>
          <w:tab w:val="left" w:pos="6954" w:leader="none"/>
        </w:tabs>
        <w:ind w:hanging="57"/>
        <w:jc w:val="both"/>
        <w:rPr>
          <w:sz w:val="28"/>
          <w:szCs w:val="28"/>
        </w:rPr>
      </w:pPr>
      <w:r>
        <w:rPr>
          <w:sz w:val="28"/>
          <w:szCs w:val="28"/>
        </w:rPr>
        <w:t xml:space="preserve">поточний ремонт вулиць Лісова (часткове співфінансування жителів вулиці), Володимирська та Волі в селі Тарасове; поточний ремонт  дороги Боголюби-Богушівка службою місцевих автомобільних доріг; завершено поточний ремонт дороги на вулицях Молодіжна та Набережна  в селі Боголюби;  постійно проводилась заміна  ліхтарів вуличного освітлення по селах старостату,  </w:t>
      </w:r>
      <w:r>
        <w:rPr>
          <w:b/>
          <w:bCs/>
          <w:sz w:val="28"/>
          <w:szCs w:val="28"/>
        </w:rPr>
        <w:t xml:space="preserve"> </w:t>
      </w:r>
      <w:r>
        <w:rPr>
          <w:b w:val="false"/>
          <w:bCs w:val="false"/>
          <w:sz w:val="28"/>
          <w:szCs w:val="28"/>
        </w:rPr>
        <w:t>обкошування кладовищ, скверів, стадіонів,  обочин доріг та території закладів та установ  Боголюбського старостинського округу. На сільському кладовищі в с. Тарасове та старому кладовищі в с. Боголюби встановлено майданчики для збору сміття. Проведено поточний ремонт дитячих спортивних майданчиків в селах Боголюби  і Тарасове.  В селі Боголюби  відкрито студію краси “Квітуча” в орендованому  приміщенні  будинку культури.</w:t>
      </w:r>
      <w:r>
        <w:rPr>
          <w:b w:val="false"/>
          <w:bCs w:val="false"/>
          <w:sz w:val="28"/>
          <w:szCs w:val="28"/>
          <w:lang w:val="uk-UA"/>
        </w:rPr>
        <w:t xml:space="preserve">     </w:t>
      </w:r>
    </w:p>
    <w:p>
      <w:pPr>
        <w:pStyle w:val="Normal"/>
        <w:tabs>
          <w:tab w:val="clear" w:pos="709"/>
          <w:tab w:val="left" w:pos="6954" w:leader="none"/>
        </w:tabs>
        <w:ind w:hanging="57"/>
        <w:jc w:val="both"/>
        <w:rPr/>
      </w:pPr>
      <w:r>
        <w:rPr>
          <w:b w:val="false"/>
          <w:bCs w:val="false"/>
          <w:sz w:val="28"/>
          <w:szCs w:val="28"/>
          <w:lang w:val="uk-UA"/>
        </w:rPr>
        <w:t xml:space="preserve">    </w:t>
      </w:r>
      <w:r>
        <w:rPr>
          <w:b w:val="false"/>
          <w:bCs w:val="false"/>
          <w:sz w:val="28"/>
          <w:szCs w:val="28"/>
          <w:lang w:val="uk-UA"/>
        </w:rPr>
        <w:t xml:space="preserve">У сфері освіти  в КЗ “Боголюбська гімназія №30 Луцької міської ради” було проведено капітальний ремонт котельні, капітальний ремонт гідроізоляції та утеплення стін частини будівлі під укриттям, реконструкція частини території  шкільного подвір’я, висаджено дерева магнолії, сакури  та вздовж огорожі шкільного стадіону — туї.  В 2025 році придбано  сушильну машину для КЗ “Боголюбський заклад дошкільної освіти (ясла-садок) №43 Луцької міської ради” (спонсорська допомога). </w:t>
      </w:r>
    </w:p>
    <w:p>
      <w:pPr>
        <w:pStyle w:val="Normal"/>
        <w:tabs>
          <w:tab w:val="clear" w:pos="709"/>
          <w:tab w:val="left" w:pos="6954" w:leader="none"/>
        </w:tabs>
        <w:ind w:hanging="57"/>
        <w:jc w:val="both"/>
        <w:rPr>
          <w:sz w:val="28"/>
          <w:szCs w:val="28"/>
        </w:rPr>
      </w:pPr>
      <w:r>
        <w:rPr>
          <w:b w:val="false"/>
          <w:bCs w:val="false"/>
          <w:sz w:val="28"/>
          <w:szCs w:val="28"/>
        </w:rPr>
        <w:t xml:space="preserve">      </w:t>
      </w:r>
      <w:r>
        <w:rPr>
          <w:b w:val="false"/>
          <w:bCs w:val="false"/>
          <w:sz w:val="28"/>
          <w:szCs w:val="28"/>
        </w:rPr>
        <w:t>У  сфері культури облаштовано об</w:t>
      </w:r>
      <w:r>
        <w:rPr>
          <w:b w:val="false"/>
          <w:bCs w:val="false"/>
          <w:sz w:val="28"/>
          <w:szCs w:val="28"/>
          <w:lang w:val="uk-UA"/>
        </w:rPr>
        <w:t>мостку  приміщення будинку культури села Боголюби та пандус для доступу осіб з обмеженими можливостями, проведено вкладання бруківки  прибудинкової території будинку культури.</w:t>
      </w:r>
    </w:p>
    <w:p>
      <w:pPr>
        <w:pStyle w:val="Normal"/>
        <w:tabs>
          <w:tab w:val="clear" w:pos="709"/>
          <w:tab w:val="left" w:pos="6954" w:leader="none"/>
        </w:tabs>
        <w:ind w:hanging="57"/>
        <w:jc w:val="both"/>
        <w:rPr>
          <w:sz w:val="28"/>
          <w:szCs w:val="28"/>
        </w:rPr>
      </w:pPr>
      <w:r>
        <w:rPr>
          <w:b w:val="false"/>
          <w:bCs w:val="false"/>
          <w:sz w:val="28"/>
          <w:szCs w:val="28"/>
          <w:lang w:val="uk-UA"/>
        </w:rPr>
        <w:t xml:space="preserve">     </w:t>
      </w:r>
      <w:r>
        <w:rPr>
          <w:b w:val="false"/>
          <w:bCs w:val="false"/>
          <w:sz w:val="28"/>
          <w:szCs w:val="28"/>
          <w:lang w:val="uk-UA"/>
        </w:rPr>
        <w:t>Протягом 2025 року  до старостинського округу надійшло 311  звернень, за результатами розгляду яких  складено  90 актів обстеження;  видано 44 довідки та 11 виписок з погосподарського обліку; вчинено 35 нотаріальних дій, складено і засвідчено 9 довіреностей.</w:t>
      </w:r>
    </w:p>
    <w:p>
      <w:pPr>
        <w:pStyle w:val="Normal"/>
        <w:tabs>
          <w:tab w:val="clear" w:pos="709"/>
          <w:tab w:val="left" w:pos="6954" w:leader="none"/>
        </w:tabs>
        <w:ind w:hanging="57"/>
        <w:jc w:val="both"/>
        <w:rPr>
          <w:sz w:val="28"/>
          <w:szCs w:val="28"/>
        </w:rPr>
      </w:pPr>
      <w:r>
        <w:rPr>
          <w:b w:val="false"/>
          <w:bCs w:val="false"/>
          <w:sz w:val="28"/>
          <w:szCs w:val="28"/>
          <w:lang w:val="uk-UA"/>
        </w:rPr>
        <w:t xml:space="preserve">   </w:t>
      </w:r>
      <w:r>
        <w:rPr>
          <w:b w:val="false"/>
          <w:bCs w:val="false"/>
          <w:sz w:val="28"/>
          <w:szCs w:val="28"/>
          <w:lang w:val="uk-UA"/>
        </w:rPr>
        <w:t>Протягом  2025 року продовжено роботу щодо ведення погосподарського обліку. Станом на 31.12.2025 року наявно 2256 об’єктів ПГО (на 31.12.2024  їх  було 2005).  З метою  наповнення адресного реєстру Луцької міської територіальної громади було опрацьовано картографічні  матеріали та  нанесено на них поштові адреси по  кожному населеному пункту старостату.</w:t>
      </w:r>
      <w:r>
        <w:rPr>
          <w:sz w:val="28"/>
          <w:szCs w:val="28"/>
          <w:lang w:val="uk-UA"/>
        </w:rPr>
        <w:t xml:space="preserve">          </w:t>
      </w:r>
    </w:p>
    <w:p>
      <w:pPr>
        <w:pStyle w:val="NoSpacing"/>
        <w:ind w:left="0" w:right="0" w:hanging="0"/>
        <w:jc w:val="both"/>
        <w:rPr/>
      </w:pPr>
      <w:r>
        <w:rPr>
          <w:sz w:val="28"/>
          <w:szCs w:val="28"/>
          <w:lang w:val="uk-UA"/>
        </w:rPr>
        <w:t xml:space="preserve">            </w:t>
      </w:r>
      <w:r>
        <w:rPr>
          <w:sz w:val="28"/>
          <w:szCs w:val="28"/>
          <w:lang w:val="uk-UA"/>
        </w:rPr>
        <w:t>Брала участь у:</w:t>
      </w:r>
    </w:p>
    <w:p>
      <w:pPr>
        <w:pStyle w:val="NoSpacing"/>
        <w:ind w:left="0" w:right="0" w:hanging="0"/>
        <w:jc w:val="both"/>
        <w:rPr/>
      </w:pPr>
      <w:r>
        <w:rPr>
          <w:sz w:val="28"/>
          <w:szCs w:val="28"/>
          <w:lang w:val="uk-UA"/>
        </w:rPr>
        <w:t>- засіданнях виконавчого комітету міської ради;</w:t>
      </w:r>
    </w:p>
    <w:p>
      <w:pPr>
        <w:pStyle w:val="NoSpacing"/>
        <w:ind w:left="0" w:right="0" w:hanging="0"/>
        <w:jc w:val="both"/>
        <w:rPr/>
      </w:pPr>
      <w:r>
        <w:rPr>
          <w:sz w:val="28"/>
          <w:szCs w:val="28"/>
          <w:lang w:val="uk-UA"/>
        </w:rPr>
        <w:t>- нарадах при міському голові, заступниках міського голови;</w:t>
      </w:r>
    </w:p>
    <w:p>
      <w:pPr>
        <w:pStyle w:val="NoSpacing"/>
        <w:ind w:left="0" w:right="0" w:hanging="0"/>
        <w:jc w:val="both"/>
        <w:rPr/>
      </w:pPr>
      <w:r>
        <w:rPr>
          <w:sz w:val="28"/>
          <w:szCs w:val="28"/>
          <w:lang w:val="uk-UA"/>
        </w:rPr>
        <w:t>- нарадах департаменту ЖКГ;</w:t>
      </w:r>
    </w:p>
    <w:p>
      <w:pPr>
        <w:pStyle w:val="NoSpacing"/>
        <w:ind w:left="0" w:right="0" w:hanging="0"/>
        <w:jc w:val="both"/>
        <w:rPr/>
      </w:pPr>
      <w:r>
        <w:rPr>
          <w:sz w:val="28"/>
          <w:szCs w:val="28"/>
          <w:lang w:val="uk-UA"/>
        </w:rPr>
        <w:t>- з питань АПК;</w:t>
      </w:r>
    </w:p>
    <w:p>
      <w:pPr>
        <w:pStyle w:val="NoSpacing"/>
        <w:ind w:left="0" w:right="0" w:hanging="0"/>
        <w:jc w:val="both"/>
        <w:rPr/>
      </w:pPr>
      <w:r>
        <w:rPr>
          <w:sz w:val="28"/>
          <w:szCs w:val="28"/>
          <w:lang w:val="uk-UA"/>
        </w:rPr>
        <w:t>- виїзних засіданнях по обстеженню доріг комунальної власності на території старостату;</w:t>
      </w:r>
    </w:p>
    <w:p>
      <w:pPr>
        <w:pStyle w:val="NoSpacing"/>
        <w:ind w:left="0" w:right="0" w:hanging="0"/>
        <w:jc w:val="both"/>
        <w:rPr/>
      </w:pPr>
      <w:r>
        <w:rPr>
          <w:sz w:val="28"/>
          <w:szCs w:val="28"/>
          <w:lang w:val="uk-UA"/>
        </w:rPr>
        <w:t>- засіданнях Координаційної ради з питань запобігання та протидії домашньому насильству і насильству за ознакою статі</w:t>
      </w:r>
    </w:p>
    <w:p>
      <w:pPr>
        <w:pStyle w:val="NoSpacing"/>
        <w:ind w:left="0" w:right="0" w:hanging="0"/>
        <w:jc w:val="both"/>
        <w:rPr/>
      </w:pPr>
      <w:r>
        <w:rPr>
          <w:sz w:val="28"/>
          <w:szCs w:val="28"/>
          <w:lang w:val="uk-UA"/>
        </w:rPr>
        <w:t xml:space="preserve">            </w:t>
      </w:r>
      <w:r>
        <w:rPr>
          <w:sz w:val="28"/>
          <w:szCs w:val="28"/>
          <w:lang w:val="uk-UA"/>
        </w:rPr>
        <w:t>Входила у склад комісій:</w:t>
      </w:r>
    </w:p>
    <w:p>
      <w:pPr>
        <w:pStyle w:val="NoSpacing"/>
        <w:ind w:left="0" w:right="0" w:hanging="0"/>
        <w:jc w:val="both"/>
        <w:rPr/>
      </w:pPr>
      <w:r>
        <w:rPr>
          <w:sz w:val="28"/>
          <w:szCs w:val="28"/>
          <w:lang w:val="uk-UA"/>
        </w:rPr>
        <w:t>- з визначення наявності у житловому приміщенні пічного опалення та /або кухонного вогнища на твердому паливі;</w:t>
      </w:r>
    </w:p>
    <w:p>
      <w:pPr>
        <w:pStyle w:val="NoSpacing"/>
        <w:ind w:left="0" w:right="0" w:hanging="0"/>
        <w:jc w:val="both"/>
        <w:rPr/>
      </w:pPr>
      <w:r>
        <w:rPr>
          <w:sz w:val="28"/>
          <w:szCs w:val="28"/>
          <w:lang w:val="uk-UA"/>
        </w:rPr>
        <w:t>- з обстеження фактичного місця проживання (фактичного місця реєстрації) особи;</w:t>
      </w:r>
    </w:p>
    <w:p>
      <w:pPr>
        <w:pStyle w:val="NoSpacing"/>
        <w:ind w:left="0" w:right="0" w:hanging="0"/>
        <w:jc w:val="both"/>
        <w:rPr/>
      </w:pPr>
      <w:r>
        <w:rPr>
          <w:sz w:val="28"/>
          <w:szCs w:val="28"/>
          <w:lang w:val="uk-UA"/>
        </w:rPr>
        <w:t>- з обстеження житлово-побутових умов проживання особи;</w:t>
      </w:r>
    </w:p>
    <w:p>
      <w:pPr>
        <w:pStyle w:val="NoSpacing"/>
        <w:ind w:left="0" w:right="0" w:hanging="0"/>
        <w:jc w:val="both"/>
        <w:rPr/>
      </w:pPr>
      <w:r>
        <w:rPr>
          <w:sz w:val="28"/>
          <w:szCs w:val="28"/>
          <w:lang w:val="uk-UA"/>
        </w:rPr>
        <w:t>- з питань агропромислового розвитку Луцької міської  територіальної громади.</w:t>
      </w:r>
    </w:p>
    <w:p>
      <w:pPr>
        <w:pStyle w:val="NoSpacing"/>
        <w:ind w:left="0" w:right="0" w:hanging="0"/>
        <w:jc w:val="both"/>
        <w:rPr/>
      </w:pPr>
      <w:r>
        <w:rPr>
          <w:sz w:val="28"/>
          <w:szCs w:val="28"/>
          <w:lang w:val="uk-UA"/>
        </w:rPr>
        <w:t xml:space="preserve">    </w:t>
      </w:r>
      <w:r>
        <w:rPr>
          <w:sz w:val="28"/>
          <w:szCs w:val="28"/>
          <w:lang w:val="uk-UA"/>
        </w:rPr>
        <w:t>Брала участь  в онлайн-навчаннях, онлайн- семінарах та отримала  сертифікати :</w:t>
      </w:r>
      <w:r>
        <w:rPr>
          <w:bCs/>
          <w:i w:val="false"/>
          <w:iCs w:val="false"/>
          <w:sz w:val="28"/>
          <w:szCs w:val="28"/>
          <w:u w:val="none"/>
          <w:lang w:val="uk-UA"/>
        </w:rPr>
        <w:t>“Фінансовий контроль як інструмент антикорупційної політики. Електронне декларування”; “Запобігання корупції та забезпечення доброчинності”; “Старости: особливості напрямків їх діяльності та взаємодії з іншими суб’єктами””Загальна адміністративна процедура” “Вчинення нотаріальних дій посадовими особами місцевого самоврядування”;” Співробітництво територіальних громад: шлях до досягнення спільних цілей та акумуляції ресурсів”; “Ефективна допомога постраждалим від сексуального насильства: що змінилось і що змінюється?”</w:t>
      </w:r>
      <w:r>
        <w:rPr>
          <w:i/>
          <w:color w:val="FFFFFF"/>
          <w:sz w:val="28"/>
          <w:szCs w:val="28"/>
          <w:u w:val="none"/>
          <w:lang w:val="uk-UA"/>
        </w:rPr>
        <w:t>кону Україн</w:t>
      </w:r>
    </w:p>
    <w:p>
      <w:pPr>
        <w:pStyle w:val="NoSpacing"/>
        <w:ind w:left="0" w:right="0" w:hanging="0"/>
        <w:jc w:val="both"/>
        <w:rPr/>
      </w:pPr>
      <w:r>
        <w:rPr>
          <w:sz w:val="28"/>
          <w:szCs w:val="28"/>
          <w:lang w:val="uk-UA"/>
        </w:rPr>
        <w:t xml:space="preserve">        </w:t>
      </w:r>
      <w:r>
        <w:rPr>
          <w:sz w:val="28"/>
          <w:szCs w:val="28"/>
          <w:lang w:val="uk-UA"/>
        </w:rPr>
        <w:t xml:space="preserve">Брала участь у тренінгах   ХАБ “ВОНА”        </w:t>
      </w:r>
    </w:p>
    <w:p>
      <w:pPr>
        <w:pStyle w:val="NoSpacing"/>
        <w:ind w:left="0" w:right="0" w:hanging="0"/>
        <w:jc w:val="both"/>
        <w:rPr/>
      </w:pPr>
      <w:r>
        <w:rPr>
          <w:sz w:val="28"/>
          <w:szCs w:val="28"/>
          <w:lang w:val="uk-UA"/>
        </w:rPr>
        <w:t xml:space="preserve">        </w:t>
      </w:r>
      <w:r>
        <w:rPr>
          <w:sz w:val="28"/>
          <w:szCs w:val="28"/>
          <w:lang w:val="uk-UA"/>
        </w:rPr>
        <w:t>Зверталась з письмовими зверненнями:</w:t>
      </w:r>
    </w:p>
    <w:p>
      <w:pPr>
        <w:pStyle w:val="NoSpacing"/>
        <w:ind w:left="0" w:right="0" w:hanging="0"/>
        <w:jc w:val="both"/>
        <w:rPr/>
      </w:pPr>
      <w:r>
        <w:rPr>
          <w:sz w:val="28"/>
          <w:szCs w:val="28"/>
          <w:lang w:val="uk-UA"/>
        </w:rPr>
        <w:t>- до Служби місцевих автомобільних доріг у Волинській області, щодо утримання та ремонту доріг обласного та районного значення;</w:t>
      </w:r>
    </w:p>
    <w:p>
      <w:pPr>
        <w:pStyle w:val="NoSpacing"/>
        <w:ind w:left="0" w:right="0" w:hanging="0"/>
        <w:jc w:val="both"/>
        <w:rPr/>
      </w:pPr>
      <w:r>
        <w:rPr>
          <w:sz w:val="28"/>
          <w:szCs w:val="28"/>
          <w:lang w:val="uk-UA"/>
        </w:rPr>
        <w:t>- у відділ транспорту та зв’язку Луцької міської ради з пропозиціями функціонування  зупинок  громадського транспорту в селах старостинського округу.</w:t>
      </w:r>
    </w:p>
    <w:p>
      <w:pPr>
        <w:pStyle w:val="NoSpacing"/>
        <w:ind w:left="0" w:right="0" w:hanging="0"/>
        <w:jc w:val="both"/>
        <w:rPr/>
      </w:pPr>
      <w:r>
        <w:rPr>
          <w:sz w:val="28"/>
          <w:szCs w:val="28"/>
          <w:lang w:val="uk-UA"/>
        </w:rPr>
        <w:t xml:space="preserve">      </w:t>
      </w:r>
      <w:r>
        <w:rPr>
          <w:sz w:val="28"/>
          <w:szCs w:val="28"/>
          <w:lang w:val="uk-UA"/>
        </w:rPr>
        <w:t>Протягом звітного періоду  виконувала рішення та доручення міської ради, її виконавчого комітету, розпорядження міського голови.</w:t>
      </w:r>
    </w:p>
    <w:p>
      <w:pPr>
        <w:pStyle w:val="NoSpacing"/>
        <w:ind w:left="0" w:right="0" w:hanging="0"/>
        <w:jc w:val="both"/>
        <w:rPr/>
      </w:pPr>
      <w:r>
        <w:rPr>
          <w:sz w:val="28"/>
          <w:szCs w:val="28"/>
          <w:lang w:val="uk-UA"/>
        </w:rPr>
        <w:t xml:space="preserve">      </w:t>
      </w:r>
      <w:r>
        <w:rPr>
          <w:sz w:val="28"/>
          <w:szCs w:val="28"/>
          <w:lang w:val="uk-UA"/>
        </w:rPr>
        <w:t>Неодноразово виконувала обов’язки тимчасово відсутнього старости іншого старостинського округу.</w:t>
      </w:r>
    </w:p>
    <w:p>
      <w:pPr>
        <w:pStyle w:val="NoSpacing"/>
        <w:ind w:left="0" w:right="0" w:hanging="0"/>
        <w:jc w:val="both"/>
        <w:rPr/>
      </w:pPr>
      <w:r>
        <w:rPr>
          <w:sz w:val="28"/>
          <w:szCs w:val="28"/>
          <w:lang w:val="uk-UA"/>
        </w:rPr>
        <w:t xml:space="preserve">      </w:t>
      </w:r>
      <w:r>
        <w:rPr>
          <w:sz w:val="28"/>
          <w:szCs w:val="28"/>
          <w:lang w:val="uk-UA"/>
        </w:rPr>
        <w:t xml:space="preserve">Постійно сприяла жителям старостинського округу у підготовці документів, що подаються до органів місцевого самоврядування та місцевих органів виконавчої влади, а також у поданні відповідних документів до зазначених органів. Покращила  систему комунікації з жителями для кращого розуміння їхніх потреб через відкриття вайбер груп в кожному селі старостату. Постійно проводиться  збір та аналіз проблем мешканців старостату та передача даної інформації для реагування  виконавчими  органами міської ради, Волинською обласною  державною (військовою) адміністрацією, комунальними установами та депутатським корпусом  міської ради.      </w:t>
      </w:r>
    </w:p>
    <w:p>
      <w:pPr>
        <w:pStyle w:val="NoSpacing"/>
        <w:ind w:left="0" w:right="0" w:hanging="0"/>
        <w:jc w:val="both"/>
        <w:rPr/>
      </w:pPr>
      <w:r>
        <w:rPr>
          <w:sz w:val="28"/>
          <w:szCs w:val="28"/>
          <w:lang w:val="uk-UA"/>
        </w:rPr>
        <w:t xml:space="preserve">     </w:t>
      </w:r>
      <w:r>
        <w:rPr>
          <w:sz w:val="28"/>
          <w:szCs w:val="28"/>
          <w:lang w:val="uk-UA"/>
        </w:rPr>
        <w:t>Співпрацюю  із структурними підрозділами виконавчого комітету Луцької міської ради по питаннях життєдіяльності Боголюбського старостинського округу. Постійно подаються пропозиції  щодо  економічного та соціального розвитку розвитку   старостату, проводиться моніторинг використання об’єктів комунальної власності. Постійно присутній зворотній зв’язок з жителями  округу щодо вирішення їхніх потреб та проблем. Староста щорічно звітується перед громадою за особисто  проведену роботу, роботу міського голови та усього депутатського корпусу, виконавчого комітету та роботу комунальних установ та підприємств Луцької міської ради. Робота старости є прозорою, максимально наближеною для вирішення  реальних проблем жителів старостату. Інтенсивність роботи старости щодо забезпечення потреб старостинського округу залежить від  виділення бюджетних коштів на його розвиток.</w:t>
      </w:r>
    </w:p>
    <w:p>
      <w:pPr>
        <w:pStyle w:val="Normal"/>
        <w:ind w:left="0" w:right="0" w:hanging="0"/>
        <w:jc w:val="both"/>
        <w:rPr/>
      </w:pPr>
      <w:r>
        <w:rPr>
          <w:szCs w:val="28"/>
        </w:rPr>
        <w:t xml:space="preserve">           </w:t>
      </w:r>
      <w:r>
        <w:rPr>
          <w:szCs w:val="28"/>
        </w:rPr>
        <w:t>Відкритими залишаються питання:</w:t>
      </w:r>
    </w:p>
    <w:p>
      <w:pPr>
        <w:pStyle w:val="Normal"/>
        <w:ind w:left="0" w:right="0" w:hanging="0"/>
        <w:jc w:val="both"/>
        <w:rPr/>
      </w:pPr>
      <w:r>
        <w:rPr/>
        <w:t>- відкриття магазину в селі Іванчиці;</w:t>
      </w:r>
    </w:p>
    <w:p>
      <w:pPr>
        <w:pStyle w:val="Normal"/>
        <w:ind w:left="0" w:right="0" w:hanging="0"/>
        <w:jc w:val="both"/>
        <w:rPr/>
      </w:pPr>
      <w:r>
        <w:rPr>
          <w:szCs w:val="28"/>
        </w:rPr>
        <w:t>-декомунізації пам’ятника  з радянською символікою в селі, Іванчиці;</w:t>
      </w:r>
    </w:p>
    <w:p>
      <w:pPr>
        <w:pStyle w:val="Normal"/>
        <w:ind w:left="0" w:right="0" w:hanging="0"/>
        <w:jc w:val="both"/>
        <w:rPr/>
      </w:pPr>
      <w:r>
        <w:rPr>
          <w:sz w:val="28"/>
          <w:szCs w:val="28"/>
          <w:lang w:val="uk-UA"/>
        </w:rPr>
        <w:t>- ремонти доріг:</w:t>
      </w:r>
    </w:p>
    <w:p>
      <w:pPr>
        <w:pStyle w:val="Normal"/>
        <w:ind w:left="0" w:right="0" w:hanging="0"/>
        <w:jc w:val="both"/>
        <w:rPr/>
      </w:pPr>
      <w:r>
        <w:rPr>
          <w:sz w:val="28"/>
          <w:szCs w:val="28"/>
          <w:lang w:val="uk-UA"/>
        </w:rPr>
        <w:t>- село Тарасове — вулиці Центральна (влаштування тротуару),  Шевченка, Володимирська;</w:t>
      </w:r>
    </w:p>
    <w:p>
      <w:pPr>
        <w:pStyle w:val="Normal"/>
        <w:ind w:left="0" w:right="0" w:hanging="0"/>
        <w:jc w:val="both"/>
        <w:rPr/>
      </w:pPr>
      <w:r>
        <w:rPr>
          <w:sz w:val="28"/>
          <w:szCs w:val="28"/>
          <w:lang w:val="uk-UA"/>
        </w:rPr>
        <w:t xml:space="preserve"> </w:t>
      </w:r>
      <w:r>
        <w:rPr>
          <w:sz w:val="28"/>
          <w:szCs w:val="28"/>
          <w:lang w:val="uk-UA"/>
        </w:rPr>
        <w:t>- село Боголюби — вулиці  Яблунева, Милушівська, Польова;</w:t>
      </w:r>
    </w:p>
    <w:p>
      <w:pPr>
        <w:pStyle w:val="Normal"/>
        <w:ind w:left="0" w:right="0" w:hanging="0"/>
        <w:jc w:val="both"/>
        <w:rPr/>
      </w:pPr>
      <w:r>
        <w:rPr>
          <w:sz w:val="28"/>
          <w:szCs w:val="28"/>
          <w:lang w:val="uk-UA"/>
        </w:rPr>
        <w:t>- село Богушівка — вулиці Зелена, Іванівка;</w:t>
      </w:r>
    </w:p>
    <w:p>
      <w:pPr>
        <w:pStyle w:val="Normal"/>
        <w:ind w:left="0" w:right="0" w:hanging="0"/>
        <w:jc w:val="both"/>
        <w:rPr/>
      </w:pPr>
      <w:r>
        <w:rPr>
          <w:sz w:val="28"/>
          <w:szCs w:val="28"/>
          <w:lang w:val="uk-UA"/>
        </w:rPr>
        <w:t>- село Озденіж — вулиця Садова;</w:t>
      </w:r>
    </w:p>
    <w:p>
      <w:pPr>
        <w:pStyle w:val="Normal"/>
        <w:ind w:left="0" w:right="0" w:hanging="0"/>
        <w:jc w:val="both"/>
        <w:rPr/>
      </w:pPr>
      <w:r>
        <w:rPr>
          <w:sz w:val="28"/>
          <w:szCs w:val="28"/>
          <w:lang w:val="uk-UA"/>
        </w:rPr>
        <w:t>- село Іванчиці — вулиці  Буківська, Шкільна, Весела.</w:t>
      </w:r>
    </w:p>
    <w:p>
      <w:pPr>
        <w:pStyle w:val="Normal"/>
        <w:ind w:left="0" w:right="0" w:hanging="0"/>
        <w:jc w:val="both"/>
        <w:rPr/>
      </w:pPr>
      <w:r>
        <w:rPr>
          <w:sz w:val="28"/>
          <w:szCs w:val="28"/>
          <w:lang w:val="uk-UA"/>
        </w:rPr>
        <w:t>- ремонту доріг,  що проходять через населені пункти Боголюби, Богушівка, Тарасове, Іванчиці та Озденіж,  які перебувають на балансі СМАД.</w:t>
      </w:r>
    </w:p>
    <w:p>
      <w:pPr>
        <w:pStyle w:val="NoSpacing"/>
        <w:ind w:left="0" w:right="0" w:hanging="0"/>
        <w:jc w:val="both"/>
        <w:rPr/>
      </w:pPr>
      <w:r>
        <w:rPr>
          <w:sz w:val="28"/>
          <w:szCs w:val="28"/>
          <w:lang w:val="uk-UA"/>
        </w:rPr>
        <w:t xml:space="preserve">    </w:t>
      </w:r>
      <w:r>
        <w:rPr>
          <w:sz w:val="28"/>
          <w:szCs w:val="28"/>
          <w:lang w:val="uk-UA"/>
        </w:rPr>
        <w:t>Для подальшого соціально-економічного розвитку на найближчу перспективу необхідно провести:</w:t>
      </w:r>
    </w:p>
    <w:p>
      <w:pPr>
        <w:pStyle w:val="NoSpacing"/>
        <w:ind w:left="0" w:right="0" w:hanging="0"/>
        <w:jc w:val="both"/>
        <w:rPr/>
      </w:pPr>
      <w:r>
        <w:rPr>
          <w:sz w:val="28"/>
          <w:szCs w:val="28"/>
          <w:lang w:val="uk-UA"/>
        </w:rPr>
        <w:t>- освітлення вулиць сіл Іванчиці, Озденіж,  вулиці Тиха, Набережна в селі Боголюби, провулків в селі Боголюби  (4 шт.);</w:t>
      </w:r>
    </w:p>
    <w:p>
      <w:pPr>
        <w:pStyle w:val="NoSpacing"/>
        <w:ind w:left="0" w:right="0" w:hanging="0"/>
        <w:jc w:val="both"/>
        <w:rPr/>
      </w:pPr>
      <w:r>
        <w:rPr>
          <w:sz w:val="28"/>
          <w:szCs w:val="28"/>
          <w:lang w:val="uk-UA"/>
        </w:rPr>
        <w:t>- облаштування тротуару по вулиці Центральній в селі Тарасове (в зв’язку з високою інтенсивністю руху автомобільного транспорту );</w:t>
      </w:r>
    </w:p>
    <w:p>
      <w:pPr>
        <w:pStyle w:val="NoSpacing"/>
        <w:ind w:left="0" w:right="0" w:hanging="0"/>
        <w:jc w:val="both"/>
        <w:rPr/>
      </w:pPr>
      <w:r>
        <w:rPr>
          <w:sz w:val="28"/>
          <w:szCs w:val="28"/>
          <w:lang w:val="uk-UA"/>
        </w:rPr>
        <w:t>- перекриття даху клуба в селі Іванчиці (дах протікає, стічні води  руйнують стіни приміщення), підведення центрального водопроводу до приміщення клубу;</w:t>
      </w:r>
    </w:p>
    <w:p>
      <w:pPr>
        <w:pStyle w:val="NoSpacing"/>
        <w:ind w:left="0" w:right="0" w:hanging="0"/>
        <w:jc w:val="both"/>
        <w:rPr/>
      </w:pPr>
      <w:r>
        <w:rPr>
          <w:sz w:val="28"/>
          <w:szCs w:val="28"/>
          <w:lang w:val="uk-UA"/>
        </w:rPr>
        <w:t>- перекриття даху та утеплення  КЗ ЗСО “Боголюбська гімназія №30 Луцької міської  ради”;</w:t>
      </w:r>
    </w:p>
    <w:p>
      <w:pPr>
        <w:pStyle w:val="NoSpacing"/>
        <w:ind w:left="0" w:right="0" w:hanging="0"/>
        <w:jc w:val="both"/>
        <w:rPr/>
      </w:pPr>
      <w:r>
        <w:rPr>
          <w:sz w:val="28"/>
          <w:szCs w:val="28"/>
          <w:lang w:val="uk-UA"/>
        </w:rPr>
        <w:t>-  проведення  освітлення по вулицях: село Тарасове — вулиці Квітнева (</w:t>
      </w:r>
      <w:r>
        <w:rPr>
          <w:sz w:val="28"/>
          <w:szCs w:val="28"/>
          <w:lang w:val="uk-UA"/>
        </w:rPr>
        <w:t>друга</w:t>
      </w:r>
      <w:r>
        <w:rPr>
          <w:sz w:val="28"/>
          <w:szCs w:val="28"/>
          <w:lang w:val="uk-UA"/>
        </w:rPr>
        <w:t xml:space="preserve"> частина), Лисенка, Шкільна, Польова, Волі, Б. Хмельницького; село Боголюби — вулиці Набережна (</w:t>
      </w:r>
      <w:r>
        <w:rPr>
          <w:sz w:val="28"/>
          <w:szCs w:val="28"/>
          <w:lang w:val="uk-UA"/>
        </w:rPr>
        <w:t>друга</w:t>
      </w:r>
      <w:r>
        <w:rPr>
          <w:sz w:val="28"/>
          <w:szCs w:val="28"/>
          <w:lang w:val="uk-UA"/>
        </w:rPr>
        <w:t xml:space="preserve"> частина), Тиха, Яблунева, Тополева, В Стуса; село Озденіж — вулиця Садова; село Іванчиці — в</w:t>
      </w:r>
      <w:r>
        <w:rPr>
          <w:sz w:val="28"/>
          <w:szCs w:val="28"/>
          <w:lang w:val="uk-UA"/>
        </w:rPr>
        <w:t>у</w:t>
      </w:r>
      <w:r>
        <w:rPr>
          <w:sz w:val="28"/>
          <w:szCs w:val="28"/>
          <w:lang w:val="uk-UA"/>
        </w:rPr>
        <w:t>лиці Буківська та Шкільна.</w:t>
      </w:r>
    </w:p>
    <w:p>
      <w:pPr>
        <w:pStyle w:val="NoSpacing"/>
        <w:ind w:left="0" w:right="0" w:hanging="0"/>
        <w:jc w:val="both"/>
        <w:rPr/>
      </w:pPr>
      <w:r>
        <w:rPr>
          <w:sz w:val="28"/>
          <w:szCs w:val="28"/>
          <w:lang w:val="uk-UA"/>
        </w:rPr>
        <w:t xml:space="preserve"> </w:t>
      </w:r>
    </w:p>
    <w:p>
      <w:pPr>
        <w:pStyle w:val="NoSpacing"/>
        <w:ind w:left="0" w:right="0" w:hanging="0"/>
        <w:jc w:val="both"/>
        <w:rPr>
          <w:sz w:val="28"/>
          <w:szCs w:val="28"/>
          <w:lang w:val="uk-UA"/>
        </w:rPr>
      </w:pPr>
      <w:r>
        <w:rPr>
          <w:sz w:val="28"/>
          <w:szCs w:val="28"/>
          <w:lang w:val="uk-UA"/>
        </w:rPr>
      </w:r>
    </w:p>
    <w:p>
      <w:pPr>
        <w:pStyle w:val="NoSpacing"/>
        <w:ind w:left="0" w:right="0" w:hanging="0"/>
        <w:jc w:val="both"/>
        <w:rPr/>
      </w:pPr>
      <w:r>
        <w:rPr>
          <w:sz w:val="28"/>
          <w:szCs w:val="28"/>
          <w:lang w:val="uk-UA"/>
        </w:rPr>
        <w:t xml:space="preserve">         </w:t>
      </w:r>
    </w:p>
    <w:p>
      <w:pPr>
        <w:pStyle w:val="Normal"/>
        <w:ind w:left="0" w:right="0" w:hanging="0"/>
        <w:jc w:val="both"/>
        <w:rPr>
          <w:sz w:val="28"/>
          <w:szCs w:val="28"/>
          <w:lang w:val="uk-UA"/>
        </w:rPr>
      </w:pPr>
      <w:r>
        <w:rPr>
          <w:sz w:val="28"/>
          <w:szCs w:val="28"/>
          <w:lang w:val="uk-UA"/>
        </w:rPr>
      </w:r>
    </w:p>
    <w:p>
      <w:pPr>
        <w:pStyle w:val="Normal"/>
        <w:ind w:left="0" w:right="0" w:hanging="0"/>
        <w:jc w:val="both"/>
        <w:rPr>
          <w:sz w:val="28"/>
          <w:szCs w:val="28"/>
          <w:lang w:val="uk-UA"/>
        </w:rPr>
      </w:pPr>
      <w:r>
        <w:rPr>
          <w:sz w:val="28"/>
          <w:szCs w:val="28"/>
          <w:lang w:val="uk-UA"/>
        </w:rPr>
      </w:r>
    </w:p>
    <w:p>
      <w:pPr>
        <w:pStyle w:val="Normal"/>
        <w:ind w:left="0" w:right="0" w:hanging="0"/>
        <w:jc w:val="both"/>
        <w:rPr/>
      </w:pPr>
      <w:r>
        <w:rPr>
          <w:sz w:val="28"/>
          <w:szCs w:val="28"/>
          <w:lang w:val="uk-UA"/>
        </w:rPr>
        <w:t>Староста Боголюбського</w:t>
      </w:r>
    </w:p>
    <w:p>
      <w:pPr>
        <w:pStyle w:val="Normal"/>
        <w:ind w:left="0" w:right="0" w:hanging="0"/>
        <w:jc w:val="both"/>
        <w:rPr/>
      </w:pPr>
      <w:r>
        <w:rPr>
          <w:sz w:val="28"/>
          <w:szCs w:val="28"/>
          <w:lang w:val="uk-UA"/>
        </w:rPr>
        <w:t>старостинського  округу                                               Марія ЯКУБОВСЬКА</w:t>
      </w:r>
    </w:p>
    <w:sectPr>
      <w:type w:val="nextPage"/>
      <w:pgSz w:w="11906" w:h="16838"/>
      <w:pgMar w:left="1701" w:right="567" w:gutter="0" w:header="0" w:top="567" w:footer="0" w:bottom="1701"/>
      <w:pgNumType w:fmt="decimal"/>
      <w:formProt w:val="false"/>
      <w:textDirection w:val="lrTb"/>
      <w:docGrid w:type="default" w:linePitch="600" w:charSpace="2457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egoe UI">
    <w:charset w:val="cc"/>
    <w:family w:val="roman"/>
    <w:pitch w:val="variable"/>
  </w:font>
  <w:font w:name="Calibri Light">
    <w:charset w:val="cc"/>
    <w:family w:val="roman"/>
    <w:pitch w:val="variable"/>
  </w:font>
  <w:font w:name="Courier New">
    <w:charset w:val="cc"/>
    <w:family w:val="roman"/>
    <w:pitch w:val="variable"/>
  </w:font>
  <w:font w:name="Calibri">
    <w:charset w:val="cc"/>
    <w:family w:val="roman"/>
    <w:pitch w:val="variable"/>
  </w:font>
  <w:font w:name="Verdana">
    <w:charset w:val="cc"/>
    <w:family w:val="roman"/>
    <w:pitch w:val="variable"/>
  </w:font>
  <w:font w:name="Cambria">
    <w:charset w:val="cc"/>
    <w:family w:val="roman"/>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kern w:val="2"/>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NSimSun" w:cs="Arial"/>
      <w:color w:val="auto"/>
      <w:kern w:val="2"/>
      <w:sz w:val="28"/>
      <w:szCs w:val="24"/>
      <w:lang w:val="uk-UA" w:eastAsia="zh-CN" w:bidi="hi-I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DefaultParagraphFont">
    <w:name w:val="Default Paragraph Font"/>
    <w:qFormat/>
    <w:rPr/>
  </w:style>
  <w:style w:type="character" w:styleId="3">
    <w:name w:val="Основний текст з відступом 3 Знак"/>
    <w:qFormat/>
    <w:rPr>
      <w:rFonts w:ascii="Times New Roman" w:hAnsi="Times New Roman" w:eastAsia="Times New Roman" w:cs="Times New Roman"/>
      <w:color w:val="000000"/>
      <w:sz w:val="16"/>
      <w:szCs w:val="16"/>
    </w:rPr>
  </w:style>
  <w:style w:type="character" w:styleId="2">
    <w:name w:val="Основний текст 2 Знак"/>
    <w:qFormat/>
    <w:rPr>
      <w:rFonts w:ascii="Times New Roman" w:hAnsi="Times New Roman" w:eastAsia="SimSun" w:cs="Times New Roman"/>
      <w:color w:val="000000"/>
      <w:sz w:val="24"/>
      <w:lang w:val="ru-RU" w:eastAsia="ru-RU"/>
    </w:rPr>
  </w:style>
  <w:style w:type="character" w:styleId="Style14">
    <w:name w:val="Текст у виносці Знак"/>
    <w:qFormat/>
    <w:rPr>
      <w:rFonts w:ascii="Segoe UI" w:hAnsi="Segoe UI" w:eastAsia="Times New Roman" w:cs="Segoe UI"/>
      <w:color w:val="000000"/>
      <w:sz w:val="18"/>
      <w:szCs w:val="18"/>
    </w:rPr>
  </w:style>
  <w:style w:type="character" w:styleId="Rvts23">
    <w:name w:val="rvts23"/>
    <w:qFormat/>
    <w:rPr>
      <w:rFonts w:ascii="Times New Roman" w:hAnsi="Times New Roman" w:eastAsia="Times New Roman" w:cs="Times New Roman"/>
      <w:color w:val="000000"/>
      <w:sz w:val="24"/>
      <w:szCs w:val="24"/>
    </w:rPr>
  </w:style>
  <w:style w:type="character" w:styleId="Style15">
    <w:name w:val="Текст выноски Знак"/>
    <w:qFormat/>
    <w:rPr>
      <w:rFonts w:ascii="Segoe UI" w:hAnsi="Segoe UI" w:cs="Segoe UI"/>
      <w:bCs/>
      <w:sz w:val="18"/>
      <w:szCs w:val="18"/>
      <w:lang w:eastAsia="zh-CN"/>
    </w:rPr>
  </w:style>
  <w:style w:type="character" w:styleId="Style16">
    <w:name w:val="Подзаголовок Знак"/>
    <w:qFormat/>
    <w:rPr>
      <w:rFonts w:ascii="Calibri Light" w:hAnsi="Calibri Light" w:eastAsia="Times New Roman" w:cs="Times New Roman"/>
      <w:bCs/>
      <w:sz w:val="24"/>
      <w:szCs w:val="24"/>
      <w:lang w:eastAsia="zh-CN"/>
    </w:rPr>
  </w:style>
  <w:style w:type="character" w:styleId="FontStyle22">
    <w:name w:val="Font Style22"/>
    <w:qFormat/>
    <w:rPr>
      <w:rFonts w:ascii="Times New Roman" w:hAnsi="Times New Roman" w:cs="Times New Roman"/>
      <w:spacing w:val="10"/>
      <w:sz w:val="24"/>
      <w:szCs w:val="24"/>
    </w:rPr>
  </w:style>
  <w:style w:type="character" w:styleId="1">
    <w:name w:val="Основной шрифт абзаца1"/>
    <w:qFormat/>
    <w:rPr/>
  </w:style>
  <w:style w:type="character" w:styleId="21">
    <w:name w:val="Основной шрифт абзаца2"/>
    <w:qFormat/>
    <w:rPr/>
  </w:style>
  <w:style w:type="character" w:styleId="Style17">
    <w:name w:val="Основной шрифт абзаца"/>
    <w:qFormat/>
    <w:rPr/>
  </w:style>
  <w:style w:type="character" w:styleId="WW8Num4z0">
    <w:name w:val="WW8Num4z0"/>
    <w:qFormat/>
    <w:rPr/>
  </w:style>
  <w:style w:type="character" w:styleId="WW8Num3z1">
    <w:name w:val="WW8Num3z1"/>
    <w:qFormat/>
    <w:rPr>
      <w:rFonts w:ascii="Courier New" w:hAnsi="Courier New" w:cs="Courier New"/>
    </w:rPr>
  </w:style>
  <w:style w:type="character" w:styleId="WW8Num3z0">
    <w:name w:val="WW8Num3z0"/>
    <w:qFormat/>
    <w:rPr>
      <w:rFonts w:ascii="Times New Roman" w:hAnsi="Times New Roman" w:eastAsia="Times New Roman" w:cs="Times New Roman"/>
    </w:rPr>
  </w:style>
  <w:style w:type="character" w:styleId="WW8Num2z0">
    <w:name w:val="WW8Num2z0"/>
    <w:qFormat/>
    <w:rPr/>
  </w:style>
  <w:style w:type="character" w:styleId="WW8Num1z0">
    <w:name w:val="WW8Num1z0"/>
    <w:qFormat/>
    <w:rPr/>
  </w:style>
  <w:style w:type="paragraph" w:styleId="Style18">
    <w:name w:val="Заголовок"/>
    <w:basedOn w:val="Normal"/>
    <w:next w:val="Style19"/>
    <w:qFormat/>
    <w:pPr>
      <w:keepNext w:val="true"/>
      <w:spacing w:before="240" w:after="120"/>
    </w:pPr>
    <w:rPr>
      <w:rFonts w:ascii="Times New Roman" w:hAnsi="Times New Roman" w:eastAsia="Microsoft YaHei" w:cs="Arial"/>
      <w:sz w:val="28"/>
      <w:szCs w:val="28"/>
    </w:rPr>
  </w:style>
  <w:style w:type="paragraph" w:styleId="Style19">
    <w:name w:val="Body Text"/>
    <w:basedOn w:val="Normal"/>
    <w:pPr>
      <w:spacing w:lineRule="auto" w:line="276" w:before="0" w:after="140"/>
    </w:pPr>
    <w:rPr/>
  </w:style>
  <w:style w:type="paragraph" w:styleId="Style20">
    <w:name w:val="List"/>
    <w:basedOn w:val="Style19"/>
    <w:pPr/>
    <w:rPr>
      <w:rFonts w:cs="Arial"/>
    </w:rPr>
  </w:style>
  <w:style w:type="paragraph" w:styleId="Style21">
    <w:name w:val="Caption"/>
    <w:basedOn w:val="Normal"/>
    <w:qFormat/>
    <w:pPr>
      <w:suppressLineNumbers/>
      <w:spacing w:before="120" w:after="120"/>
    </w:pPr>
    <w:rPr>
      <w:rFonts w:cs="Arial"/>
      <w:i/>
      <w:iCs/>
      <w:sz w:val="24"/>
      <w:szCs w:val="24"/>
    </w:rPr>
  </w:style>
  <w:style w:type="paragraph" w:styleId="Style22">
    <w:name w:val="Покажчик"/>
    <w:basedOn w:val="Normal"/>
    <w:qFormat/>
    <w:pPr>
      <w:suppressLineNumbers/>
    </w:pPr>
    <w:rPr>
      <w:rFonts w:cs="Arial"/>
    </w:rPr>
  </w:style>
  <w:style w:type="paragraph" w:styleId="NoSpacing">
    <w:name w:val="No Spacing"/>
    <w:qFormat/>
    <w:pPr>
      <w:widowControl/>
      <w:suppressAutoHyphens w:val="true"/>
      <w:overflowPunct w:val="false"/>
      <w:bidi w:val="0"/>
      <w:spacing w:before="0" w:after="0"/>
      <w:jc w:val="left"/>
    </w:pPr>
    <w:rPr>
      <w:rFonts w:ascii="Times New Roman" w:hAnsi="Times New Roman" w:eastAsia="Times New Roman" w:cs="Times New Roman"/>
      <w:color w:val="auto"/>
      <w:kern w:val="2"/>
      <w:sz w:val="24"/>
      <w:szCs w:val="24"/>
      <w:lang w:val="ru-RU" w:eastAsia="zh-CN" w:bidi="hi-IN"/>
    </w:rPr>
  </w:style>
  <w:style w:type="paragraph" w:styleId="211">
    <w:name w:val="Основной текст с отступом 21"/>
    <w:basedOn w:val="Normal"/>
    <w:qFormat/>
    <w:pPr>
      <w:ind w:firstLine="779"/>
      <w:jc w:val="both"/>
    </w:pPr>
    <w:rPr/>
  </w:style>
  <w:style w:type="paragraph" w:styleId="Style23">
    <w:name w:val="Кому"/>
    <w:basedOn w:val="Normal"/>
    <w:qFormat/>
    <w:pPr>
      <w:widowControl w:val="false"/>
      <w:ind w:left="5954" w:hanging="0"/>
    </w:pPr>
    <w:rPr>
      <w:b/>
      <w:szCs w:val="28"/>
      <w:lang w:eastAsia="ar-SA"/>
    </w:rPr>
  </w:style>
  <w:style w:type="paragraph" w:styleId="BodyTextIndent3">
    <w:name w:val="Body Text Indent 3"/>
    <w:basedOn w:val="Normal"/>
    <w:qFormat/>
    <w:pPr>
      <w:spacing w:before="0" w:after="120"/>
      <w:ind w:left="283" w:hanging="0"/>
    </w:pPr>
    <w:rPr>
      <w:sz w:val="16"/>
      <w:szCs w:val="16"/>
      <w:lang w:eastAsia="ru-RU"/>
    </w:rPr>
  </w:style>
  <w:style w:type="paragraph" w:styleId="Standard">
    <w:name w:val="Standard"/>
    <w:qFormat/>
    <w:pPr>
      <w:widowControl/>
      <w:suppressAutoHyphens w:val="true"/>
      <w:bidi w:val="0"/>
      <w:spacing w:before="0" w:after="0"/>
      <w:jc w:val="left"/>
    </w:pPr>
    <w:rPr>
      <w:rFonts w:ascii="Liberation Serif" w:hAnsi="Liberation Serif" w:eastAsia="SimSun" w:cs="Liberation Serif"/>
      <w:color w:val="auto"/>
      <w:kern w:val="2"/>
      <w:sz w:val="24"/>
      <w:szCs w:val="24"/>
      <w:lang w:val="uk-UA" w:eastAsia="zh-CN" w:bidi="hi-IN"/>
    </w:rPr>
  </w:style>
  <w:style w:type="paragraph" w:styleId="BodyText2">
    <w:name w:val="Body Text 2"/>
    <w:basedOn w:val="Normal"/>
    <w:qFormat/>
    <w:pPr>
      <w:spacing w:lineRule="auto" w:line="480" w:before="0" w:after="120"/>
    </w:pPr>
    <w:rPr>
      <w:rFonts w:eastAsia="SimSun"/>
      <w:sz w:val="24"/>
      <w:lang w:val="ru-RU" w:eastAsia="ru-RU"/>
    </w:rPr>
  </w:style>
  <w:style w:type="paragraph" w:styleId="BalloonText">
    <w:name w:val="Balloon Text"/>
    <w:basedOn w:val="Normal"/>
    <w:qFormat/>
    <w:pPr/>
    <w:rPr>
      <w:rFonts w:ascii="Segoe UI" w:hAnsi="Segoe UI" w:cs="Segoe UI"/>
      <w:sz w:val="18"/>
      <w:szCs w:val="18"/>
    </w:rPr>
  </w:style>
  <w:style w:type="paragraph" w:styleId="11">
    <w:name w:val="Без інтервалів1"/>
    <w:qFormat/>
    <w:pPr>
      <w:widowControl/>
      <w:suppressAutoHyphens w:val="true"/>
      <w:bidi w:val="0"/>
      <w:spacing w:before="0" w:after="0"/>
      <w:jc w:val="left"/>
    </w:pPr>
    <w:rPr>
      <w:rFonts w:ascii="Calibri" w:hAnsi="Calibri" w:eastAsia="0" w:cs="Arial"/>
      <w:color w:val="auto"/>
      <w:kern w:val="2"/>
      <w:sz w:val="28"/>
      <w:szCs w:val="24"/>
      <w:lang w:val="uk-UA" w:eastAsia="zh-CN" w:bidi="hi-IN"/>
    </w:rPr>
  </w:style>
  <w:style w:type="paragraph" w:styleId="CharChar">
    <w:name w:val="Char Char Знак Знак Знак Знак Знак Знак Знак Знак"/>
    <w:basedOn w:val="Normal"/>
    <w:qFormat/>
    <w:pPr/>
    <w:rPr>
      <w:rFonts w:ascii="Verdana" w:hAnsi="Verdana" w:cs="Verdana"/>
      <w:lang w:val="en-US" w:eastAsia="en-US"/>
    </w:rPr>
  </w:style>
  <w:style w:type="paragraph" w:styleId="NormalWeb">
    <w:name w:val="Normal (Web)"/>
    <w:basedOn w:val="Normal"/>
    <w:qFormat/>
    <w:pPr>
      <w:spacing w:before="100" w:after="100"/>
    </w:pPr>
    <w:rPr>
      <w:sz w:val="24"/>
    </w:rPr>
  </w:style>
  <w:style w:type="paragraph" w:styleId="ListParagraph">
    <w:name w:val="List Paragraph"/>
    <w:basedOn w:val="Normal"/>
    <w:qFormat/>
    <w:pPr>
      <w:widowControl w:val="false"/>
      <w:spacing w:before="0" w:after="0"/>
      <w:ind w:left="720" w:hanging="0"/>
      <w:contextualSpacing/>
    </w:pPr>
    <w:rPr/>
  </w:style>
  <w:style w:type="paragraph" w:styleId="111">
    <w:name w:val="Заголовок 11"/>
    <w:basedOn w:val="Normal"/>
    <w:next w:val="Normal"/>
    <w:qFormat/>
    <w:pPr>
      <w:keepNext w:val="true"/>
      <w:spacing w:before="240" w:after="60"/>
    </w:pPr>
    <w:rPr>
      <w:rFonts w:ascii="Cambria" w:hAnsi="Cambria" w:eastAsia="Times New Roman" w:cs="Cambria"/>
      <w:b/>
      <w:sz w:val="32"/>
      <w:szCs w:val="32"/>
      <w:lang w:val="ru-RU"/>
    </w:rPr>
  </w:style>
  <w:style w:type="paragraph" w:styleId="31">
    <w:name w:val="Заголовок 31"/>
    <w:basedOn w:val="Normal"/>
    <w:next w:val="Normal"/>
    <w:qFormat/>
    <w:pPr>
      <w:keepNext w:val="true"/>
      <w:spacing w:before="240" w:after="60"/>
    </w:pPr>
    <w:rPr>
      <w:rFonts w:ascii="Cambria" w:hAnsi="Cambria" w:eastAsia="Times New Roman" w:cs="Times New Roman"/>
      <w:b/>
      <w:sz w:val="26"/>
      <w:szCs w:val="26"/>
      <w:lang w:val="ru-RU"/>
    </w:rPr>
  </w:style>
  <w:style w:type="paragraph" w:styleId="51">
    <w:name w:val="Заголовок 51"/>
    <w:basedOn w:val="Normal"/>
    <w:next w:val="Normal"/>
    <w:qFormat/>
    <w:pPr>
      <w:keepNext w:val="true"/>
      <w:ind w:left="-709" w:hanging="0"/>
      <w:jc w:val="center"/>
    </w:pPr>
    <w:rPr>
      <w:rFonts w:eastAsia="Times New Roman" w:cs="Times New Roman"/>
      <w:b/>
      <w:sz w:val="24"/>
    </w:rPr>
  </w:style>
  <w:style w:type="paragraph" w:styleId="Style24">
    <w:name w:val="Текст выноски"/>
    <w:basedOn w:val="Normal"/>
    <w:qFormat/>
    <w:pPr/>
    <w:rPr>
      <w:rFonts w:ascii="Segoe UI" w:hAnsi="Segoe UI" w:cs="Segoe UI"/>
      <w:sz w:val="18"/>
      <w:szCs w:val="18"/>
    </w:rPr>
  </w:style>
  <w:style w:type="paragraph" w:styleId="Style25">
    <w:name w:val="Заголовок таблицы"/>
    <w:qFormat/>
    <w:pPr>
      <w:widowControl/>
      <w:suppressAutoHyphens w:val="true"/>
      <w:bidi w:val="0"/>
      <w:spacing w:before="0" w:after="0"/>
      <w:jc w:val="center"/>
    </w:pPr>
    <w:rPr>
      <w:rFonts w:ascii="Times New Roman" w:hAnsi="Times New Roman" w:eastAsia="NSimSun" w:cs="Arial"/>
      <w:b/>
      <w:color w:val="auto"/>
      <w:kern w:val="2"/>
      <w:sz w:val="28"/>
      <w:szCs w:val="24"/>
      <w:lang w:val="uk-UA" w:eastAsia="zh-CN" w:bidi="hi-IN"/>
    </w:rPr>
  </w:style>
  <w:style w:type="paragraph" w:styleId="Style26">
    <w:name w:val="Содержимое таблицы"/>
    <w:basedOn w:val="Normal"/>
    <w:qFormat/>
    <w:pPr/>
    <w:rPr/>
  </w:style>
  <w:style w:type="paragraph" w:styleId="Style51">
    <w:name w:val="Style5"/>
    <w:basedOn w:val="Normal"/>
    <w:qFormat/>
    <w:pPr>
      <w:widowControl w:val="false"/>
      <w:spacing w:lineRule="exact" w:line="312"/>
      <w:ind w:firstLine="550"/>
      <w:jc w:val="both"/>
    </w:pPr>
    <w:rPr>
      <w:bCs w:val="false"/>
      <w:sz w:val="24"/>
    </w:rPr>
  </w:style>
  <w:style w:type="paragraph" w:styleId="Style27">
    <w:name w:val="Знак"/>
    <w:basedOn w:val="Normal"/>
    <w:qFormat/>
    <w:pPr/>
    <w:rPr>
      <w:rFonts w:ascii="Verdana" w:hAnsi="Verdana" w:cs="Verdana"/>
      <w:bCs w:val="false"/>
      <w:sz w:val="20"/>
      <w:szCs w:val="20"/>
      <w:lang w:val="en-US"/>
    </w:rPr>
  </w:style>
  <w:style w:type="paragraph" w:styleId="12">
    <w:name w:val="Указатель1"/>
    <w:basedOn w:val="Normal"/>
    <w:qFormat/>
    <w:pPr/>
    <w:rPr>
      <w:rFonts w:cs="Mangal"/>
    </w:rPr>
  </w:style>
  <w:style w:type="paragraph" w:styleId="13">
    <w:name w:val="Название1"/>
    <w:basedOn w:val="Normal"/>
    <w:qFormat/>
    <w:pPr>
      <w:spacing w:before="120" w:after="120"/>
    </w:pPr>
    <w:rPr>
      <w:rFonts w:cs="Mangal"/>
      <w:i/>
      <w:iCs/>
    </w:rPr>
  </w:style>
  <w:style w:type="paragraph" w:styleId="22">
    <w:name w:val="Указатель2"/>
    <w:basedOn w:val="Normal"/>
    <w:qFormat/>
    <w:pPr/>
    <w:rPr>
      <w:rFonts w:cs="Mangal"/>
    </w:rPr>
  </w:style>
  <w:style w:type="paragraph" w:styleId="23">
    <w:name w:val="Название2"/>
    <w:basedOn w:val="Normal"/>
    <w:qFormat/>
    <w:pPr>
      <w:spacing w:before="120" w:after="120"/>
    </w:pPr>
    <w:rPr>
      <w:rFonts w:cs="Mangal"/>
      <w:i/>
      <w:iCs/>
    </w:rPr>
  </w:style>
  <w:style w:type="paragraph" w:styleId="Style28">
    <w:name w:val="Название объекта"/>
    <w:basedOn w:val="Normal"/>
    <w:qFormat/>
    <w:pPr>
      <w:spacing w:before="120" w:after="120"/>
    </w:pPr>
    <w:rPr>
      <w:rFonts w:cs="Arial"/>
      <w:i/>
      <w:i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MVK</Template>
  <TotalTime>431</TotalTime>
  <Application>LibreOffice/7.4.3.2$Windows_X86_64 LibreOffice_project/1048a8393ae2eeec98dff31b5c133c5f1d08b890</Application>
  <AppVersion>15.0000</AppVersion>
  <Pages>4</Pages>
  <Words>1029</Words>
  <Characters>7300</Characters>
  <CharactersWithSpaces>8580</CharactersWithSpaces>
  <Paragraphs>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uk-UA</dc:language>
  <cp:lastModifiedBy/>
  <cp:lastPrinted>2026-03-02T16:20:41Z</cp:lastPrinted>
  <dcterms:modified xsi:type="dcterms:W3CDTF">2026-03-02T16:24:07Z</dcterms:modified>
  <cp:revision>24</cp:revision>
  <dc:subject/>
  <dc:title>MVK</dc:title>
</cp:coreProperties>
</file>

<file path=docProps/custom.xml><?xml version="1.0" encoding="utf-8"?>
<Properties xmlns="http://schemas.openxmlformats.org/officeDocument/2006/custom-properties" xmlns:vt="http://schemas.openxmlformats.org/officeDocument/2006/docPropsVTypes"/>
</file>