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6.xml" ContentType="application/vnd.openxmlformats-officedocument.wordprocessingml.header+xml"/>
  <Override PartName="/word/header3.xml" ContentType="application/vnd.openxmlformats-officedocument.wordprocessingml.head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ind w:start="5216"/>
        <w:rPr/>
      </w:pPr>
      <w:r>
        <w:rPr/>
        <w:t>Додаток</w:t>
      </w:r>
    </w:p>
    <w:p>
      <w:pPr>
        <w:pStyle w:val="Normal"/>
        <w:ind w:start="5216"/>
        <w:rPr/>
      </w:pPr>
      <w:r>
        <w:rPr/>
        <w:t>до рішення міської ради</w:t>
      </w:r>
    </w:p>
    <w:p>
      <w:pPr>
        <w:pStyle w:val="Normal"/>
        <w:ind w:start="5216"/>
        <w:rPr/>
      </w:pPr>
      <w:r>
        <w:rPr/>
        <w:t>________________ № _________</w:t>
      </w:r>
    </w:p>
    <w:p>
      <w:pPr>
        <w:pStyle w:val="Normal"/>
        <w:ind w:start="5220" w:end="-141"/>
        <w:rPr>
          <w:szCs w:val="28"/>
        </w:rPr>
      </w:pPr>
      <w:r>
        <w:rPr>
          <w:szCs w:val="28"/>
        </w:rPr>
      </w:r>
    </w:p>
    <w:p>
      <w:pPr>
        <w:pStyle w:val="Normal"/>
        <w:jc w:val="center"/>
        <w:rPr>
          <w:b/>
        </w:rPr>
      </w:pPr>
      <w:r>
        <w:rPr>
          <w:b/>
        </w:rPr>
      </w:r>
    </w:p>
    <w:p>
      <w:pPr>
        <w:pStyle w:val="Normal"/>
        <w:jc w:val="center"/>
        <w:rPr>
          <w:bCs w:val="false"/>
        </w:rPr>
      </w:pPr>
      <w:r>
        <w:rPr>
          <w:rFonts w:eastAsia="Times New Roman" w:cs="Times New Roman"/>
          <w:bCs w:val="false"/>
          <w:szCs w:val="28"/>
        </w:rPr>
        <w:t xml:space="preserve">ПРОГРАМА </w:t>
      </w:r>
    </w:p>
    <w:p>
      <w:pPr>
        <w:pStyle w:val="Normal"/>
        <w:jc w:val="center"/>
        <w:rPr>
          <w:bCs w:val="false"/>
        </w:rPr>
      </w:pPr>
      <w:r>
        <w:rPr>
          <w:rFonts w:eastAsia="Times New Roman" w:cs="Times New Roman"/>
          <w:bCs w:val="false"/>
          <w:szCs w:val="28"/>
        </w:rPr>
        <w:t>«Реалізація Муніципального енергетичного плану</w:t>
      </w:r>
    </w:p>
    <w:p>
      <w:pPr>
        <w:pStyle w:val="Normal"/>
        <w:jc w:val="center"/>
        <w:rPr>
          <w:bCs w:val="false"/>
        </w:rPr>
      </w:pPr>
      <w:r>
        <w:rPr>
          <w:rFonts w:eastAsia="Times New Roman" w:cs="Times New Roman"/>
          <w:bCs w:val="false"/>
          <w:szCs w:val="28"/>
        </w:rPr>
        <w:t xml:space="preserve"> </w:t>
      </w:r>
      <w:r>
        <w:rPr>
          <w:rFonts w:eastAsia="Times New Roman" w:cs="Times New Roman"/>
          <w:bCs w:val="false"/>
          <w:szCs w:val="28"/>
        </w:rPr>
        <w:t>Луцької міської територіальної громади до 2030 року»</w:t>
      </w:r>
    </w:p>
    <w:p>
      <w:pPr>
        <w:pStyle w:val="Normal"/>
        <w:ind w:end="-142"/>
        <w:jc w:val="center"/>
        <w:rPr>
          <w:rFonts w:cs="Times New Roman"/>
          <w:bCs w:val="false"/>
          <w:szCs w:val="28"/>
        </w:rPr>
      </w:pPr>
      <w:r>
        <w:rPr>
          <w:rFonts w:cs="Times New Roman"/>
          <w:bCs w:val="false"/>
          <w:szCs w:val="28"/>
        </w:rPr>
        <w:t>на 202</w:t>
      </w:r>
      <w:r>
        <w:rPr>
          <w:rFonts w:cs="Times New Roman"/>
          <w:bCs w:val="false"/>
          <w:szCs w:val="28"/>
          <w:lang w:val="en-US"/>
        </w:rPr>
        <w:t>6</w:t>
      </w:r>
      <w:r>
        <w:rPr>
          <w:rFonts w:cs="Times New Roman"/>
          <w:bCs w:val="false"/>
          <w:szCs w:val="28"/>
        </w:rPr>
        <w:t>–20</w:t>
      </w:r>
      <w:r>
        <w:rPr>
          <w:rFonts w:cs="Times New Roman"/>
          <w:bCs w:val="false"/>
          <w:szCs w:val="28"/>
          <w:lang w:val="ru-RU"/>
        </w:rPr>
        <w:t>30</w:t>
      </w:r>
      <w:r>
        <w:rPr>
          <w:rFonts w:cs="Times New Roman"/>
          <w:bCs w:val="false"/>
          <w:szCs w:val="28"/>
        </w:rPr>
        <w:t xml:space="preserve"> роки</w:t>
      </w:r>
    </w:p>
    <w:p>
      <w:pPr>
        <w:pStyle w:val="Normal"/>
        <w:ind w:end="-141"/>
        <w:jc w:val="center"/>
        <w:rPr>
          <w:szCs w:val="28"/>
        </w:rPr>
      </w:pPr>
      <w:r>
        <w:rPr>
          <w:szCs w:val="28"/>
        </w:rPr>
      </w:r>
    </w:p>
    <w:p>
      <w:pPr>
        <w:pStyle w:val="Normal"/>
        <w:ind w:end="-141"/>
        <w:jc w:val="center"/>
        <w:rPr>
          <w:b/>
          <w:szCs w:val="28"/>
        </w:rPr>
      </w:pPr>
      <w:r>
        <w:rPr>
          <w:b/>
          <w:szCs w:val="28"/>
        </w:rPr>
        <w:t>ПАСПОРТ ПРОГРАМИ</w:t>
      </w:r>
    </w:p>
    <w:p>
      <w:pPr>
        <w:pStyle w:val="Normal"/>
        <w:ind w:end="-141"/>
        <w:jc w:val="center"/>
        <w:rPr>
          <w:b/>
          <w:szCs w:val="28"/>
        </w:rPr>
      </w:pPr>
      <w:r>
        <w:rPr>
          <w:b/>
          <w:szCs w:val="28"/>
        </w:rPr>
      </w:r>
    </w:p>
    <w:tbl>
      <w:tblPr>
        <w:tblW w:w="9240" w:type="dxa"/>
        <w:jc w:val="start"/>
        <w:tblInd w:w="134" w:type="dxa"/>
        <w:tblLayout w:type="fixed"/>
        <w:tblCellMar>
          <w:top w:w="0" w:type="dxa"/>
          <w:start w:w="108" w:type="dxa"/>
          <w:bottom w:w="0" w:type="dxa"/>
          <w:end w:w="108" w:type="dxa"/>
        </w:tblCellMar>
        <w:tblLook w:firstRow="1" w:noVBand="1" w:lastRow="0" w:firstColumn="1" w:lastColumn="0" w:noHBand="0" w:val="04a0"/>
      </w:tblPr>
      <w:tblGrid>
        <w:gridCol w:w="583"/>
        <w:gridCol w:w="4202"/>
        <w:gridCol w:w="4455"/>
      </w:tblGrid>
      <w:tr>
        <w:trPr>
          <w:trHeight w:val="481" w:hRule="atLeast"/>
        </w:trPr>
        <w:tc>
          <w:tcPr>
            <w:tcW w:w="58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end="-141"/>
              <w:jc w:val="center"/>
              <w:rPr>
                <w:szCs w:val="28"/>
              </w:rPr>
            </w:pPr>
            <w:r>
              <w:rPr>
                <w:szCs w:val="28"/>
              </w:rPr>
              <w:t>1.</w:t>
            </w:r>
          </w:p>
        </w:tc>
        <w:tc>
          <w:tcPr>
            <w:tcW w:w="420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end="-141"/>
              <w:rPr>
                <w:szCs w:val="28"/>
              </w:rPr>
            </w:pPr>
            <w:r>
              <w:rPr>
                <w:szCs w:val="28"/>
              </w:rPr>
              <w:t>Ініціатор розроблення Програми</w:t>
            </w:r>
          </w:p>
        </w:tc>
        <w:tc>
          <w:tcPr>
            <w:tcW w:w="445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Департамент економічної політики</w:t>
            </w:r>
          </w:p>
        </w:tc>
      </w:tr>
      <w:tr>
        <w:trPr>
          <w:trHeight w:val="403" w:hRule="atLeast"/>
        </w:trPr>
        <w:tc>
          <w:tcPr>
            <w:tcW w:w="58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end="-141"/>
              <w:jc w:val="center"/>
              <w:rPr>
                <w:szCs w:val="28"/>
              </w:rPr>
            </w:pPr>
            <w:r>
              <w:rPr>
                <w:szCs w:val="28"/>
              </w:rPr>
              <w:t>2.</w:t>
            </w:r>
          </w:p>
        </w:tc>
        <w:tc>
          <w:tcPr>
            <w:tcW w:w="420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end="-141"/>
              <w:rPr>
                <w:szCs w:val="28"/>
              </w:rPr>
            </w:pPr>
            <w:r>
              <w:rPr>
                <w:szCs w:val="28"/>
              </w:rPr>
              <w:t>Розробник Програми</w:t>
            </w:r>
          </w:p>
        </w:tc>
        <w:tc>
          <w:tcPr>
            <w:tcW w:w="445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Департамент економічної політики</w:t>
            </w:r>
          </w:p>
        </w:tc>
      </w:tr>
      <w:tr>
        <w:trPr/>
        <w:tc>
          <w:tcPr>
            <w:tcW w:w="58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end="-141"/>
              <w:jc w:val="center"/>
              <w:rPr>
                <w:szCs w:val="28"/>
              </w:rPr>
            </w:pPr>
            <w:r>
              <w:rPr>
                <w:szCs w:val="28"/>
              </w:rPr>
              <w:t>3.</w:t>
            </w:r>
          </w:p>
        </w:tc>
        <w:tc>
          <w:tcPr>
            <w:tcW w:w="420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end="-141"/>
              <w:rPr>
                <w:szCs w:val="28"/>
              </w:rPr>
            </w:pPr>
            <w:r>
              <w:rPr>
                <w:szCs w:val="28"/>
              </w:rPr>
              <w:t>Співрозробники Програми</w:t>
            </w:r>
          </w:p>
        </w:tc>
        <w:tc>
          <w:tcPr>
            <w:tcW w:w="445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color w:val="000000"/>
              </w:rPr>
            </w:pPr>
            <w:r>
              <w:rPr>
                <w:color w:val="000000"/>
                <w:szCs w:val="28"/>
              </w:rPr>
              <w:t>Підприємства, установи, організації усіх форм власності та виконавчі органи Луцької міської ради</w:t>
            </w:r>
          </w:p>
        </w:tc>
      </w:tr>
      <w:tr>
        <w:trPr/>
        <w:tc>
          <w:tcPr>
            <w:tcW w:w="58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end="-141"/>
              <w:jc w:val="center"/>
              <w:rPr>
                <w:szCs w:val="28"/>
              </w:rPr>
            </w:pPr>
            <w:r>
              <w:rPr>
                <w:szCs w:val="28"/>
              </w:rPr>
              <w:t>4.</w:t>
            </w:r>
          </w:p>
        </w:tc>
        <w:tc>
          <w:tcPr>
            <w:tcW w:w="420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end="-141"/>
              <w:rPr>
                <w:szCs w:val="28"/>
              </w:rPr>
            </w:pPr>
            <w:r>
              <w:rPr>
                <w:szCs w:val="28"/>
              </w:rPr>
              <w:t>Відповідальні виконавці Програми</w:t>
            </w:r>
          </w:p>
        </w:tc>
        <w:tc>
          <w:tcPr>
            <w:tcW w:w="445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color w:val="000000"/>
              </w:rPr>
            </w:pPr>
            <w:r>
              <w:rPr>
                <w:color w:val="000000"/>
                <w:szCs w:val="28"/>
              </w:rPr>
              <w:t xml:space="preserve">Департамент економічної політики, департамент житлово-комунального господарства, департамент освіти, управління капітального будівництва, відділ екології, </w:t>
            </w:r>
            <w:r>
              <w:rPr>
                <w:rFonts w:eastAsia="Calibri"/>
                <w:color w:val="000000"/>
                <w:szCs w:val="28"/>
              </w:rPr>
              <w:t>ЛСКАП «Луцькспецкомунтранс», КП «Луцькводоканал», ДКП «Луцьктепло», КП «Луцьке підприємство електротранспорту»</w:t>
            </w:r>
          </w:p>
        </w:tc>
      </w:tr>
      <w:tr>
        <w:trPr/>
        <w:tc>
          <w:tcPr>
            <w:tcW w:w="58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end="-141"/>
              <w:jc w:val="center"/>
              <w:rPr>
                <w:szCs w:val="28"/>
              </w:rPr>
            </w:pPr>
            <w:r>
              <w:rPr>
                <w:szCs w:val="28"/>
              </w:rPr>
              <w:t>5.</w:t>
            </w:r>
          </w:p>
        </w:tc>
        <w:tc>
          <w:tcPr>
            <w:tcW w:w="420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end="-141"/>
              <w:rPr>
                <w:szCs w:val="28"/>
              </w:rPr>
            </w:pPr>
            <w:r>
              <w:rPr>
                <w:szCs w:val="28"/>
              </w:rPr>
              <w:t>Учасники Програми</w:t>
            </w:r>
          </w:p>
        </w:tc>
        <w:tc>
          <w:tcPr>
            <w:tcW w:w="445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color w:val="000000"/>
              </w:rPr>
            </w:pPr>
            <w:r>
              <w:rPr>
                <w:color w:val="000000"/>
                <w:szCs w:val="28"/>
              </w:rPr>
              <w:t>Підприємства, установи, організації усіх форм власності та виконавчі органи Луцької міської ради</w:t>
            </w:r>
          </w:p>
        </w:tc>
      </w:tr>
      <w:tr>
        <w:trPr>
          <w:trHeight w:val="407" w:hRule="atLeast"/>
        </w:trPr>
        <w:tc>
          <w:tcPr>
            <w:tcW w:w="58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end="-141"/>
              <w:jc w:val="center"/>
              <w:rPr>
                <w:szCs w:val="28"/>
              </w:rPr>
            </w:pPr>
            <w:r>
              <w:rPr>
                <w:szCs w:val="28"/>
              </w:rPr>
              <w:t>6.</w:t>
            </w:r>
          </w:p>
        </w:tc>
        <w:tc>
          <w:tcPr>
            <w:tcW w:w="420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end="-141"/>
              <w:rPr>
                <w:szCs w:val="28"/>
              </w:rPr>
            </w:pPr>
            <w:r>
              <w:rPr>
                <w:szCs w:val="28"/>
              </w:rPr>
              <w:t>Термін реалізації Програми</w:t>
            </w:r>
          </w:p>
        </w:tc>
        <w:tc>
          <w:tcPr>
            <w:tcW w:w="445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Cs w:val="28"/>
              </w:rPr>
            </w:pPr>
            <w:r>
              <w:rPr>
                <w:szCs w:val="28"/>
              </w:rPr>
              <w:t>2026–20</w:t>
            </w:r>
            <w:r>
              <w:rPr>
                <w:szCs w:val="28"/>
                <w:lang w:val="ru-RU"/>
              </w:rPr>
              <w:t>30</w:t>
            </w:r>
            <w:r>
              <w:rPr>
                <w:szCs w:val="28"/>
              </w:rPr>
              <w:t xml:space="preserve"> роки</w:t>
            </w:r>
          </w:p>
        </w:tc>
      </w:tr>
      <w:tr>
        <w:trPr/>
        <w:tc>
          <w:tcPr>
            <w:tcW w:w="583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end="-141"/>
              <w:jc w:val="center"/>
              <w:rPr>
                <w:szCs w:val="28"/>
              </w:rPr>
            </w:pPr>
            <w:r>
              <w:rPr>
                <w:szCs w:val="28"/>
              </w:rPr>
              <w:t>7.</w:t>
            </w:r>
          </w:p>
        </w:tc>
        <w:tc>
          <w:tcPr>
            <w:tcW w:w="420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end="-141"/>
              <w:rPr>
                <w:szCs w:val="28"/>
              </w:rPr>
            </w:pPr>
            <w:r>
              <w:rPr>
                <w:szCs w:val="28"/>
              </w:rPr>
              <w:t>Загальний обсяг фінансових ресурсів, необхідних для реалізації Програми, всього</w:t>
            </w:r>
          </w:p>
        </w:tc>
        <w:tc>
          <w:tcPr>
            <w:tcW w:w="445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szCs w:val="28"/>
              </w:rPr>
              <w:t xml:space="preserve">5 232 </w:t>
            </w:r>
            <w:r>
              <w:rPr>
                <w:szCs w:val="28"/>
                <w:lang w:val="en-US"/>
              </w:rPr>
              <w:t>133,80</w:t>
            </w:r>
            <w:r>
              <w:rPr>
                <w:szCs w:val="28"/>
                <w:lang w:val="ru-RU"/>
              </w:rPr>
              <w:t xml:space="preserve"> </w:t>
            </w:r>
            <w:r>
              <w:rPr>
                <w:szCs w:val="28"/>
              </w:rPr>
              <w:t>тис. грн</w:t>
            </w:r>
          </w:p>
        </w:tc>
      </w:tr>
      <w:tr>
        <w:trPr/>
        <w:tc>
          <w:tcPr>
            <w:tcW w:w="583" w:type="dxa"/>
            <w:vMerge w:val="continue"/>
            <w:tcBorders>
              <w:star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8657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end="-141"/>
              <w:rPr>
                <w:szCs w:val="28"/>
              </w:rPr>
            </w:pPr>
            <w:r>
              <w:rPr>
                <w:szCs w:val="28"/>
              </w:rPr>
              <w:t>в том</w:t>
            </w:r>
            <w:r>
              <w:rPr>
                <w:szCs w:val="28"/>
                <w:lang w:val="ru-RU"/>
              </w:rPr>
              <w:t>у</w:t>
            </w:r>
            <w:r>
              <w:rPr>
                <w:szCs w:val="28"/>
              </w:rPr>
              <w:t xml:space="preserve"> числі:</w:t>
            </w:r>
          </w:p>
        </w:tc>
      </w:tr>
      <w:tr>
        <w:trPr/>
        <w:tc>
          <w:tcPr>
            <w:tcW w:w="58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end="-141"/>
              <w:jc w:val="center"/>
              <w:rPr>
                <w:szCs w:val="28"/>
              </w:rPr>
            </w:pPr>
            <w:r>
              <w:rPr>
                <w:szCs w:val="28"/>
              </w:rPr>
              <w:t>7.1.</w:t>
            </w:r>
          </w:p>
        </w:tc>
        <w:tc>
          <w:tcPr>
            <w:tcW w:w="420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end="-141"/>
              <w:rPr>
                <w:szCs w:val="28"/>
              </w:rPr>
            </w:pPr>
            <w:r>
              <w:rPr>
                <w:szCs w:val="28"/>
              </w:rPr>
              <w:t>коштів бюджету Луцької міської територіальної громади</w:t>
            </w:r>
          </w:p>
        </w:tc>
        <w:tc>
          <w:tcPr>
            <w:tcW w:w="445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szCs w:val="28"/>
              </w:rPr>
              <w:t>1</w:t>
            </w:r>
            <w:r>
              <w:rPr>
                <w:szCs w:val="28"/>
                <w:lang w:val="ru-RU"/>
              </w:rPr>
              <w:t> </w:t>
            </w:r>
            <w:r>
              <w:rPr>
                <w:szCs w:val="28"/>
                <w:lang w:val="en-US"/>
              </w:rPr>
              <w:t>021</w:t>
            </w:r>
            <w:r>
              <w:rPr>
                <w:szCs w:val="28"/>
              </w:rPr>
              <w:t xml:space="preserve"> </w:t>
            </w:r>
            <w:r>
              <w:rPr>
                <w:szCs w:val="28"/>
                <w:lang w:val="en-US"/>
              </w:rPr>
              <w:t>724</w:t>
            </w:r>
            <w:r>
              <w:rPr>
                <w:szCs w:val="28"/>
              </w:rPr>
              <w:t>,3</w:t>
            </w:r>
            <w:r>
              <w:rPr>
                <w:szCs w:val="28"/>
                <w:lang w:val="en-US"/>
              </w:rPr>
              <w:t>6</w:t>
            </w:r>
            <w:r>
              <w:rPr>
                <w:szCs w:val="28"/>
                <w:lang w:val="ru-RU"/>
              </w:rPr>
              <w:t xml:space="preserve"> </w:t>
            </w:r>
            <w:r>
              <w:rPr>
                <w:szCs w:val="28"/>
              </w:rPr>
              <w:t>тис. грн</w:t>
            </w:r>
          </w:p>
        </w:tc>
      </w:tr>
      <w:tr>
        <w:trPr/>
        <w:tc>
          <w:tcPr>
            <w:tcW w:w="583" w:type="dxa"/>
            <w:tcBorders>
              <w:star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end="-141"/>
              <w:jc w:val="center"/>
              <w:rPr>
                <w:szCs w:val="22"/>
              </w:rPr>
            </w:pPr>
            <w:r>
              <w:rPr>
                <w:szCs w:val="22"/>
              </w:rPr>
              <w:t>7.2</w:t>
            </w:r>
          </w:p>
        </w:tc>
        <w:tc>
          <w:tcPr>
            <w:tcW w:w="4202" w:type="dxa"/>
            <w:tcBorders>
              <w:star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end="-141"/>
              <w:rPr>
                <w:szCs w:val="28"/>
              </w:rPr>
            </w:pPr>
            <w:r>
              <w:rPr>
                <w:szCs w:val="28"/>
              </w:rPr>
              <w:t>коштів державного бюджету</w:t>
            </w:r>
          </w:p>
        </w:tc>
        <w:tc>
          <w:tcPr>
            <w:tcW w:w="4455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szCs w:val="22"/>
                <w:lang w:val="en-US"/>
              </w:rPr>
              <w:t>1</w:t>
            </w:r>
            <w:r>
              <w:rPr>
                <w:szCs w:val="22"/>
              </w:rPr>
              <w:t> </w:t>
            </w:r>
            <w:r>
              <w:rPr>
                <w:szCs w:val="22"/>
                <w:lang w:val="en-US"/>
              </w:rPr>
              <w:t>819</w:t>
            </w:r>
            <w:r>
              <w:rPr>
                <w:szCs w:val="22"/>
              </w:rPr>
              <w:t xml:space="preserve"> 660,00</w:t>
            </w:r>
            <w:r>
              <w:rPr>
                <w:szCs w:val="22"/>
                <w:lang w:val="en-US"/>
              </w:rPr>
              <w:t xml:space="preserve"> </w:t>
            </w:r>
            <w:r>
              <w:rPr>
                <w:szCs w:val="22"/>
              </w:rPr>
              <w:t>тис. грн</w:t>
            </w:r>
          </w:p>
        </w:tc>
      </w:tr>
      <w:tr>
        <w:trPr/>
        <w:tc>
          <w:tcPr>
            <w:tcW w:w="58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end="-141"/>
              <w:jc w:val="center"/>
              <w:rPr>
                <w:szCs w:val="22"/>
              </w:rPr>
            </w:pPr>
            <w:r>
              <w:rPr>
                <w:szCs w:val="22"/>
              </w:rPr>
              <w:t>7.3</w:t>
            </w:r>
          </w:p>
        </w:tc>
        <w:tc>
          <w:tcPr>
            <w:tcW w:w="420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end="-141"/>
              <w:rPr>
                <w:szCs w:val="28"/>
              </w:rPr>
            </w:pPr>
            <w:r>
              <w:rPr>
                <w:szCs w:val="22"/>
              </w:rPr>
              <w:t>коштів інших джерел</w:t>
            </w:r>
          </w:p>
        </w:tc>
        <w:tc>
          <w:tcPr>
            <w:tcW w:w="445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lang w:val="en-US"/>
              </w:rPr>
              <w:t>2</w:t>
            </w:r>
            <w:r>
              <w:rPr/>
              <w:t> </w:t>
            </w:r>
            <w:r>
              <w:rPr>
                <w:lang w:val="en-US"/>
              </w:rPr>
              <w:t>390</w:t>
            </w:r>
            <w:r>
              <w:rPr/>
              <w:t xml:space="preserve"> </w:t>
            </w:r>
            <w:r>
              <w:rPr>
                <w:lang w:val="en-US"/>
              </w:rPr>
              <w:t>749</w:t>
            </w:r>
            <w:r>
              <w:rPr/>
              <w:t>,</w:t>
            </w:r>
            <w:r>
              <w:rPr>
                <w:lang w:val="en-US"/>
              </w:rPr>
              <w:t>44</w:t>
            </w:r>
            <w:r>
              <w:rPr/>
              <w:t xml:space="preserve"> </w:t>
            </w:r>
            <w:r>
              <w:rPr>
                <w:szCs w:val="28"/>
              </w:rPr>
              <w:t>тис. грн</w:t>
            </w:r>
          </w:p>
        </w:tc>
      </w:tr>
    </w:tbl>
    <w:p>
      <w:pPr>
        <w:sectPr>
          <w:type w:val="nextPage"/>
          <w:pgSz w:w="11906" w:h="16838"/>
          <w:pgMar w:left="1984" w:right="567" w:gutter="0" w:header="0" w:top="567" w:footer="0" w:bottom="1417"/>
          <w:pgNumType w:start="1" w:fmt="decimal"/>
          <w:formProt w:val="false"/>
          <w:textDirection w:val="lrTb"/>
          <w:docGrid w:type="default" w:linePitch="100" w:charSpace="0"/>
        </w:sectPr>
      </w:pPr>
    </w:p>
    <w:p>
      <w:pPr>
        <w:pStyle w:val="ListParagraph"/>
        <w:widowControl w:val="false"/>
        <w:ind w:start="0" w:end="-141"/>
        <w:jc w:val="center"/>
        <w:rPr>
          <w:b/>
        </w:rPr>
      </w:pPr>
      <w:r>
        <w:rPr>
          <w:b/>
        </w:rPr>
        <w:t>1. Аналіз динаміки змін та поточної ситуації</w:t>
      </w:r>
    </w:p>
    <w:p>
      <w:pPr>
        <w:pStyle w:val="ListParagraph"/>
        <w:widowControl w:val="false"/>
        <w:ind w:start="927" w:end="-141"/>
        <w:rPr>
          <w:sz w:val="10"/>
          <w:szCs w:val="10"/>
        </w:rPr>
      </w:pPr>
      <w:r>
        <w:rPr>
          <w:sz w:val="10"/>
          <w:szCs w:val="10"/>
        </w:rPr>
      </w:r>
    </w:p>
    <w:p>
      <w:pPr>
        <w:pStyle w:val="BodyText"/>
        <w:spacing w:lineRule="auto" w:line="240" w:before="0" w:after="0"/>
        <w:ind w:firstLine="567"/>
        <w:jc w:val="both"/>
        <w:rPr>
          <w:szCs w:val="28"/>
        </w:rPr>
      </w:pPr>
      <w:r>
        <w:rPr>
          <w:color w:val="000000"/>
          <w:szCs w:val="28"/>
          <w:shd w:fill="FFFFFF" w:val="clear"/>
        </w:rPr>
        <w:t xml:space="preserve">Згідно з Законом України «Про енергетичну ефективність» (далі – Закон) органи місцевого самоврядування відповідно до їх повноважень розробляють та затверджують місцеві енергетичні плани та середньострокові цільові програми з їх виконання.   </w:t>
      </w:r>
    </w:p>
    <w:p>
      <w:pPr>
        <w:pStyle w:val="BodyText"/>
        <w:spacing w:lineRule="auto" w:line="240" w:before="0" w:after="0"/>
        <w:ind w:firstLine="567"/>
        <w:jc w:val="both"/>
        <w:rPr>
          <w:szCs w:val="28"/>
        </w:rPr>
      </w:pPr>
      <w:r>
        <w:rPr>
          <w:color w:val="000000"/>
          <w:szCs w:val="28"/>
          <w:shd w:fill="FFFFFF" w:val="clear"/>
        </w:rPr>
        <w:t xml:space="preserve">Муніципальний енергетичний план (МЕП) – вид місцевого енергетичного плану, що спрямований на сталий енергетичний розвиток території громади, охоплює об’єкти (системи), які розташовані на території громади, та затверджується відповідною міською радою. </w:t>
      </w:r>
    </w:p>
    <w:p>
      <w:pPr>
        <w:pStyle w:val="BodyText"/>
        <w:spacing w:lineRule="auto" w:line="240" w:before="0" w:after="0"/>
        <w:ind w:firstLine="567"/>
        <w:jc w:val="both"/>
        <w:rPr>
          <w:rFonts w:eastAsia="Times New Roman" w:cs="Times New Roman"/>
          <w:color w:val="000000"/>
          <w:szCs w:val="28"/>
          <w:shd w:fill="FFFFFF" w:val="clear"/>
          <w:lang w:eastAsia="ru-RU"/>
        </w:rPr>
      </w:pPr>
      <w:r>
        <w:rPr>
          <w:rFonts w:eastAsia="Times New Roman" w:cs="Times New Roman"/>
          <w:color w:val="000000"/>
          <w:szCs w:val="28"/>
          <w:shd w:fill="FFFFFF" w:val="clear"/>
          <w:lang w:eastAsia="ru-RU"/>
        </w:rPr>
        <w:t>За результатами енергетичного планування Луцька міська територіальна громада ставить перед собою конкретні цілі сталого енергетичного розвитку.</w:t>
      </w:r>
    </w:p>
    <w:p>
      <w:pPr>
        <w:pStyle w:val="BodyText"/>
        <w:spacing w:before="0" w:after="0"/>
        <w:ind w:firstLine="567"/>
        <w:jc w:val="both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BodyText"/>
        <w:spacing w:before="0" w:after="0"/>
        <w:ind w:firstLine="567"/>
        <w:jc w:val="center"/>
        <w:rPr>
          <w:szCs w:val="28"/>
        </w:rPr>
      </w:pPr>
      <w:r>
        <w:rPr>
          <w:rFonts w:eastAsia="Times New Roman" w:cs="Times New Roman"/>
          <w:color w:val="000000"/>
          <w:szCs w:val="28"/>
          <w:shd w:fill="FFFFFF" w:val="clear"/>
          <w:lang w:eastAsia="ru-RU"/>
        </w:rPr>
        <w:t xml:space="preserve">Таблиця 1.1. </w:t>
      </w:r>
      <w:r>
        <w:rPr>
          <w:rFonts w:eastAsia="Times New Roman" w:cs="Times New Roman"/>
          <w:color w:val="000000"/>
          <w:szCs w:val="28"/>
          <w:shd w:fill="FFFFFF" w:val="clear"/>
          <w:lang w:eastAsia="uk-UA"/>
        </w:rPr>
        <w:t xml:space="preserve">Конкретні цілі </w:t>
      </w:r>
      <w:r>
        <w:rPr>
          <w:rFonts w:eastAsia="Times New Roman" w:cs="Times New Roman"/>
          <w:color w:val="000000"/>
          <w:szCs w:val="28"/>
          <w:shd w:fill="FFFFFF" w:val="clear"/>
          <w:lang w:eastAsia="ru-RU"/>
        </w:rPr>
        <w:t>сталого енергетичного розвитку</w:t>
      </w:r>
    </w:p>
    <w:p>
      <w:pPr>
        <w:pStyle w:val="BodyText"/>
        <w:spacing w:before="0" w:after="0"/>
        <w:ind w:firstLine="567"/>
        <w:jc w:val="center"/>
        <w:rPr>
          <w:rFonts w:eastAsia="Times New Roman" w:cs="Times New Roman"/>
          <w:color w:val="000000"/>
          <w:szCs w:val="28"/>
          <w:shd w:fill="FFFFFF" w:val="clear"/>
          <w:lang w:eastAsia="uk-UA"/>
        </w:rPr>
      </w:pPr>
      <w:r>
        <w:rPr>
          <w:rFonts w:eastAsia="Times New Roman" w:cs="Times New Roman"/>
          <w:color w:val="000000"/>
          <w:szCs w:val="28"/>
          <w:shd w:fill="FFFFFF" w:val="clear"/>
          <w:lang w:eastAsia="uk-UA"/>
        </w:rPr>
        <w:t xml:space="preserve"> </w:t>
      </w:r>
      <w:r>
        <w:rPr>
          <w:rFonts w:eastAsia="Times New Roman" w:cs="Times New Roman"/>
          <w:color w:val="000000"/>
          <w:szCs w:val="28"/>
          <w:shd w:fill="FFFFFF" w:val="clear"/>
          <w:lang w:eastAsia="uk-UA"/>
        </w:rPr>
        <w:t>Луцької міської територіальної громади до 2030 року</w:t>
      </w:r>
    </w:p>
    <w:p>
      <w:pPr>
        <w:pStyle w:val="BodyText"/>
        <w:spacing w:before="0" w:after="0"/>
        <w:ind w:firstLine="567"/>
        <w:jc w:val="center"/>
        <w:rPr>
          <w:sz w:val="12"/>
          <w:szCs w:val="12"/>
        </w:rPr>
      </w:pPr>
      <w:r>
        <w:rPr>
          <w:sz w:val="12"/>
          <w:szCs w:val="12"/>
        </w:rPr>
      </w:r>
    </w:p>
    <w:tbl>
      <w:tblPr>
        <w:tblW w:w="9405" w:type="dxa"/>
        <w:jc w:val="start"/>
        <w:tblInd w:w="-33" w:type="dxa"/>
        <w:tblLayout w:type="fixed"/>
        <w:tblCellMar>
          <w:top w:w="55" w:type="dxa"/>
          <w:start w:w="108" w:type="dxa"/>
          <w:bottom w:w="55" w:type="dxa"/>
          <w:end w:w="108" w:type="dxa"/>
        </w:tblCellMar>
        <w:tblLook w:firstRow="1" w:noVBand="1" w:lastRow="0" w:firstColumn="1" w:lastColumn="0" w:noHBand="0" w:val="04a0"/>
      </w:tblPr>
      <w:tblGrid>
        <w:gridCol w:w="4868"/>
        <w:gridCol w:w="4537"/>
      </w:tblGrid>
      <w:tr>
        <w:trPr/>
        <w:tc>
          <w:tcPr>
            <w:tcW w:w="486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</w:rPr>
            </w:pPr>
            <w:r>
              <w:rPr>
                <w:rFonts w:cs="Times New Roman"/>
                <w:sz w:val="24"/>
                <w:lang w:eastAsia="ru-RU"/>
              </w:rPr>
              <w:t>Конкретні цілі</w:t>
            </w:r>
          </w:p>
        </w:tc>
        <w:tc>
          <w:tcPr>
            <w:tcW w:w="453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</w:rPr>
            </w:pPr>
            <w:r>
              <w:rPr>
                <w:rFonts w:cs="Times New Roman"/>
                <w:sz w:val="24"/>
                <w:shd w:fill="FFFFFF" w:val="clear"/>
                <w:lang w:eastAsia="ru-RU"/>
              </w:rPr>
              <w:t>Кількісні показники</w:t>
            </w:r>
          </w:p>
        </w:tc>
      </w:tr>
      <w:tr>
        <w:trPr/>
        <w:tc>
          <w:tcPr>
            <w:tcW w:w="4868" w:type="dxa"/>
            <w:tcBorders>
              <w:star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</w:rPr>
            </w:pPr>
            <w:r>
              <w:rPr>
                <w:rFonts w:cs="Times New Roman"/>
                <w:sz w:val="24"/>
                <w:lang w:eastAsia="ru-RU"/>
              </w:rPr>
              <w:t>Скорочення енергоспоживання внаслідок підвищення енергоефективності</w:t>
            </w:r>
          </w:p>
        </w:tc>
        <w:tc>
          <w:tcPr>
            <w:tcW w:w="4537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</w:rPr>
            </w:pPr>
            <w:r>
              <w:rPr>
                <w:sz w:val="24"/>
                <w:shd w:fill="FFFFFF" w:val="clear"/>
                <w:lang w:val="en-US" w:eastAsia="ru-RU"/>
              </w:rPr>
              <w:t>15,8</w:t>
            </w:r>
            <w:r>
              <w:rPr>
                <w:sz w:val="24"/>
                <w:shd w:fill="FFFFFF" w:val="clear"/>
                <w:lang w:eastAsia="ru-RU"/>
              </w:rPr>
              <w:t> % або</w:t>
            </w:r>
            <w:r>
              <w:rPr>
                <w:sz w:val="24"/>
                <w:shd w:fill="FFFFFF" w:val="clear"/>
                <w:lang w:val="en-US" w:eastAsia="ru-RU"/>
              </w:rPr>
              <w:t xml:space="preserve"> 394 161</w:t>
            </w:r>
            <w:r>
              <w:rPr>
                <w:sz w:val="24"/>
                <w:shd w:fill="FFFFFF" w:val="clear"/>
                <w:lang w:eastAsia="ru-RU"/>
              </w:rPr>
              <w:t>,</w:t>
            </w:r>
            <w:r>
              <w:rPr>
                <w:sz w:val="24"/>
                <w:shd w:fill="FFFFFF" w:val="clear"/>
                <w:lang w:val="en-US" w:eastAsia="ru-RU"/>
              </w:rPr>
              <w:t>5</w:t>
            </w:r>
            <w:r>
              <w:rPr>
                <w:sz w:val="24"/>
                <w:shd w:fill="FFFFFF" w:val="clear"/>
                <w:lang w:eastAsia="ru-RU"/>
              </w:rPr>
              <w:t xml:space="preserve"> </w:t>
            </w:r>
            <w:r>
              <w:rPr>
                <w:rFonts w:eastAsia="Microsoft Sans Serif" w:cs="Times New Roman"/>
                <w:color w:val="000000"/>
                <w:kern w:val="2"/>
                <w:sz w:val="24"/>
                <w:shd w:fill="FFFFFF" w:val="clear"/>
                <w:lang w:eastAsia="ru-RU"/>
              </w:rPr>
              <w:t>МВт∙год</w:t>
            </w:r>
          </w:p>
        </w:tc>
      </w:tr>
      <w:tr>
        <w:trPr/>
        <w:tc>
          <w:tcPr>
            <w:tcW w:w="4868" w:type="dxa"/>
            <w:tcBorders>
              <w:star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</w:rPr>
            </w:pPr>
            <w:r>
              <w:rPr>
                <w:rFonts w:cs="Times New Roman"/>
                <w:sz w:val="24"/>
                <w:lang w:eastAsia="ru-RU"/>
              </w:rPr>
              <w:t>Підвищення частки ВДЕ в кінцевому споживанні енергії</w:t>
            </w:r>
          </w:p>
        </w:tc>
        <w:tc>
          <w:tcPr>
            <w:tcW w:w="4537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</w:rPr>
            </w:pPr>
            <w:r>
              <w:rPr>
                <w:sz w:val="24"/>
                <w:shd w:fill="FFFFFF" w:val="clear"/>
                <w:lang w:eastAsia="ru-RU"/>
              </w:rPr>
              <w:t>2,</w:t>
            </w:r>
            <w:r>
              <w:rPr>
                <w:sz w:val="24"/>
                <w:shd w:fill="FFFFFF" w:val="clear"/>
                <w:lang w:val="en-US" w:eastAsia="ru-RU"/>
              </w:rPr>
              <w:t>2</w:t>
            </w:r>
            <w:r>
              <w:rPr>
                <w:sz w:val="24"/>
                <w:shd w:fill="FFFFFF" w:val="clear"/>
                <w:lang w:eastAsia="ru-RU"/>
              </w:rPr>
              <w:t> %, або 4</w:t>
            </w:r>
            <w:r>
              <w:rPr>
                <w:sz w:val="24"/>
                <w:shd w:fill="FFFFFF" w:val="clear"/>
                <w:lang w:val="en-US" w:eastAsia="ru-RU"/>
              </w:rPr>
              <w:t>6</w:t>
            </w:r>
            <w:r>
              <w:rPr>
                <w:sz w:val="24"/>
                <w:shd w:fill="FFFFFF" w:val="clear"/>
                <w:lang w:eastAsia="ru-RU"/>
              </w:rPr>
              <w:t xml:space="preserve"> </w:t>
            </w:r>
            <w:r>
              <w:rPr>
                <w:sz w:val="24"/>
                <w:shd w:fill="FFFFFF" w:val="clear"/>
                <w:lang w:val="en-US" w:eastAsia="ru-RU"/>
              </w:rPr>
              <w:t>876,</w:t>
            </w:r>
            <w:r>
              <w:rPr>
                <w:sz w:val="24"/>
                <w:shd w:fill="FFFFFF" w:val="clear"/>
                <w:lang w:eastAsia="ru-RU"/>
              </w:rPr>
              <w:t xml:space="preserve">2 </w:t>
            </w:r>
            <w:r>
              <w:rPr>
                <w:rFonts w:eastAsia="Microsoft Sans Serif" w:cs="Times New Roman"/>
                <w:color w:val="000000"/>
                <w:kern w:val="2"/>
                <w:sz w:val="24"/>
                <w:shd w:fill="FFFFFF" w:val="clear"/>
                <w:lang w:eastAsia="ru-RU"/>
              </w:rPr>
              <w:t>МВт∙год</w:t>
            </w:r>
          </w:p>
        </w:tc>
      </w:tr>
    </w:tbl>
    <w:p>
      <w:pPr>
        <w:pStyle w:val="Normal"/>
        <w:spacing w:lineRule="auto" w:line="276"/>
        <w:ind w:firstLine="567"/>
        <w:jc w:val="both"/>
        <w:rPr>
          <w:rFonts w:cs="Times New Roman"/>
          <w:sz w:val="12"/>
          <w:szCs w:val="12"/>
          <w:shd w:fill="FFFFFF" w:val="clear"/>
          <w:lang w:eastAsia="ru-RU"/>
        </w:rPr>
      </w:pPr>
      <w:r>
        <w:rPr>
          <w:rFonts w:cs="Times New Roman"/>
          <w:sz w:val="12"/>
          <w:szCs w:val="12"/>
          <w:shd w:fill="FFFFFF" w:val="clear"/>
          <w:lang w:eastAsia="ru-RU"/>
        </w:rPr>
      </w:r>
    </w:p>
    <w:p>
      <w:pPr>
        <w:pStyle w:val="Normal"/>
        <w:ind w:firstLine="567"/>
        <w:jc w:val="both"/>
        <w:rPr>
          <w:szCs w:val="28"/>
        </w:rPr>
      </w:pPr>
      <w:r>
        <w:rPr>
          <w:rFonts w:cs="Times New Roman"/>
          <w:szCs w:val="28"/>
          <w:shd w:fill="FFFFFF" w:val="clear"/>
          <w:lang w:eastAsia="ru-RU"/>
        </w:rPr>
        <w:t xml:space="preserve">У таблиці 1.2. </w:t>
      </w:r>
      <w:r>
        <w:rPr>
          <w:rFonts w:cs="Times New Roman"/>
          <w:szCs w:val="28"/>
          <w:lang w:eastAsia="ru-RU"/>
        </w:rPr>
        <w:t>наведено секторальні цілі сталого енергетичного розвитку Луцької міської територіальної громади (назви та порядок секторів наведено відповідно до наказу Мінрозвитку від 21.12.2023 № 1163 «Про затвердження Методики розроблення місцевих енергетичних планів» (методології МЕП). Показники підвищення енергоефективності та розвитку відновлювальних джерел енергії (далі – ВДЕ)  вказані відносно базової лінії енергоспоживання (фактичні / прогнозовані значення енергоспоживання за відповідний рік).</w:t>
      </w:r>
    </w:p>
    <w:p>
      <w:pPr>
        <w:pStyle w:val="Normal"/>
        <w:jc w:val="center"/>
        <w:rPr>
          <w:rFonts w:cs="Times New Roman"/>
          <w:szCs w:val="28"/>
          <w:shd w:fill="FFFFFF" w:val="clear"/>
          <w:lang w:eastAsia="ru-RU"/>
        </w:rPr>
      </w:pPr>
      <w:r>
        <w:rPr>
          <w:rFonts w:cs="Times New Roman"/>
          <w:szCs w:val="28"/>
          <w:shd w:fill="FFFFFF" w:val="clear"/>
          <w:lang w:eastAsia="ru-RU"/>
        </w:rPr>
      </w:r>
    </w:p>
    <w:p>
      <w:pPr>
        <w:pStyle w:val="Normal"/>
        <w:jc w:val="center"/>
        <w:rPr>
          <w:rFonts w:cs="Times New Roman"/>
          <w:szCs w:val="28"/>
          <w:lang w:eastAsia="ru-RU"/>
        </w:rPr>
      </w:pPr>
      <w:r>
        <w:rPr>
          <w:rFonts w:cs="Times New Roman"/>
          <w:szCs w:val="28"/>
          <w:shd w:fill="FFFFFF" w:val="clear"/>
          <w:lang w:eastAsia="ru-RU"/>
        </w:rPr>
        <w:t>Таблиця 1.2. Секто</w:t>
      </w:r>
      <w:r>
        <w:rPr>
          <w:rFonts w:cs="Times New Roman"/>
          <w:szCs w:val="28"/>
          <w:lang w:eastAsia="ru-RU"/>
        </w:rPr>
        <w:t>ральні цілі щодо підвищення енергоефективності та розвитку ВДЕ*</w:t>
      </w:r>
    </w:p>
    <w:p>
      <w:pPr>
        <w:pStyle w:val="Normal"/>
        <w:jc w:val="center"/>
        <w:rPr>
          <w:sz w:val="12"/>
          <w:szCs w:val="12"/>
        </w:rPr>
      </w:pPr>
      <w:r>
        <w:rPr>
          <w:sz w:val="12"/>
          <w:szCs w:val="12"/>
        </w:rPr>
      </w:r>
    </w:p>
    <w:tbl>
      <w:tblPr>
        <w:tblW w:w="9300" w:type="dxa"/>
        <w:jc w:val="start"/>
        <w:tblInd w:w="55" w:type="dxa"/>
        <w:tblLayout w:type="fixed"/>
        <w:tblCellMar>
          <w:top w:w="55" w:type="dxa"/>
          <w:start w:w="55" w:type="dxa"/>
          <w:bottom w:w="55" w:type="dxa"/>
          <w:end w:w="55" w:type="dxa"/>
        </w:tblCellMar>
        <w:tblLook w:firstRow="1" w:noVBand="1" w:lastRow="0" w:firstColumn="1" w:lastColumn="0" w:noHBand="0" w:val="04a0"/>
      </w:tblPr>
      <w:tblGrid>
        <w:gridCol w:w="2550"/>
        <w:gridCol w:w="1365"/>
        <w:gridCol w:w="1875"/>
        <w:gridCol w:w="1185"/>
        <w:gridCol w:w="760"/>
        <w:gridCol w:w="993"/>
        <w:gridCol w:w="572"/>
      </w:tblGrid>
      <w:tr>
        <w:trPr/>
        <w:tc>
          <w:tcPr>
            <w:tcW w:w="2550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Назва сектора</w:t>
            </w:r>
          </w:p>
        </w:tc>
        <w:tc>
          <w:tcPr>
            <w:tcW w:w="6750" w:type="dxa"/>
            <w:gridSpan w:val="6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2030</w:t>
            </w:r>
          </w:p>
        </w:tc>
      </w:tr>
      <w:tr>
        <w:trPr/>
        <w:tc>
          <w:tcPr>
            <w:tcW w:w="2550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365" w:type="dxa"/>
            <w:tcBorders>
              <w:star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Базове кінцеве споживання</w:t>
            </w:r>
          </w:p>
        </w:tc>
        <w:tc>
          <w:tcPr>
            <w:tcW w:w="1875" w:type="dxa"/>
            <w:tcBorders>
              <w:star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Прогнозоване кінцеве споживання енергії</w:t>
            </w:r>
          </w:p>
        </w:tc>
        <w:tc>
          <w:tcPr>
            <w:tcW w:w="1945" w:type="dxa"/>
            <w:gridSpan w:val="2"/>
            <w:tcBorders>
              <w:star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Підвищення енергоефективності</w:t>
            </w:r>
          </w:p>
        </w:tc>
        <w:tc>
          <w:tcPr>
            <w:tcW w:w="1565" w:type="dxa"/>
            <w:gridSpan w:val="2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Розвиток ВДЕ</w:t>
            </w:r>
          </w:p>
        </w:tc>
      </w:tr>
      <w:tr>
        <w:trPr/>
        <w:tc>
          <w:tcPr>
            <w:tcW w:w="2550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365" w:type="dxa"/>
            <w:tcBorders>
              <w:star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МВт⋅год/рік</w:t>
            </w:r>
          </w:p>
        </w:tc>
        <w:tc>
          <w:tcPr>
            <w:tcW w:w="1875" w:type="dxa"/>
            <w:tcBorders>
              <w:star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МВт⋅год/рік</w:t>
            </w:r>
          </w:p>
        </w:tc>
        <w:tc>
          <w:tcPr>
            <w:tcW w:w="1185" w:type="dxa"/>
            <w:tcBorders>
              <w:star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МВт⋅год/рік</w:t>
            </w:r>
          </w:p>
        </w:tc>
        <w:tc>
          <w:tcPr>
            <w:tcW w:w="760" w:type="dxa"/>
            <w:tcBorders>
              <w:star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%*</w:t>
            </w:r>
          </w:p>
        </w:tc>
        <w:tc>
          <w:tcPr>
            <w:tcW w:w="993" w:type="dxa"/>
            <w:tcBorders>
              <w:star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20" w:leader="none"/>
                <w:tab w:val="left" w:pos="1665" w:leader="none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МВт⋅год/рік</w:t>
            </w:r>
          </w:p>
        </w:tc>
        <w:tc>
          <w:tcPr>
            <w:tcW w:w="572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%</w:t>
            </w:r>
          </w:p>
        </w:tc>
      </w:tr>
      <w:tr>
        <w:trPr/>
        <w:tc>
          <w:tcPr>
            <w:tcW w:w="9300" w:type="dxa"/>
            <w:gridSpan w:val="7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Обов'язкові сектори</w:t>
            </w:r>
          </w:p>
        </w:tc>
      </w:tr>
      <w:tr>
        <w:trPr/>
        <w:tc>
          <w:tcPr>
            <w:tcW w:w="2550" w:type="dxa"/>
            <w:tcBorders>
              <w:star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Громадські (муніципальні) будівлі</w:t>
            </w:r>
          </w:p>
        </w:tc>
        <w:tc>
          <w:tcPr>
            <w:tcW w:w="1365" w:type="dxa"/>
            <w:tcBorders>
              <w:star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21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103118,1</w:t>
            </w:r>
          </w:p>
        </w:tc>
        <w:tc>
          <w:tcPr>
            <w:tcW w:w="1875" w:type="dxa"/>
            <w:tcBorders>
              <w:star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21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89572,1</w:t>
            </w:r>
          </w:p>
        </w:tc>
        <w:tc>
          <w:tcPr>
            <w:tcW w:w="1185" w:type="dxa"/>
            <w:tcBorders>
              <w:star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21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13546,0</w:t>
            </w:r>
          </w:p>
        </w:tc>
        <w:tc>
          <w:tcPr>
            <w:tcW w:w="760" w:type="dxa"/>
            <w:tcBorders>
              <w:star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21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13,1</w:t>
            </w:r>
          </w:p>
        </w:tc>
        <w:tc>
          <w:tcPr>
            <w:tcW w:w="993" w:type="dxa"/>
            <w:tcBorders>
              <w:star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21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1072,2</w:t>
            </w:r>
          </w:p>
        </w:tc>
        <w:tc>
          <w:tcPr>
            <w:tcW w:w="572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Style21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1,2</w:t>
            </w:r>
          </w:p>
        </w:tc>
      </w:tr>
      <w:tr>
        <w:trPr/>
        <w:tc>
          <w:tcPr>
            <w:tcW w:w="2550" w:type="dxa"/>
            <w:tcBorders>
              <w:star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Житлові будівлі</w:t>
            </w:r>
          </w:p>
        </w:tc>
        <w:tc>
          <w:tcPr>
            <w:tcW w:w="1365" w:type="dxa"/>
            <w:tcBorders>
              <w:star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21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1226655,0</w:t>
            </w:r>
          </w:p>
        </w:tc>
        <w:tc>
          <w:tcPr>
            <w:tcW w:w="1875" w:type="dxa"/>
            <w:tcBorders>
              <w:star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21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936655,0</w:t>
            </w:r>
          </w:p>
        </w:tc>
        <w:tc>
          <w:tcPr>
            <w:tcW w:w="1185" w:type="dxa"/>
            <w:tcBorders>
              <w:star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21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290000,0</w:t>
            </w:r>
          </w:p>
        </w:tc>
        <w:tc>
          <w:tcPr>
            <w:tcW w:w="760" w:type="dxa"/>
            <w:tcBorders>
              <w:star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21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23,6</w:t>
            </w:r>
          </w:p>
        </w:tc>
        <w:tc>
          <w:tcPr>
            <w:tcW w:w="993" w:type="dxa"/>
            <w:tcBorders>
              <w:star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21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360,0</w:t>
            </w:r>
          </w:p>
        </w:tc>
        <w:tc>
          <w:tcPr>
            <w:tcW w:w="572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Style21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0,04</w:t>
            </w:r>
          </w:p>
        </w:tc>
      </w:tr>
      <w:tr>
        <w:trPr/>
        <w:tc>
          <w:tcPr>
            <w:tcW w:w="2550" w:type="dxa"/>
            <w:tcBorders>
              <w:star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Сфера теплопостачання</w:t>
            </w:r>
          </w:p>
        </w:tc>
        <w:tc>
          <w:tcPr>
            <w:tcW w:w="1365" w:type="dxa"/>
            <w:tcBorders>
              <w:star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21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134776,9</w:t>
            </w:r>
          </w:p>
        </w:tc>
        <w:tc>
          <w:tcPr>
            <w:tcW w:w="1875" w:type="dxa"/>
            <w:tcBorders>
              <w:star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21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111988,7</w:t>
            </w:r>
          </w:p>
        </w:tc>
        <w:tc>
          <w:tcPr>
            <w:tcW w:w="1185" w:type="dxa"/>
            <w:tcBorders>
              <w:star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21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22788,2</w:t>
            </w:r>
          </w:p>
        </w:tc>
        <w:tc>
          <w:tcPr>
            <w:tcW w:w="760" w:type="dxa"/>
            <w:tcBorders>
              <w:star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21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16,9</w:t>
            </w:r>
          </w:p>
        </w:tc>
        <w:tc>
          <w:tcPr>
            <w:tcW w:w="993" w:type="dxa"/>
            <w:tcBorders>
              <w:star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21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37344,0</w:t>
            </w:r>
          </w:p>
        </w:tc>
        <w:tc>
          <w:tcPr>
            <w:tcW w:w="572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Style21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33,3</w:t>
            </w:r>
          </w:p>
        </w:tc>
      </w:tr>
      <w:tr>
        <w:trPr/>
        <w:tc>
          <w:tcPr>
            <w:tcW w:w="2550" w:type="dxa"/>
            <w:tcBorders>
              <w:star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Сфера водопостачання і водовідведення</w:t>
            </w:r>
          </w:p>
        </w:tc>
        <w:tc>
          <w:tcPr>
            <w:tcW w:w="1365" w:type="dxa"/>
            <w:tcBorders>
              <w:star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21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18432,7</w:t>
            </w:r>
          </w:p>
        </w:tc>
        <w:tc>
          <w:tcPr>
            <w:tcW w:w="1875" w:type="dxa"/>
            <w:tcBorders>
              <w:star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21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10877,7</w:t>
            </w:r>
          </w:p>
        </w:tc>
        <w:tc>
          <w:tcPr>
            <w:tcW w:w="1185" w:type="dxa"/>
            <w:tcBorders>
              <w:star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21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7555,0</w:t>
            </w:r>
          </w:p>
        </w:tc>
        <w:tc>
          <w:tcPr>
            <w:tcW w:w="760" w:type="dxa"/>
            <w:tcBorders>
              <w:star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21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41,0</w:t>
            </w:r>
          </w:p>
        </w:tc>
        <w:tc>
          <w:tcPr>
            <w:tcW w:w="993" w:type="dxa"/>
            <w:tcBorders>
              <w:star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21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0,8</w:t>
            </w:r>
          </w:p>
        </w:tc>
        <w:tc>
          <w:tcPr>
            <w:tcW w:w="572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Style21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0,01</w:t>
            </w:r>
          </w:p>
        </w:tc>
      </w:tr>
      <w:tr>
        <w:trPr/>
        <w:tc>
          <w:tcPr>
            <w:tcW w:w="2550" w:type="dxa"/>
            <w:tcBorders>
              <w:star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Сфера управління побутовими відходами</w:t>
            </w:r>
          </w:p>
        </w:tc>
        <w:tc>
          <w:tcPr>
            <w:tcW w:w="1365" w:type="dxa"/>
            <w:tcBorders>
              <w:star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21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35554,0</w:t>
            </w:r>
          </w:p>
        </w:tc>
        <w:tc>
          <w:tcPr>
            <w:tcW w:w="1875" w:type="dxa"/>
            <w:tcBorders>
              <w:star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21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35554,0</w:t>
            </w:r>
          </w:p>
        </w:tc>
        <w:tc>
          <w:tcPr>
            <w:tcW w:w="1185" w:type="dxa"/>
            <w:tcBorders>
              <w:star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21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760" w:type="dxa"/>
            <w:tcBorders>
              <w:star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21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star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21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572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Style21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</w:tr>
      <w:tr>
        <w:trPr/>
        <w:tc>
          <w:tcPr>
            <w:tcW w:w="25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Зовнішнє освітлення</w:t>
            </w:r>
          </w:p>
        </w:tc>
        <w:tc>
          <w:tcPr>
            <w:tcW w:w="136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Style21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4325,0</w:t>
            </w:r>
          </w:p>
        </w:tc>
        <w:tc>
          <w:tcPr>
            <w:tcW w:w="187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Style21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4325,0</w:t>
            </w:r>
          </w:p>
        </w:tc>
        <w:tc>
          <w:tcPr>
            <w:tcW w:w="118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Style21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7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Style21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Style21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57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Style21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</w:tr>
      <w:tr>
        <w:trPr/>
        <w:tc>
          <w:tcPr>
            <w:tcW w:w="25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Громадський транспорт</w:t>
            </w:r>
          </w:p>
        </w:tc>
        <w:tc>
          <w:tcPr>
            <w:tcW w:w="136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21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41625,5</w:t>
            </w:r>
          </w:p>
        </w:tc>
        <w:tc>
          <w:tcPr>
            <w:tcW w:w="187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21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40375,5</w:t>
            </w:r>
          </w:p>
        </w:tc>
        <w:tc>
          <w:tcPr>
            <w:tcW w:w="118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21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1250,0</w:t>
            </w:r>
          </w:p>
        </w:tc>
        <w:tc>
          <w:tcPr>
            <w:tcW w:w="7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21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3,0</w:t>
            </w:r>
          </w:p>
        </w:tc>
        <w:tc>
          <w:tcPr>
            <w:tcW w:w="99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21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57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Style21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</w:tr>
      <w:tr>
        <w:trPr/>
        <w:tc>
          <w:tcPr>
            <w:tcW w:w="2550" w:type="dxa"/>
            <w:tcBorders>
              <w:star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Всього</w:t>
            </w:r>
          </w:p>
        </w:tc>
        <w:tc>
          <w:tcPr>
            <w:tcW w:w="1365" w:type="dxa"/>
            <w:tcBorders>
              <w:star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21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1564487,3</w:t>
            </w:r>
          </w:p>
        </w:tc>
        <w:tc>
          <w:tcPr>
            <w:tcW w:w="1875" w:type="dxa"/>
            <w:tcBorders>
              <w:star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21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1229348,1</w:t>
            </w:r>
          </w:p>
        </w:tc>
        <w:tc>
          <w:tcPr>
            <w:tcW w:w="1185" w:type="dxa"/>
            <w:tcBorders>
              <w:star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21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335139,2</w:t>
            </w:r>
          </w:p>
        </w:tc>
        <w:tc>
          <w:tcPr>
            <w:tcW w:w="760" w:type="dxa"/>
            <w:tcBorders>
              <w:star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21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21,4</w:t>
            </w:r>
          </w:p>
        </w:tc>
        <w:tc>
          <w:tcPr>
            <w:tcW w:w="993" w:type="dxa"/>
            <w:tcBorders>
              <w:star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21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38777,0</w:t>
            </w:r>
          </w:p>
        </w:tc>
        <w:tc>
          <w:tcPr>
            <w:tcW w:w="572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Style21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3,2</w:t>
            </w:r>
          </w:p>
        </w:tc>
      </w:tr>
      <w:tr>
        <w:trPr/>
        <w:tc>
          <w:tcPr>
            <w:tcW w:w="9300" w:type="dxa"/>
            <w:gridSpan w:val="7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Інші сектори</w:t>
            </w:r>
          </w:p>
        </w:tc>
      </w:tr>
      <w:tr>
        <w:trPr/>
        <w:tc>
          <w:tcPr>
            <w:tcW w:w="2550" w:type="dxa"/>
            <w:tcBorders>
              <w:star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Муніципальний транспорт</w:t>
            </w:r>
          </w:p>
        </w:tc>
        <w:tc>
          <w:tcPr>
            <w:tcW w:w="1365" w:type="dxa"/>
            <w:tcBorders>
              <w:star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21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5525,6</w:t>
            </w:r>
          </w:p>
        </w:tc>
        <w:tc>
          <w:tcPr>
            <w:tcW w:w="1875" w:type="dxa"/>
            <w:tcBorders>
              <w:star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21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4725,6</w:t>
            </w:r>
          </w:p>
        </w:tc>
        <w:tc>
          <w:tcPr>
            <w:tcW w:w="1185" w:type="dxa"/>
            <w:tcBorders>
              <w:star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21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800,0</w:t>
            </w:r>
          </w:p>
        </w:tc>
        <w:tc>
          <w:tcPr>
            <w:tcW w:w="760" w:type="dxa"/>
            <w:tcBorders>
              <w:star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21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14,5</w:t>
            </w:r>
          </w:p>
        </w:tc>
        <w:tc>
          <w:tcPr>
            <w:tcW w:w="993" w:type="dxa"/>
            <w:tcBorders>
              <w:star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21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572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Style21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</w:tr>
      <w:tr>
        <w:trPr/>
        <w:tc>
          <w:tcPr>
            <w:tcW w:w="2550" w:type="dxa"/>
            <w:tcBorders>
              <w:star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Приватний та комерційний транспорт</w:t>
            </w:r>
          </w:p>
        </w:tc>
        <w:tc>
          <w:tcPr>
            <w:tcW w:w="1365" w:type="dxa"/>
            <w:tcBorders>
              <w:star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21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244098,9</w:t>
            </w:r>
          </w:p>
        </w:tc>
        <w:tc>
          <w:tcPr>
            <w:tcW w:w="1875" w:type="dxa"/>
            <w:tcBorders>
              <w:star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21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233976,6</w:t>
            </w:r>
          </w:p>
        </w:tc>
        <w:tc>
          <w:tcPr>
            <w:tcW w:w="1185" w:type="dxa"/>
            <w:tcBorders>
              <w:star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21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10122,3</w:t>
            </w:r>
          </w:p>
        </w:tc>
        <w:tc>
          <w:tcPr>
            <w:tcW w:w="760" w:type="dxa"/>
            <w:tcBorders>
              <w:star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21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4,1</w:t>
            </w:r>
          </w:p>
        </w:tc>
        <w:tc>
          <w:tcPr>
            <w:tcW w:w="993" w:type="dxa"/>
            <w:tcBorders>
              <w:star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21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572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Style21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</w:tr>
      <w:tr>
        <w:trPr/>
        <w:tc>
          <w:tcPr>
            <w:tcW w:w="2550" w:type="dxa"/>
            <w:tcBorders>
              <w:star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bCs w:val="false"/>
                <w:sz w:val="20"/>
                <w:szCs w:val="20"/>
              </w:rPr>
            </w:pPr>
            <w:r>
              <w:rPr>
                <w:bCs w:val="false"/>
                <w:sz w:val="20"/>
                <w:szCs w:val="20"/>
              </w:rPr>
              <w:t>Третинні будівлі, обладнання / об'єкти</w:t>
            </w:r>
            <w:r>
              <w:rPr>
                <w:rFonts w:cs="Times New Roman"/>
                <w:bCs w:val="false"/>
                <w:color w:val="000000"/>
                <w:kern w:val="2"/>
                <w:sz w:val="20"/>
                <w:szCs w:val="20"/>
                <w:shd w:fill="FFFFFF" w:val="clear"/>
                <w:lang w:bidi="hi-IN"/>
              </w:rPr>
              <w:t xml:space="preserve"> промисловості та сфери послуг</w:t>
            </w:r>
          </w:p>
        </w:tc>
        <w:tc>
          <w:tcPr>
            <w:tcW w:w="1365" w:type="dxa"/>
            <w:tcBorders>
              <w:star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21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682630,8</w:t>
            </w:r>
          </w:p>
        </w:tc>
        <w:tc>
          <w:tcPr>
            <w:tcW w:w="1875" w:type="dxa"/>
            <w:tcBorders>
              <w:star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21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634530,8</w:t>
            </w:r>
          </w:p>
        </w:tc>
        <w:tc>
          <w:tcPr>
            <w:tcW w:w="1185" w:type="dxa"/>
            <w:tcBorders>
              <w:star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21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48100,0</w:t>
            </w:r>
          </w:p>
        </w:tc>
        <w:tc>
          <w:tcPr>
            <w:tcW w:w="760" w:type="dxa"/>
            <w:tcBorders>
              <w:star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21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7,0</w:t>
            </w:r>
          </w:p>
        </w:tc>
        <w:tc>
          <w:tcPr>
            <w:tcW w:w="993" w:type="dxa"/>
            <w:tcBorders>
              <w:star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21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1200,0</w:t>
            </w:r>
          </w:p>
        </w:tc>
        <w:tc>
          <w:tcPr>
            <w:tcW w:w="572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Style21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0,2</w:t>
            </w:r>
          </w:p>
        </w:tc>
      </w:tr>
      <w:tr>
        <w:trPr/>
        <w:tc>
          <w:tcPr>
            <w:tcW w:w="2550" w:type="dxa"/>
            <w:tcBorders>
              <w:star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Місцеве виробництво електроенергії з ВДЕ</w:t>
            </w:r>
          </w:p>
        </w:tc>
        <w:tc>
          <w:tcPr>
            <w:tcW w:w="1365" w:type="dxa"/>
            <w:tcBorders>
              <w:star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21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875" w:type="dxa"/>
            <w:tcBorders>
              <w:star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21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185" w:type="dxa"/>
            <w:tcBorders>
              <w:star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21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760" w:type="dxa"/>
            <w:tcBorders>
              <w:star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21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star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21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6900,0</w:t>
            </w:r>
          </w:p>
        </w:tc>
        <w:tc>
          <w:tcPr>
            <w:tcW w:w="572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Style21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>
        <w:trPr/>
        <w:tc>
          <w:tcPr>
            <w:tcW w:w="2550" w:type="dxa"/>
            <w:tcBorders>
              <w:star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Всього</w:t>
            </w:r>
          </w:p>
        </w:tc>
        <w:tc>
          <w:tcPr>
            <w:tcW w:w="1365" w:type="dxa"/>
            <w:tcBorders>
              <w:star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21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932255,4</w:t>
            </w:r>
          </w:p>
        </w:tc>
        <w:tc>
          <w:tcPr>
            <w:tcW w:w="1875" w:type="dxa"/>
            <w:tcBorders>
              <w:star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21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873233,1</w:t>
            </w:r>
          </w:p>
        </w:tc>
        <w:tc>
          <w:tcPr>
            <w:tcW w:w="1185" w:type="dxa"/>
            <w:tcBorders>
              <w:star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21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59022,3</w:t>
            </w:r>
          </w:p>
        </w:tc>
        <w:tc>
          <w:tcPr>
            <w:tcW w:w="760" w:type="dxa"/>
            <w:tcBorders>
              <w:star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21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6,3</w:t>
            </w:r>
          </w:p>
        </w:tc>
        <w:tc>
          <w:tcPr>
            <w:tcW w:w="993" w:type="dxa"/>
            <w:tcBorders>
              <w:star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21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8100,0</w:t>
            </w:r>
          </w:p>
        </w:tc>
        <w:tc>
          <w:tcPr>
            <w:tcW w:w="572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Style21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0,9</w:t>
            </w:r>
          </w:p>
        </w:tc>
      </w:tr>
      <w:tr>
        <w:trPr/>
        <w:tc>
          <w:tcPr>
            <w:tcW w:w="2550" w:type="dxa"/>
            <w:tcBorders>
              <w:star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ЗАГАЛОМ</w:t>
            </w:r>
          </w:p>
        </w:tc>
        <w:tc>
          <w:tcPr>
            <w:tcW w:w="1365" w:type="dxa"/>
            <w:tcBorders>
              <w:star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21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2496742,7</w:t>
            </w:r>
          </w:p>
        </w:tc>
        <w:tc>
          <w:tcPr>
            <w:tcW w:w="1875" w:type="dxa"/>
            <w:tcBorders>
              <w:star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21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2102581,2</w:t>
            </w:r>
          </w:p>
        </w:tc>
        <w:tc>
          <w:tcPr>
            <w:tcW w:w="1185" w:type="dxa"/>
            <w:tcBorders>
              <w:star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21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394161,5</w:t>
            </w:r>
          </w:p>
        </w:tc>
        <w:tc>
          <w:tcPr>
            <w:tcW w:w="760" w:type="dxa"/>
            <w:tcBorders>
              <w:star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21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15,8</w:t>
            </w:r>
          </w:p>
        </w:tc>
        <w:tc>
          <w:tcPr>
            <w:tcW w:w="993" w:type="dxa"/>
            <w:tcBorders>
              <w:star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21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46877,0</w:t>
            </w:r>
          </w:p>
        </w:tc>
        <w:tc>
          <w:tcPr>
            <w:tcW w:w="572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Style21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2,2</w:t>
            </w:r>
          </w:p>
        </w:tc>
      </w:tr>
    </w:tbl>
    <w:p>
      <w:pPr>
        <w:pStyle w:val="Normal"/>
        <w:rPr>
          <w:sz w:val="24"/>
        </w:rPr>
      </w:pPr>
      <w:r>
        <w:rPr>
          <w:sz w:val="24"/>
        </w:rPr>
        <w:t>*підсумкові показники у даній таблиці заокруглені до цілих значень з одним десятковим числом після коми</w:t>
      </w:r>
    </w:p>
    <w:p>
      <w:pPr>
        <w:pStyle w:val="Normal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BodyText"/>
        <w:spacing w:lineRule="auto" w:line="240" w:before="0" w:after="0"/>
        <w:ind w:firstLine="567"/>
        <w:jc w:val="both"/>
        <w:rPr>
          <w:szCs w:val="28"/>
        </w:rPr>
      </w:pPr>
      <w:r>
        <w:rPr>
          <w:rFonts w:cs="Times New Roman"/>
          <w:color w:val="000000"/>
          <w:szCs w:val="28"/>
          <w:shd w:fill="FFFFFF" w:val="clear"/>
        </w:rPr>
        <w:t xml:space="preserve">Реалізація цілей Муніципального енергетичного плану Луцької  міської територіальної громади до 2030 року планується шляхом впровадження енергоефективних заходів за такими напрямами: </w:t>
      </w:r>
    </w:p>
    <w:p>
      <w:pPr>
        <w:pStyle w:val="BodyText"/>
        <w:spacing w:lineRule="auto" w:line="240" w:before="0" w:after="0"/>
        <w:ind w:firstLine="567"/>
        <w:jc w:val="both"/>
        <w:rPr>
          <w:shd w:fill="FFFFFF" w:val="clear"/>
        </w:rPr>
      </w:pPr>
      <w:r>
        <w:rPr>
          <w:rFonts w:cs="Times New Roman"/>
          <w:color w:val="000000"/>
          <w:szCs w:val="28"/>
          <w:shd w:fill="FFFFFF" w:val="clear"/>
        </w:rPr>
        <w:t>покращення енергоефективності муніципальних будівель, в тому числі через утеплення зовнішніх огороджувальних конструкцій;</w:t>
      </w:r>
    </w:p>
    <w:p>
      <w:pPr>
        <w:pStyle w:val="BodyText"/>
        <w:spacing w:lineRule="auto" w:line="240" w:before="0" w:after="0"/>
        <w:ind w:firstLine="567"/>
        <w:jc w:val="both"/>
        <w:rPr>
          <w:shd w:fill="FFFFFF" w:val="clear"/>
        </w:rPr>
      </w:pPr>
      <w:r>
        <w:rPr>
          <w:rFonts w:cs="Times New Roman"/>
          <w:color w:val="000000"/>
          <w:szCs w:val="28"/>
          <w:shd w:fill="FFFFFF" w:val="clear"/>
        </w:rPr>
        <w:t>впровадження енергоефективних заходів для інженерних мереж та використання теплових насосів;</w:t>
      </w:r>
    </w:p>
    <w:p>
      <w:pPr>
        <w:pStyle w:val="BodyText"/>
        <w:spacing w:lineRule="auto" w:line="240" w:before="0" w:after="0"/>
        <w:ind w:firstLine="567"/>
        <w:jc w:val="both"/>
        <w:rPr>
          <w:shd w:fill="FFFFFF" w:val="clear"/>
        </w:rPr>
      </w:pPr>
      <w:r>
        <w:rPr>
          <w:rFonts w:cs="Times New Roman"/>
          <w:color w:val="000000"/>
          <w:szCs w:val="28"/>
          <w:shd w:fill="FFFFFF" w:val="clear"/>
        </w:rPr>
        <w:t>термомодернізація житлових будівель;</w:t>
      </w:r>
    </w:p>
    <w:p>
      <w:pPr>
        <w:pStyle w:val="BodyText"/>
        <w:spacing w:lineRule="auto" w:line="240" w:before="0" w:after="0"/>
        <w:ind w:firstLine="567"/>
        <w:jc w:val="both"/>
        <w:rPr>
          <w:shd w:fill="FFFFFF" w:val="clear"/>
        </w:rPr>
      </w:pPr>
      <w:r>
        <w:rPr>
          <w:rFonts w:cs="Times New Roman"/>
          <w:color w:val="000000"/>
          <w:szCs w:val="28"/>
          <w:shd w:fill="FFFFFF" w:val="clear"/>
        </w:rPr>
        <w:t>продовження робіт із модернізації систем водопостачання та водовідведення, в тому числі очисних споруд;</w:t>
      </w:r>
    </w:p>
    <w:p>
      <w:pPr>
        <w:pStyle w:val="BodyText"/>
        <w:spacing w:lineRule="auto" w:line="240" w:before="0" w:after="0"/>
        <w:ind w:firstLine="567"/>
        <w:jc w:val="both"/>
        <w:rPr>
          <w:shd w:fill="FFFFFF" w:val="clear"/>
        </w:rPr>
      </w:pPr>
      <w:r>
        <w:rPr>
          <w:rFonts w:cs="Times New Roman"/>
          <w:color w:val="000000"/>
          <w:szCs w:val="28"/>
          <w:shd w:fill="FFFFFF" w:val="clear"/>
        </w:rPr>
        <w:t>оновлення транспортної інфраструктури міста;</w:t>
      </w:r>
    </w:p>
    <w:p>
      <w:pPr>
        <w:pStyle w:val="BodyText"/>
        <w:spacing w:lineRule="auto" w:line="240" w:before="0" w:after="0"/>
        <w:ind w:firstLine="567"/>
        <w:jc w:val="both"/>
        <w:rPr>
          <w:shd w:fill="FFFFFF" w:val="clear"/>
        </w:rPr>
      </w:pPr>
      <w:r>
        <w:rPr>
          <w:rFonts w:cs="Times New Roman"/>
          <w:color w:val="000000"/>
          <w:szCs w:val="28"/>
          <w:shd w:fill="FFFFFF" w:val="clear"/>
        </w:rPr>
        <w:t>побудова сонячних електростанцій (СЕС) та вітрових електростанцій (ВЕС) для забезпечення енергетичної сталості та комерційного використання;</w:t>
      </w:r>
    </w:p>
    <w:p>
      <w:pPr>
        <w:pStyle w:val="BodyText"/>
        <w:spacing w:lineRule="auto" w:line="240" w:before="0" w:after="0"/>
        <w:ind w:firstLine="567"/>
        <w:jc w:val="both"/>
        <w:rPr>
          <w:shd w:fill="FFFFFF" w:val="clear"/>
        </w:rPr>
      </w:pPr>
      <w:r>
        <w:rPr>
          <w:rFonts w:cs="Times New Roman"/>
          <w:color w:val="000000"/>
          <w:szCs w:val="28"/>
          <w:shd w:fill="FFFFFF" w:val="clear"/>
        </w:rPr>
        <w:t>проведення заходів із популяризації енергоефективності та використання ВДЕ;</w:t>
      </w:r>
    </w:p>
    <w:p>
      <w:pPr>
        <w:pStyle w:val="BodyText"/>
        <w:spacing w:lineRule="auto" w:line="240" w:before="0" w:after="0"/>
        <w:ind w:firstLine="567"/>
        <w:jc w:val="both"/>
        <w:rPr>
          <w:shd w:fill="FFFFFF" w:val="clear"/>
        </w:rPr>
      </w:pPr>
      <w:r>
        <w:rPr>
          <w:rFonts w:cs="Times New Roman"/>
          <w:color w:val="000000"/>
          <w:szCs w:val="28"/>
          <w:shd w:fill="FFFFFF" w:val="clear"/>
        </w:rPr>
        <w:t xml:space="preserve">інші енергоефективні заходи. </w:t>
      </w:r>
    </w:p>
    <w:p>
      <w:pPr>
        <w:pStyle w:val="Normal"/>
        <w:ind w:firstLine="567"/>
        <w:jc w:val="both"/>
        <w:rPr>
          <w:rFonts w:eastAsia="Times New Roman" w:cs="Times New Roman"/>
          <w:color w:val="000000"/>
          <w:szCs w:val="28"/>
          <w:lang w:eastAsia="uk-UA"/>
        </w:rPr>
      </w:pPr>
      <w:r>
        <w:rPr>
          <w:szCs w:val="28"/>
        </w:rPr>
        <w:t xml:space="preserve">У таблиці 1.3. наведено зведений енергетичний баланс </w:t>
      </w:r>
      <w:r>
        <w:rPr>
          <w:rFonts w:eastAsia="Times New Roman" w:cs="Times New Roman"/>
          <w:color w:val="000000"/>
          <w:szCs w:val="28"/>
          <w:lang w:eastAsia="uk-UA"/>
        </w:rPr>
        <w:t>на період енергетичного плану із зазначенням кількісних показників по роках (тис. грн).</w:t>
      </w:r>
    </w:p>
    <w:p>
      <w:pPr>
        <w:pStyle w:val="Normal"/>
        <w:spacing w:lineRule="auto" w:line="276"/>
        <w:ind w:firstLine="567"/>
        <w:jc w:val="both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ListParagraph"/>
        <w:spacing w:before="0" w:after="0"/>
        <w:ind w:start="0"/>
        <w:contextualSpacing w:val="false"/>
        <w:jc w:val="center"/>
        <w:rPr>
          <w:rFonts w:eastAsia="Times New Roman" w:cs="Times New Roman"/>
          <w:color w:val="000000"/>
          <w:szCs w:val="28"/>
          <w:shd w:fill="FFFFFF" w:val="clear"/>
          <w:lang w:eastAsia="uk-UA"/>
        </w:rPr>
      </w:pPr>
      <w:r>
        <w:rPr>
          <w:rFonts w:eastAsia="Times New Roman" w:cs="Times New Roman"/>
          <w:color w:val="000000"/>
          <w:szCs w:val="28"/>
          <w:shd w:fill="FFFFFF" w:val="clear"/>
          <w:lang w:eastAsia="uk-UA"/>
        </w:rPr>
        <w:t>Таблиця 1.3. Зведений інвестиційний баланс на період дії МЕП із зазначенням кількісних показників по роках, млн грн*</w:t>
      </w:r>
    </w:p>
    <w:p>
      <w:pPr>
        <w:pStyle w:val="ListParagraph"/>
        <w:spacing w:before="0" w:after="0"/>
        <w:ind w:start="0"/>
        <w:contextualSpacing w:val="false"/>
        <w:jc w:val="center"/>
        <w:rPr>
          <w:sz w:val="12"/>
          <w:szCs w:val="12"/>
        </w:rPr>
      </w:pPr>
      <w:r>
        <w:rPr>
          <w:sz w:val="12"/>
          <w:szCs w:val="12"/>
        </w:rPr>
      </w:r>
    </w:p>
    <w:tbl>
      <w:tblPr>
        <w:tblW w:w="9300" w:type="dxa"/>
        <w:jc w:val="start"/>
        <w:tblInd w:w="85" w:type="dxa"/>
        <w:tblLayout w:type="fixed"/>
        <w:tblCellMar>
          <w:top w:w="55" w:type="dxa"/>
          <w:start w:w="55" w:type="dxa"/>
          <w:bottom w:w="55" w:type="dxa"/>
          <w:end w:w="55" w:type="dxa"/>
        </w:tblCellMar>
        <w:tblLook w:firstRow="1" w:noVBand="1" w:lastRow="0" w:firstColumn="1" w:lastColumn="0" w:noHBand="0" w:val="04a0"/>
      </w:tblPr>
      <w:tblGrid>
        <w:gridCol w:w="506"/>
        <w:gridCol w:w="2780"/>
        <w:gridCol w:w="1021"/>
        <w:gridCol w:w="1034"/>
        <w:gridCol w:w="1035"/>
        <w:gridCol w:w="1034"/>
        <w:gridCol w:w="1017"/>
        <w:gridCol w:w="873"/>
      </w:tblGrid>
      <w:tr>
        <w:trPr>
          <w:trHeight w:val="276" w:hRule="atLeast"/>
        </w:trPr>
        <w:tc>
          <w:tcPr>
            <w:tcW w:w="50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</w:t>
            </w:r>
          </w:p>
        </w:tc>
        <w:tc>
          <w:tcPr>
            <w:tcW w:w="27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Назва сектору</w:t>
            </w:r>
          </w:p>
        </w:tc>
        <w:tc>
          <w:tcPr>
            <w:tcW w:w="102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2025</w:t>
            </w:r>
          </w:p>
        </w:tc>
        <w:tc>
          <w:tcPr>
            <w:tcW w:w="103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2026</w:t>
            </w:r>
          </w:p>
        </w:tc>
        <w:tc>
          <w:tcPr>
            <w:tcW w:w="103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2027</w:t>
            </w:r>
          </w:p>
        </w:tc>
        <w:tc>
          <w:tcPr>
            <w:tcW w:w="103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2028</w:t>
            </w:r>
          </w:p>
        </w:tc>
        <w:tc>
          <w:tcPr>
            <w:tcW w:w="101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2029</w:t>
            </w:r>
          </w:p>
        </w:tc>
        <w:tc>
          <w:tcPr>
            <w:tcW w:w="87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2030</w:t>
            </w:r>
          </w:p>
        </w:tc>
      </w:tr>
      <w:tr>
        <w:trPr>
          <w:trHeight w:val="276" w:hRule="atLeast"/>
        </w:trPr>
        <w:tc>
          <w:tcPr>
            <w:tcW w:w="506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780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Муніципальні будівлі</w:t>
            </w:r>
          </w:p>
        </w:tc>
        <w:tc>
          <w:tcPr>
            <w:tcW w:w="1021" w:type="dxa"/>
            <w:tcBorders>
              <w:star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21"/>
              <w:jc w:val="center"/>
              <w:rPr>
                <w:bCs w:val="false"/>
                <w:color w:val="000000"/>
                <w:sz w:val="20"/>
                <w:szCs w:val="20"/>
              </w:rPr>
            </w:pPr>
            <w:r>
              <w:rPr>
                <w:bCs w:val="false"/>
                <w:color w:val="000000"/>
                <w:sz w:val="20"/>
                <w:szCs w:val="20"/>
              </w:rPr>
              <w:t>146,5</w:t>
            </w:r>
          </w:p>
        </w:tc>
        <w:tc>
          <w:tcPr>
            <w:tcW w:w="1034" w:type="dxa"/>
            <w:tcBorders>
              <w:star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21"/>
              <w:jc w:val="center"/>
              <w:rPr>
                <w:bCs w:val="false"/>
                <w:color w:val="000000"/>
                <w:sz w:val="20"/>
                <w:szCs w:val="20"/>
              </w:rPr>
            </w:pPr>
            <w:r>
              <w:rPr>
                <w:bCs w:val="false"/>
                <w:color w:val="000000"/>
                <w:sz w:val="20"/>
                <w:szCs w:val="20"/>
              </w:rPr>
              <w:t>102,4</w:t>
            </w:r>
          </w:p>
        </w:tc>
        <w:tc>
          <w:tcPr>
            <w:tcW w:w="1035" w:type="dxa"/>
            <w:tcBorders>
              <w:star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21"/>
              <w:jc w:val="center"/>
              <w:rPr>
                <w:bCs w:val="false"/>
                <w:color w:val="000000"/>
                <w:sz w:val="20"/>
                <w:szCs w:val="20"/>
              </w:rPr>
            </w:pPr>
            <w:r>
              <w:rPr>
                <w:bCs w:val="false"/>
                <w:color w:val="000000"/>
                <w:sz w:val="20"/>
                <w:szCs w:val="20"/>
              </w:rPr>
              <w:t>18,4</w:t>
            </w:r>
          </w:p>
        </w:tc>
        <w:tc>
          <w:tcPr>
            <w:tcW w:w="1034" w:type="dxa"/>
            <w:tcBorders>
              <w:star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21"/>
              <w:jc w:val="center"/>
              <w:rPr>
                <w:bCs w:val="false"/>
                <w:color w:val="000000"/>
                <w:sz w:val="20"/>
                <w:szCs w:val="20"/>
              </w:rPr>
            </w:pPr>
            <w:r>
              <w:rPr>
                <w:bCs w:val="false"/>
                <w:color w:val="000000"/>
                <w:sz w:val="20"/>
                <w:szCs w:val="20"/>
              </w:rPr>
              <w:t>19,4</w:t>
            </w:r>
          </w:p>
        </w:tc>
        <w:tc>
          <w:tcPr>
            <w:tcW w:w="1017" w:type="dxa"/>
            <w:tcBorders>
              <w:star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21"/>
              <w:jc w:val="center"/>
              <w:rPr>
                <w:bCs w:val="false"/>
                <w:color w:val="000000"/>
                <w:sz w:val="20"/>
                <w:szCs w:val="20"/>
              </w:rPr>
            </w:pPr>
            <w:r>
              <w:rPr>
                <w:bCs w:val="false"/>
                <w:color w:val="000000"/>
                <w:sz w:val="20"/>
                <w:szCs w:val="20"/>
              </w:rPr>
              <w:t>20,3</w:t>
            </w:r>
          </w:p>
        </w:tc>
        <w:tc>
          <w:tcPr>
            <w:tcW w:w="873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Style21"/>
              <w:jc w:val="center"/>
              <w:rPr>
                <w:bCs w:val="false"/>
                <w:color w:val="000000"/>
                <w:sz w:val="20"/>
                <w:szCs w:val="20"/>
              </w:rPr>
            </w:pPr>
            <w:r>
              <w:rPr>
                <w:bCs w:val="false"/>
                <w:color w:val="000000"/>
                <w:sz w:val="20"/>
                <w:szCs w:val="20"/>
              </w:rPr>
              <w:t>21,3</w:t>
            </w:r>
          </w:p>
        </w:tc>
      </w:tr>
      <w:tr>
        <w:trPr>
          <w:trHeight w:val="477" w:hRule="atLeast"/>
        </w:trPr>
        <w:tc>
          <w:tcPr>
            <w:tcW w:w="506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2780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Сфера водопостачання та водовідведення</w:t>
            </w:r>
          </w:p>
        </w:tc>
        <w:tc>
          <w:tcPr>
            <w:tcW w:w="1021" w:type="dxa"/>
            <w:tcBorders>
              <w:star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21"/>
              <w:jc w:val="center"/>
              <w:rPr>
                <w:bCs w:val="false"/>
                <w:color w:val="000000"/>
                <w:sz w:val="20"/>
                <w:szCs w:val="20"/>
              </w:rPr>
            </w:pPr>
            <w:r>
              <w:rPr>
                <w:bCs w:val="false"/>
                <w:color w:val="000000"/>
                <w:sz w:val="20"/>
                <w:szCs w:val="20"/>
              </w:rPr>
              <w:t>16,4</w:t>
            </w:r>
          </w:p>
        </w:tc>
        <w:tc>
          <w:tcPr>
            <w:tcW w:w="1034" w:type="dxa"/>
            <w:tcBorders>
              <w:star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21"/>
              <w:jc w:val="center"/>
              <w:rPr>
                <w:bCs w:val="false"/>
                <w:color w:val="000000"/>
                <w:sz w:val="20"/>
                <w:szCs w:val="20"/>
              </w:rPr>
            </w:pPr>
            <w:r>
              <w:rPr>
                <w:bCs w:val="false"/>
                <w:color w:val="000000"/>
                <w:sz w:val="20"/>
                <w:szCs w:val="20"/>
              </w:rPr>
              <w:t>174,7</w:t>
            </w:r>
          </w:p>
        </w:tc>
        <w:tc>
          <w:tcPr>
            <w:tcW w:w="1035" w:type="dxa"/>
            <w:tcBorders>
              <w:star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21"/>
              <w:jc w:val="center"/>
              <w:rPr>
                <w:bCs w:val="false"/>
                <w:color w:val="000000"/>
                <w:sz w:val="20"/>
                <w:szCs w:val="20"/>
              </w:rPr>
            </w:pPr>
            <w:r>
              <w:rPr>
                <w:bCs w:val="false"/>
                <w:color w:val="000000"/>
                <w:sz w:val="20"/>
                <w:szCs w:val="20"/>
              </w:rPr>
              <w:t>174,1</w:t>
            </w:r>
          </w:p>
        </w:tc>
        <w:tc>
          <w:tcPr>
            <w:tcW w:w="1034" w:type="dxa"/>
            <w:tcBorders>
              <w:star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21"/>
              <w:jc w:val="center"/>
              <w:rPr>
                <w:bCs w:val="false"/>
                <w:color w:val="000000"/>
                <w:sz w:val="20"/>
                <w:szCs w:val="20"/>
              </w:rPr>
            </w:pPr>
            <w:r>
              <w:rPr>
                <w:bCs w:val="false"/>
                <w:color w:val="000000"/>
                <w:sz w:val="20"/>
                <w:szCs w:val="20"/>
              </w:rPr>
              <w:t>238,1</w:t>
            </w:r>
          </w:p>
        </w:tc>
        <w:tc>
          <w:tcPr>
            <w:tcW w:w="1017" w:type="dxa"/>
            <w:tcBorders>
              <w:star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21"/>
              <w:jc w:val="center"/>
              <w:rPr>
                <w:bCs w:val="false"/>
                <w:color w:val="000000"/>
                <w:sz w:val="20"/>
                <w:szCs w:val="20"/>
              </w:rPr>
            </w:pPr>
            <w:r>
              <w:rPr>
                <w:bCs w:val="false"/>
                <w:color w:val="000000"/>
                <w:sz w:val="20"/>
                <w:szCs w:val="20"/>
              </w:rPr>
              <w:t>121,1</w:t>
            </w:r>
          </w:p>
        </w:tc>
        <w:tc>
          <w:tcPr>
            <w:tcW w:w="873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Style21"/>
              <w:jc w:val="center"/>
              <w:rPr>
                <w:bCs w:val="false"/>
                <w:color w:val="000000"/>
                <w:sz w:val="20"/>
                <w:szCs w:val="20"/>
              </w:rPr>
            </w:pPr>
            <w:r>
              <w:rPr>
                <w:bCs w:val="false"/>
                <w:color w:val="000000"/>
                <w:sz w:val="20"/>
                <w:szCs w:val="20"/>
              </w:rPr>
              <w:t>116,4</w:t>
            </w:r>
          </w:p>
        </w:tc>
      </w:tr>
      <w:tr>
        <w:trPr>
          <w:trHeight w:val="276" w:hRule="atLeast"/>
        </w:trPr>
        <w:tc>
          <w:tcPr>
            <w:tcW w:w="506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2780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>
                <w:rFonts w:cs="Times New Roman"/>
                <w:bCs w:val="false"/>
                <w:color w:val="000000"/>
                <w:sz w:val="20"/>
                <w:szCs w:val="20"/>
              </w:rPr>
              <w:t>Третинні будівлі, обладнання/ об'єкти</w:t>
            </w:r>
            <w:r>
              <w:rPr>
                <w:rFonts w:cs="Times New Roman"/>
                <w:bCs w:val="false"/>
                <w:color w:val="000000"/>
                <w:kern w:val="2"/>
                <w:sz w:val="20"/>
                <w:szCs w:val="20"/>
                <w:shd w:fill="FFFFFF" w:val="clear"/>
                <w:lang w:bidi="hi-IN"/>
              </w:rPr>
              <w:t xml:space="preserve"> промисловості та сфери послуг</w:t>
            </w:r>
          </w:p>
        </w:tc>
        <w:tc>
          <w:tcPr>
            <w:tcW w:w="1021" w:type="dxa"/>
            <w:tcBorders>
              <w:star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21"/>
              <w:jc w:val="center"/>
              <w:rPr>
                <w:bCs w:val="false"/>
                <w:color w:val="000000"/>
                <w:sz w:val="20"/>
                <w:szCs w:val="20"/>
              </w:rPr>
            </w:pPr>
            <w:r>
              <w:rPr>
                <w:bCs w:val="false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34" w:type="dxa"/>
            <w:tcBorders>
              <w:star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21"/>
              <w:jc w:val="center"/>
              <w:rPr>
                <w:bCs w:val="false"/>
                <w:color w:val="000000"/>
                <w:sz w:val="20"/>
                <w:szCs w:val="20"/>
              </w:rPr>
            </w:pPr>
            <w:r>
              <w:rPr>
                <w:bCs w:val="false"/>
                <w:color w:val="000000"/>
                <w:sz w:val="20"/>
                <w:szCs w:val="20"/>
              </w:rPr>
              <w:t>0,03</w:t>
            </w:r>
          </w:p>
        </w:tc>
        <w:tc>
          <w:tcPr>
            <w:tcW w:w="1035" w:type="dxa"/>
            <w:tcBorders>
              <w:star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21"/>
              <w:jc w:val="center"/>
              <w:rPr>
                <w:bCs w:val="false"/>
                <w:color w:val="000000"/>
                <w:sz w:val="20"/>
                <w:szCs w:val="20"/>
              </w:rPr>
            </w:pPr>
            <w:r>
              <w:rPr>
                <w:bCs w:val="false"/>
                <w:color w:val="000000"/>
                <w:sz w:val="20"/>
                <w:szCs w:val="20"/>
              </w:rPr>
              <w:t>0,03</w:t>
            </w:r>
          </w:p>
        </w:tc>
        <w:tc>
          <w:tcPr>
            <w:tcW w:w="1034" w:type="dxa"/>
            <w:tcBorders>
              <w:star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21"/>
              <w:jc w:val="center"/>
              <w:rPr>
                <w:bCs w:val="false"/>
                <w:color w:val="000000"/>
                <w:sz w:val="20"/>
                <w:szCs w:val="20"/>
              </w:rPr>
            </w:pPr>
            <w:r>
              <w:rPr>
                <w:bCs w:val="false"/>
                <w:color w:val="000000"/>
                <w:sz w:val="20"/>
                <w:szCs w:val="20"/>
              </w:rPr>
              <w:t>0,02</w:t>
            </w:r>
          </w:p>
        </w:tc>
        <w:tc>
          <w:tcPr>
            <w:tcW w:w="1017" w:type="dxa"/>
            <w:tcBorders>
              <w:star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21"/>
              <w:jc w:val="center"/>
              <w:rPr>
                <w:bCs w:val="false"/>
                <w:color w:val="000000"/>
                <w:sz w:val="20"/>
                <w:szCs w:val="20"/>
              </w:rPr>
            </w:pPr>
            <w:r>
              <w:rPr>
                <w:bCs w:val="false"/>
                <w:color w:val="000000"/>
                <w:sz w:val="20"/>
                <w:szCs w:val="20"/>
              </w:rPr>
              <w:t>0,03</w:t>
            </w:r>
          </w:p>
        </w:tc>
        <w:tc>
          <w:tcPr>
            <w:tcW w:w="873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Style21"/>
              <w:jc w:val="center"/>
              <w:rPr>
                <w:bCs w:val="false"/>
                <w:color w:val="000000"/>
                <w:sz w:val="20"/>
                <w:szCs w:val="20"/>
              </w:rPr>
            </w:pPr>
            <w:r>
              <w:rPr>
                <w:bCs w:val="false"/>
                <w:color w:val="000000"/>
                <w:sz w:val="20"/>
                <w:szCs w:val="20"/>
              </w:rPr>
              <w:t>0,03</w:t>
            </w:r>
          </w:p>
        </w:tc>
      </w:tr>
      <w:tr>
        <w:trPr>
          <w:trHeight w:val="276" w:hRule="atLeast"/>
        </w:trPr>
        <w:tc>
          <w:tcPr>
            <w:tcW w:w="50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27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Житлові будівлі</w:t>
            </w:r>
          </w:p>
        </w:tc>
        <w:tc>
          <w:tcPr>
            <w:tcW w:w="102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Style21"/>
              <w:jc w:val="center"/>
              <w:rPr>
                <w:bCs w:val="false"/>
                <w:color w:val="000000"/>
                <w:sz w:val="20"/>
                <w:szCs w:val="20"/>
              </w:rPr>
            </w:pPr>
            <w:r>
              <w:rPr>
                <w:bCs w:val="false"/>
                <w:color w:val="000000"/>
                <w:sz w:val="20"/>
                <w:szCs w:val="20"/>
              </w:rPr>
              <w:t>492,0</w:t>
            </w:r>
          </w:p>
        </w:tc>
        <w:tc>
          <w:tcPr>
            <w:tcW w:w="103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Style21"/>
              <w:jc w:val="center"/>
              <w:rPr>
                <w:bCs w:val="false"/>
                <w:color w:val="000000"/>
                <w:sz w:val="20"/>
                <w:szCs w:val="20"/>
              </w:rPr>
            </w:pPr>
            <w:r>
              <w:rPr>
                <w:bCs w:val="false"/>
                <w:color w:val="000000"/>
                <w:sz w:val="20"/>
                <w:szCs w:val="20"/>
              </w:rPr>
              <w:t>500,0</w:t>
            </w:r>
          </w:p>
        </w:tc>
        <w:tc>
          <w:tcPr>
            <w:tcW w:w="103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Style21"/>
              <w:jc w:val="center"/>
              <w:rPr>
                <w:bCs w:val="false"/>
                <w:color w:val="000000"/>
                <w:sz w:val="20"/>
                <w:szCs w:val="20"/>
              </w:rPr>
            </w:pPr>
            <w:r>
              <w:rPr>
                <w:bCs w:val="false"/>
                <w:color w:val="000000"/>
                <w:sz w:val="20"/>
                <w:szCs w:val="20"/>
              </w:rPr>
              <w:t>500,5</w:t>
            </w:r>
          </w:p>
        </w:tc>
        <w:tc>
          <w:tcPr>
            <w:tcW w:w="103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Style21"/>
              <w:jc w:val="center"/>
              <w:rPr>
                <w:bCs w:val="false"/>
                <w:color w:val="000000"/>
                <w:sz w:val="20"/>
                <w:szCs w:val="20"/>
              </w:rPr>
            </w:pPr>
            <w:r>
              <w:rPr>
                <w:bCs w:val="false"/>
                <w:color w:val="000000"/>
                <w:sz w:val="20"/>
                <w:szCs w:val="20"/>
              </w:rPr>
              <w:t>500,0</w:t>
            </w:r>
          </w:p>
        </w:tc>
        <w:tc>
          <w:tcPr>
            <w:tcW w:w="101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Style21"/>
              <w:jc w:val="center"/>
              <w:rPr>
                <w:bCs w:val="false"/>
                <w:color w:val="000000"/>
                <w:sz w:val="20"/>
                <w:szCs w:val="20"/>
              </w:rPr>
            </w:pPr>
            <w:r>
              <w:rPr>
                <w:bCs w:val="false"/>
                <w:color w:val="000000"/>
                <w:sz w:val="20"/>
                <w:szCs w:val="20"/>
              </w:rPr>
              <w:t>500,5</w:t>
            </w:r>
          </w:p>
        </w:tc>
        <w:tc>
          <w:tcPr>
            <w:tcW w:w="87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Style21"/>
              <w:jc w:val="center"/>
              <w:rPr>
                <w:bCs w:val="false"/>
                <w:color w:val="000000"/>
                <w:sz w:val="20"/>
                <w:szCs w:val="20"/>
              </w:rPr>
            </w:pPr>
            <w:r>
              <w:rPr>
                <w:bCs w:val="false"/>
                <w:color w:val="000000"/>
                <w:sz w:val="20"/>
                <w:szCs w:val="20"/>
              </w:rPr>
              <w:t>501,6</w:t>
            </w:r>
          </w:p>
        </w:tc>
      </w:tr>
      <w:tr>
        <w:trPr>
          <w:trHeight w:val="276" w:hRule="atLeast"/>
        </w:trPr>
        <w:tc>
          <w:tcPr>
            <w:tcW w:w="50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27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</w:t>
            </w:r>
          </w:p>
        </w:tc>
        <w:tc>
          <w:tcPr>
            <w:tcW w:w="102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21"/>
              <w:jc w:val="center"/>
              <w:rPr>
                <w:bCs w:val="false"/>
                <w:color w:val="000000"/>
                <w:sz w:val="20"/>
                <w:szCs w:val="20"/>
              </w:rPr>
            </w:pPr>
            <w:r>
              <w:rPr>
                <w:bCs w:val="false"/>
                <w:color w:val="000000"/>
                <w:sz w:val="20"/>
                <w:szCs w:val="20"/>
              </w:rPr>
              <w:t>6,4</w:t>
            </w:r>
          </w:p>
        </w:tc>
        <w:tc>
          <w:tcPr>
            <w:tcW w:w="103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21"/>
              <w:jc w:val="center"/>
              <w:rPr>
                <w:bCs w:val="false"/>
                <w:color w:val="000000"/>
                <w:sz w:val="20"/>
                <w:szCs w:val="20"/>
              </w:rPr>
            </w:pPr>
            <w:r>
              <w:rPr>
                <w:bCs w:val="false"/>
                <w:color w:val="000000"/>
                <w:sz w:val="20"/>
                <w:szCs w:val="20"/>
              </w:rPr>
              <w:t>338,3</w:t>
            </w:r>
          </w:p>
        </w:tc>
        <w:tc>
          <w:tcPr>
            <w:tcW w:w="103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21"/>
              <w:jc w:val="center"/>
              <w:rPr>
                <w:bCs w:val="false"/>
                <w:color w:val="000000"/>
                <w:sz w:val="20"/>
                <w:szCs w:val="20"/>
              </w:rPr>
            </w:pPr>
            <w:r>
              <w:rPr>
                <w:bCs w:val="false"/>
                <w:color w:val="000000"/>
                <w:sz w:val="20"/>
                <w:szCs w:val="20"/>
              </w:rPr>
              <w:t>112,9</w:t>
            </w:r>
          </w:p>
        </w:tc>
        <w:tc>
          <w:tcPr>
            <w:tcW w:w="103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21"/>
              <w:jc w:val="center"/>
              <w:rPr>
                <w:bCs w:val="false"/>
                <w:color w:val="000000"/>
                <w:sz w:val="20"/>
                <w:szCs w:val="20"/>
              </w:rPr>
            </w:pPr>
            <w:r>
              <w:rPr>
                <w:bCs w:val="false"/>
                <w:color w:val="000000"/>
                <w:sz w:val="20"/>
                <w:szCs w:val="20"/>
              </w:rPr>
              <w:t>32,3</w:t>
            </w:r>
          </w:p>
        </w:tc>
        <w:tc>
          <w:tcPr>
            <w:tcW w:w="101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21"/>
              <w:jc w:val="center"/>
              <w:rPr>
                <w:bCs w:val="false"/>
                <w:color w:val="000000"/>
                <w:sz w:val="20"/>
                <w:szCs w:val="20"/>
              </w:rPr>
            </w:pPr>
            <w:r>
              <w:rPr>
                <w:bCs w:val="false"/>
                <w:color w:val="000000"/>
                <w:sz w:val="20"/>
                <w:szCs w:val="20"/>
              </w:rPr>
              <w:t>32,3</w:t>
            </w:r>
          </w:p>
        </w:tc>
        <w:tc>
          <w:tcPr>
            <w:tcW w:w="87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Style21"/>
              <w:jc w:val="center"/>
              <w:rPr>
                <w:bCs w:val="false"/>
                <w:color w:val="000000"/>
                <w:sz w:val="20"/>
                <w:szCs w:val="20"/>
              </w:rPr>
            </w:pPr>
            <w:r>
              <w:rPr>
                <w:bCs w:val="false"/>
                <w:color w:val="000000"/>
                <w:sz w:val="20"/>
                <w:szCs w:val="20"/>
              </w:rPr>
              <w:t>35,3</w:t>
            </w:r>
          </w:p>
        </w:tc>
      </w:tr>
      <w:tr>
        <w:trPr>
          <w:trHeight w:val="276" w:hRule="atLeast"/>
        </w:trPr>
        <w:tc>
          <w:tcPr>
            <w:tcW w:w="506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2780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Сфера теплопостачання</w:t>
            </w:r>
          </w:p>
        </w:tc>
        <w:tc>
          <w:tcPr>
            <w:tcW w:w="1021" w:type="dxa"/>
            <w:tcBorders>
              <w:star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21"/>
              <w:jc w:val="center"/>
              <w:rPr>
                <w:bCs w:val="false"/>
                <w:color w:val="000000"/>
                <w:sz w:val="20"/>
                <w:szCs w:val="20"/>
              </w:rPr>
            </w:pPr>
            <w:r>
              <w:rPr>
                <w:bCs w:val="false"/>
                <w:color w:val="000000"/>
                <w:sz w:val="20"/>
                <w:szCs w:val="20"/>
              </w:rPr>
              <w:t>64,2</w:t>
            </w:r>
          </w:p>
        </w:tc>
        <w:tc>
          <w:tcPr>
            <w:tcW w:w="1034" w:type="dxa"/>
            <w:tcBorders>
              <w:star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21"/>
              <w:jc w:val="center"/>
              <w:rPr>
                <w:bCs w:val="false"/>
                <w:color w:val="000000"/>
                <w:sz w:val="20"/>
                <w:szCs w:val="20"/>
              </w:rPr>
            </w:pPr>
            <w:r>
              <w:rPr>
                <w:bCs w:val="false"/>
                <w:color w:val="000000"/>
                <w:sz w:val="20"/>
                <w:szCs w:val="20"/>
              </w:rPr>
              <w:t>316,8</w:t>
            </w:r>
          </w:p>
        </w:tc>
        <w:tc>
          <w:tcPr>
            <w:tcW w:w="1035" w:type="dxa"/>
            <w:tcBorders>
              <w:star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21"/>
              <w:jc w:val="center"/>
              <w:rPr>
                <w:bCs w:val="false"/>
                <w:color w:val="000000"/>
                <w:sz w:val="20"/>
                <w:szCs w:val="20"/>
              </w:rPr>
            </w:pPr>
            <w:r>
              <w:rPr>
                <w:bCs w:val="false"/>
                <w:color w:val="000000"/>
                <w:sz w:val="20"/>
                <w:szCs w:val="20"/>
              </w:rPr>
              <w:t>450,6</w:t>
            </w:r>
          </w:p>
        </w:tc>
        <w:tc>
          <w:tcPr>
            <w:tcW w:w="1034" w:type="dxa"/>
            <w:tcBorders>
              <w:star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21"/>
              <w:jc w:val="center"/>
              <w:rPr>
                <w:bCs w:val="false"/>
                <w:color w:val="000000"/>
                <w:sz w:val="20"/>
                <w:szCs w:val="20"/>
              </w:rPr>
            </w:pPr>
            <w:r>
              <w:rPr>
                <w:bCs w:val="false"/>
                <w:color w:val="000000"/>
                <w:sz w:val="20"/>
                <w:szCs w:val="20"/>
              </w:rPr>
              <w:t>181,8</w:t>
            </w:r>
          </w:p>
        </w:tc>
        <w:tc>
          <w:tcPr>
            <w:tcW w:w="1017" w:type="dxa"/>
            <w:tcBorders>
              <w:star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21"/>
              <w:jc w:val="center"/>
              <w:rPr>
                <w:bCs w:val="false"/>
                <w:color w:val="000000"/>
                <w:sz w:val="20"/>
                <w:szCs w:val="20"/>
              </w:rPr>
            </w:pPr>
            <w:r>
              <w:rPr>
                <w:bCs w:val="false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873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Style21"/>
              <w:jc w:val="center"/>
              <w:rPr>
                <w:bCs w:val="false"/>
                <w:color w:val="000000"/>
                <w:sz w:val="20"/>
                <w:szCs w:val="20"/>
              </w:rPr>
            </w:pPr>
            <w:r>
              <w:rPr>
                <w:bCs w:val="false"/>
                <w:color w:val="000000"/>
                <w:sz w:val="20"/>
                <w:szCs w:val="20"/>
              </w:rPr>
              <w:t>0,0</w:t>
            </w:r>
          </w:p>
        </w:tc>
      </w:tr>
      <w:tr>
        <w:trPr>
          <w:trHeight w:val="477" w:hRule="atLeast"/>
        </w:trPr>
        <w:tc>
          <w:tcPr>
            <w:tcW w:w="506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2780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Генерація, постачання та розподіл електроенергії</w:t>
            </w:r>
          </w:p>
        </w:tc>
        <w:tc>
          <w:tcPr>
            <w:tcW w:w="1021" w:type="dxa"/>
            <w:tcBorders>
              <w:star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21"/>
              <w:jc w:val="center"/>
              <w:rPr>
                <w:bCs w:val="false"/>
                <w:color w:val="000000"/>
                <w:sz w:val="20"/>
                <w:szCs w:val="20"/>
              </w:rPr>
            </w:pPr>
            <w:r>
              <w:rPr>
                <w:bCs w:val="false"/>
                <w:color w:val="000000"/>
                <w:sz w:val="20"/>
                <w:szCs w:val="20"/>
              </w:rPr>
              <w:t>2,7</w:t>
            </w:r>
          </w:p>
        </w:tc>
        <w:tc>
          <w:tcPr>
            <w:tcW w:w="1034" w:type="dxa"/>
            <w:tcBorders>
              <w:star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21"/>
              <w:jc w:val="center"/>
              <w:rPr>
                <w:bCs w:val="false"/>
                <w:color w:val="000000"/>
                <w:sz w:val="20"/>
                <w:szCs w:val="20"/>
              </w:rPr>
            </w:pPr>
            <w:r>
              <w:rPr>
                <w:bCs w:val="false"/>
                <w:color w:val="000000"/>
                <w:sz w:val="20"/>
                <w:szCs w:val="20"/>
              </w:rPr>
              <w:t>108,0</w:t>
            </w:r>
          </w:p>
        </w:tc>
        <w:tc>
          <w:tcPr>
            <w:tcW w:w="1035" w:type="dxa"/>
            <w:tcBorders>
              <w:star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21"/>
              <w:jc w:val="center"/>
              <w:rPr>
                <w:bCs w:val="false"/>
                <w:color w:val="000000"/>
                <w:sz w:val="20"/>
                <w:szCs w:val="20"/>
              </w:rPr>
            </w:pPr>
            <w:r>
              <w:rPr>
                <w:bCs w:val="false"/>
                <w:color w:val="000000"/>
                <w:sz w:val="20"/>
                <w:szCs w:val="20"/>
              </w:rPr>
              <w:t>61,0</w:t>
            </w:r>
          </w:p>
        </w:tc>
        <w:tc>
          <w:tcPr>
            <w:tcW w:w="1034" w:type="dxa"/>
            <w:tcBorders>
              <w:star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21"/>
              <w:jc w:val="center"/>
              <w:rPr>
                <w:bCs w:val="false"/>
                <w:color w:val="000000"/>
                <w:sz w:val="20"/>
                <w:szCs w:val="20"/>
              </w:rPr>
            </w:pPr>
            <w:r>
              <w:rPr>
                <w:bCs w:val="false"/>
                <w:color w:val="000000"/>
                <w:sz w:val="20"/>
                <w:szCs w:val="20"/>
              </w:rPr>
              <w:t>17,0</w:t>
            </w:r>
          </w:p>
        </w:tc>
        <w:tc>
          <w:tcPr>
            <w:tcW w:w="1017" w:type="dxa"/>
            <w:tcBorders>
              <w:star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21"/>
              <w:jc w:val="center"/>
              <w:rPr>
                <w:bCs w:val="false"/>
                <w:color w:val="000000"/>
                <w:sz w:val="20"/>
                <w:szCs w:val="20"/>
              </w:rPr>
            </w:pPr>
            <w:r>
              <w:rPr>
                <w:bCs w:val="false"/>
                <w:color w:val="000000"/>
                <w:sz w:val="20"/>
                <w:szCs w:val="20"/>
              </w:rPr>
              <w:t>17,0</w:t>
            </w:r>
          </w:p>
        </w:tc>
        <w:tc>
          <w:tcPr>
            <w:tcW w:w="873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Style21"/>
              <w:jc w:val="center"/>
              <w:rPr>
                <w:bCs w:val="false"/>
                <w:color w:val="000000"/>
                <w:sz w:val="20"/>
                <w:szCs w:val="20"/>
              </w:rPr>
            </w:pPr>
            <w:r>
              <w:rPr>
                <w:bCs w:val="false"/>
                <w:color w:val="000000"/>
                <w:sz w:val="20"/>
                <w:szCs w:val="20"/>
              </w:rPr>
              <w:t>17,0</w:t>
            </w:r>
          </w:p>
        </w:tc>
      </w:tr>
      <w:tr>
        <w:trPr>
          <w:trHeight w:val="477" w:hRule="atLeast"/>
        </w:trPr>
        <w:tc>
          <w:tcPr>
            <w:tcW w:w="506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2780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Поводження з твердими побутовими відходами</w:t>
            </w:r>
          </w:p>
        </w:tc>
        <w:tc>
          <w:tcPr>
            <w:tcW w:w="1021" w:type="dxa"/>
            <w:tcBorders>
              <w:star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21"/>
              <w:jc w:val="center"/>
              <w:rPr>
                <w:bCs w:val="false"/>
                <w:color w:val="000000"/>
                <w:sz w:val="20"/>
                <w:szCs w:val="20"/>
              </w:rPr>
            </w:pPr>
            <w:r>
              <w:rPr>
                <w:bCs w:val="false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34" w:type="dxa"/>
            <w:tcBorders>
              <w:star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21"/>
              <w:jc w:val="center"/>
              <w:rPr>
                <w:bCs w:val="false"/>
                <w:color w:val="000000"/>
                <w:sz w:val="20"/>
                <w:szCs w:val="20"/>
              </w:rPr>
            </w:pPr>
            <w:r>
              <w:rPr>
                <w:bCs w:val="false"/>
                <w:color w:val="000000"/>
                <w:sz w:val="20"/>
                <w:szCs w:val="20"/>
              </w:rPr>
              <w:t>0,5</w:t>
            </w:r>
          </w:p>
        </w:tc>
        <w:tc>
          <w:tcPr>
            <w:tcW w:w="1035" w:type="dxa"/>
            <w:tcBorders>
              <w:star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21"/>
              <w:jc w:val="center"/>
              <w:rPr>
                <w:bCs w:val="false"/>
                <w:color w:val="000000"/>
                <w:sz w:val="20"/>
                <w:szCs w:val="20"/>
              </w:rPr>
            </w:pPr>
            <w:r>
              <w:rPr>
                <w:bCs w:val="false"/>
                <w:color w:val="000000"/>
                <w:sz w:val="20"/>
                <w:szCs w:val="20"/>
              </w:rPr>
              <w:t>2,4</w:t>
            </w:r>
          </w:p>
        </w:tc>
        <w:tc>
          <w:tcPr>
            <w:tcW w:w="1034" w:type="dxa"/>
            <w:tcBorders>
              <w:star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21"/>
              <w:jc w:val="center"/>
              <w:rPr>
                <w:bCs w:val="false"/>
                <w:color w:val="000000"/>
                <w:sz w:val="20"/>
                <w:szCs w:val="20"/>
              </w:rPr>
            </w:pPr>
            <w:r>
              <w:rPr>
                <w:bCs w:val="false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17" w:type="dxa"/>
            <w:tcBorders>
              <w:star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21"/>
              <w:jc w:val="center"/>
              <w:rPr>
                <w:bCs w:val="false"/>
                <w:color w:val="000000"/>
                <w:sz w:val="20"/>
                <w:szCs w:val="20"/>
              </w:rPr>
            </w:pPr>
            <w:r>
              <w:rPr>
                <w:bCs w:val="false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873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Style21"/>
              <w:jc w:val="center"/>
              <w:rPr>
                <w:bCs w:val="false"/>
                <w:color w:val="000000"/>
                <w:sz w:val="20"/>
                <w:szCs w:val="20"/>
              </w:rPr>
            </w:pPr>
            <w:r>
              <w:rPr>
                <w:bCs w:val="false"/>
                <w:color w:val="000000"/>
                <w:sz w:val="20"/>
                <w:szCs w:val="20"/>
              </w:rPr>
              <w:t>0,0</w:t>
            </w:r>
          </w:p>
        </w:tc>
      </w:tr>
      <w:tr>
        <w:trPr>
          <w:trHeight w:val="276" w:hRule="atLeast"/>
        </w:trPr>
        <w:tc>
          <w:tcPr>
            <w:tcW w:w="506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780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Всього:</w:t>
            </w:r>
          </w:p>
        </w:tc>
        <w:tc>
          <w:tcPr>
            <w:tcW w:w="1021" w:type="dxa"/>
            <w:tcBorders>
              <w:star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21"/>
              <w:jc w:val="center"/>
              <w:rPr>
                <w:bCs w:val="false"/>
                <w:color w:val="000000"/>
                <w:sz w:val="20"/>
                <w:szCs w:val="20"/>
              </w:rPr>
            </w:pPr>
            <w:r>
              <w:rPr>
                <w:bCs w:val="false"/>
                <w:color w:val="000000"/>
                <w:sz w:val="20"/>
                <w:szCs w:val="20"/>
              </w:rPr>
              <w:t>728,2</w:t>
            </w:r>
          </w:p>
        </w:tc>
        <w:tc>
          <w:tcPr>
            <w:tcW w:w="1034" w:type="dxa"/>
            <w:tcBorders>
              <w:star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21"/>
              <w:jc w:val="center"/>
              <w:rPr>
                <w:bCs w:val="false"/>
                <w:color w:val="000000"/>
                <w:sz w:val="20"/>
                <w:szCs w:val="20"/>
              </w:rPr>
            </w:pPr>
            <w:r>
              <w:rPr>
                <w:bCs w:val="false"/>
                <w:color w:val="000000"/>
                <w:sz w:val="20"/>
                <w:szCs w:val="20"/>
              </w:rPr>
              <w:t>1540,7</w:t>
            </w:r>
          </w:p>
        </w:tc>
        <w:tc>
          <w:tcPr>
            <w:tcW w:w="1035" w:type="dxa"/>
            <w:tcBorders>
              <w:star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21"/>
              <w:jc w:val="center"/>
              <w:rPr>
                <w:bCs w:val="false"/>
                <w:color w:val="000000"/>
                <w:sz w:val="20"/>
                <w:szCs w:val="20"/>
              </w:rPr>
            </w:pPr>
            <w:r>
              <w:rPr>
                <w:bCs w:val="false"/>
                <w:color w:val="000000"/>
                <w:sz w:val="20"/>
                <w:szCs w:val="20"/>
              </w:rPr>
              <w:t>1320,1</w:t>
            </w:r>
          </w:p>
        </w:tc>
        <w:tc>
          <w:tcPr>
            <w:tcW w:w="1034" w:type="dxa"/>
            <w:tcBorders>
              <w:star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21"/>
              <w:jc w:val="center"/>
              <w:rPr>
                <w:bCs w:val="false"/>
                <w:color w:val="000000"/>
                <w:sz w:val="20"/>
                <w:szCs w:val="20"/>
              </w:rPr>
            </w:pPr>
            <w:r>
              <w:rPr>
                <w:bCs w:val="false"/>
                <w:color w:val="000000"/>
                <w:sz w:val="20"/>
                <w:szCs w:val="20"/>
              </w:rPr>
              <w:t>988,5</w:t>
            </w:r>
          </w:p>
        </w:tc>
        <w:tc>
          <w:tcPr>
            <w:tcW w:w="1017" w:type="dxa"/>
            <w:tcBorders>
              <w:star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21"/>
              <w:jc w:val="center"/>
              <w:rPr>
                <w:bCs w:val="false"/>
                <w:color w:val="000000"/>
                <w:sz w:val="20"/>
                <w:szCs w:val="20"/>
              </w:rPr>
            </w:pPr>
            <w:r>
              <w:rPr>
                <w:bCs w:val="false"/>
                <w:color w:val="000000"/>
                <w:sz w:val="20"/>
                <w:szCs w:val="20"/>
              </w:rPr>
              <w:t>691,2</w:t>
            </w:r>
          </w:p>
        </w:tc>
        <w:tc>
          <w:tcPr>
            <w:tcW w:w="873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Style21"/>
              <w:jc w:val="center"/>
              <w:rPr>
                <w:bCs w:val="false"/>
                <w:color w:val="000000"/>
                <w:sz w:val="20"/>
                <w:szCs w:val="20"/>
              </w:rPr>
            </w:pPr>
            <w:r>
              <w:rPr>
                <w:bCs w:val="false"/>
                <w:color w:val="000000"/>
                <w:sz w:val="20"/>
                <w:szCs w:val="20"/>
              </w:rPr>
              <w:t>691,6</w:t>
            </w:r>
          </w:p>
        </w:tc>
      </w:tr>
    </w:tbl>
    <w:p>
      <w:pPr>
        <w:pStyle w:val="Normal"/>
        <w:rPr>
          <w:sz w:val="20"/>
          <w:szCs w:val="20"/>
        </w:rPr>
      </w:pPr>
      <w:r>
        <w:rPr>
          <w:rFonts w:eastAsia="Times New Roman"/>
          <w:sz w:val="20"/>
          <w:szCs w:val="20"/>
          <w:shd w:fill="FFFFFF" w:val="clear"/>
        </w:rPr>
        <w:t>*підсумкові показники у даній таблиці заокруглені до цілих значень з одним десятковим числом після коми</w:t>
      </w:r>
    </w:p>
    <w:p>
      <w:pPr>
        <w:pStyle w:val="Normal"/>
        <w:rPr>
          <w:rFonts w:eastAsia="Times New Roman"/>
          <w:sz w:val="16"/>
          <w:szCs w:val="16"/>
          <w:shd w:fill="FFFFFF" w:val="clear"/>
        </w:rPr>
      </w:pPr>
      <w:r>
        <w:rPr>
          <w:rFonts w:eastAsia="Times New Roman"/>
          <w:sz w:val="16"/>
          <w:szCs w:val="16"/>
          <w:shd w:fill="FFFFFF" w:val="clear"/>
        </w:rPr>
      </w:r>
    </w:p>
    <w:p>
      <w:pPr>
        <w:pStyle w:val="Normal"/>
        <w:tabs>
          <w:tab w:val="left" w:pos="720" w:leader="none"/>
        </w:tabs>
        <w:spacing w:before="0" w:after="0"/>
        <w:contextualSpacing/>
        <w:jc w:val="center"/>
        <w:rPr>
          <w:b/>
        </w:rPr>
      </w:pPr>
      <w:r>
        <w:rPr>
          <w:b/>
          <w:szCs w:val="28"/>
          <w:lang w:eastAsia="ru-RU"/>
        </w:rPr>
        <w:t xml:space="preserve">2. Стратегічні цілі, на виконання яких </w:t>
      </w:r>
    </w:p>
    <w:p>
      <w:pPr>
        <w:pStyle w:val="Normal"/>
        <w:tabs>
          <w:tab w:val="left" w:pos="720" w:leader="none"/>
        </w:tabs>
        <w:spacing w:before="0" w:after="0"/>
        <w:contextualSpacing/>
        <w:jc w:val="center"/>
        <w:rPr>
          <w:b/>
        </w:rPr>
      </w:pPr>
      <w:r>
        <w:rPr>
          <w:b/>
          <w:szCs w:val="28"/>
          <w:lang w:eastAsia="ru-RU"/>
        </w:rPr>
        <w:t>спрямовані заходи Програми</w:t>
      </w:r>
    </w:p>
    <w:p>
      <w:pPr>
        <w:pStyle w:val="Normal"/>
        <w:tabs>
          <w:tab w:val="left" w:pos="720" w:leader="none"/>
        </w:tabs>
        <w:spacing w:before="0" w:after="0"/>
        <w:contextualSpacing/>
        <w:jc w:val="center"/>
        <w:rPr>
          <w:b/>
          <w:sz w:val="12"/>
          <w:szCs w:val="12"/>
          <w:lang w:eastAsia="ru-RU"/>
        </w:rPr>
      </w:pPr>
      <w:r>
        <w:rPr>
          <w:b/>
          <w:sz w:val="12"/>
          <w:szCs w:val="12"/>
          <w:lang w:eastAsia="ru-RU"/>
        </w:rPr>
      </w:r>
    </w:p>
    <w:p>
      <w:pPr>
        <w:pStyle w:val="NoSpacing"/>
        <w:ind w:firstLine="567"/>
        <w:jc w:val="both"/>
        <w:rPr>
          <w:bCs w:val="false"/>
        </w:rPr>
      </w:pPr>
      <w:r>
        <w:rPr>
          <w:bCs w:val="false"/>
          <w:lang w:eastAsia="ru-RU"/>
        </w:rPr>
        <w:t xml:space="preserve">Сформовані завдання та заходи Програми спрямовані на досягнення </w:t>
      </w:r>
      <w:r>
        <w:rPr>
          <w:bCs w:val="false"/>
          <w:color w:val="000000"/>
          <w:lang w:eastAsia="en-US"/>
        </w:rPr>
        <w:t xml:space="preserve">оперативних цілей </w:t>
      </w:r>
      <w:r>
        <w:rPr>
          <w:bCs w:val="false"/>
          <w:color w:val="000000"/>
          <w:lang w:eastAsia="ru-RU"/>
        </w:rPr>
        <w:t>Стратегії розвитку Луцької міської територіальної громади до 2030 року</w:t>
      </w:r>
      <w:r>
        <w:rPr>
          <w:bCs w:val="false"/>
          <w:color w:val="000000"/>
          <w:lang w:eastAsia="en-US"/>
        </w:rPr>
        <w:t>:</w:t>
      </w:r>
    </w:p>
    <w:p>
      <w:pPr>
        <w:pStyle w:val="NoSpacing"/>
        <w:ind w:firstLine="567"/>
        <w:jc w:val="both"/>
        <w:rPr>
          <w:bCs w:val="false"/>
        </w:rPr>
      </w:pPr>
      <w:r>
        <w:rPr>
          <w:bCs w:val="false"/>
          <w:color w:themeColor="text1" w:val="000000"/>
          <w:shd w:fill="FFFFFF" w:val="clear"/>
          <w:lang w:eastAsia="en-US"/>
        </w:rPr>
        <w:t>1.2.</w:t>
      </w:r>
      <w:r>
        <w:rPr>
          <w:bCs w:val="false"/>
          <w:color w:themeColor="text1" w:val="000000"/>
          <w:lang w:eastAsia="en-US"/>
        </w:rPr>
        <w:t> </w:t>
      </w:r>
      <w:r>
        <w:rPr>
          <w:bCs w:val="false"/>
          <w:color w:val="000000"/>
          <w:lang w:eastAsia="en-US"/>
        </w:rPr>
        <w:t>«Будівництво сучасних енергоефективних житлових комплексів, підвищення доступності житла та якості житлового забезпечення» стратегічної цілі № 1. Луцька молодіжна громада;</w:t>
      </w:r>
    </w:p>
    <w:p>
      <w:pPr>
        <w:pStyle w:val="NoSpacing"/>
        <w:ind w:firstLine="567"/>
        <w:jc w:val="both"/>
        <w:rPr>
          <w:bCs w:val="false"/>
        </w:rPr>
      </w:pPr>
      <w:r>
        <w:rPr>
          <w:bCs w:val="false"/>
          <w:color w:val="000000"/>
          <w:lang w:eastAsia="en-US"/>
        </w:rPr>
        <w:t>2.2. «Комплексна організація та розвиток комунальної інфраструктури громади» стратегічної цілі  №2. Нова громада з історичним центром;</w:t>
      </w:r>
    </w:p>
    <w:p>
      <w:pPr>
        <w:pStyle w:val="NoSpacing"/>
        <w:ind w:firstLine="567"/>
        <w:jc w:val="both"/>
        <w:rPr>
          <w:bCs w:val="false"/>
        </w:rPr>
      </w:pPr>
      <w:r>
        <w:rPr>
          <w:bCs w:val="false"/>
          <w:color w:val="000000"/>
          <w:lang w:eastAsia="en-US"/>
        </w:rPr>
        <w:t>3.1. «Вдосконалення та реалізація транспортної схеми громади»,   3.3. «Впровадження енергозберігаючих технологій в комунальній інфраструктурі, переведення їх на використання енергії з відновлюваних джерел» та 3.4 «</w:t>
      </w:r>
      <w:r>
        <w:rPr>
          <w:bCs w:val="false"/>
          <w:color w:val="000000"/>
          <w:lang w:eastAsia="ru-RU"/>
        </w:rPr>
        <w:t>Зменшення забруднення повітря, води та інших природних ресурсів на території громади</w:t>
      </w:r>
      <w:r>
        <w:rPr>
          <w:bCs w:val="false"/>
          <w:color w:val="000000"/>
          <w:lang w:eastAsia="en-US"/>
        </w:rPr>
        <w:t>» стратегічної цілі  № 3. Сучасний екополіс.</w:t>
      </w:r>
    </w:p>
    <w:p>
      <w:pPr>
        <w:pStyle w:val="NoSpacing"/>
        <w:jc w:val="center"/>
        <w:rPr>
          <w:b/>
        </w:rPr>
      </w:pPr>
      <w:r>
        <w:rPr>
          <w:b/>
        </w:rPr>
      </w:r>
    </w:p>
    <w:p>
      <w:pPr>
        <w:pStyle w:val="NoSpacing"/>
        <w:jc w:val="center"/>
        <w:rPr>
          <w:b/>
        </w:rPr>
      </w:pPr>
      <w:r>
        <w:rPr>
          <w:b/>
          <w:szCs w:val="28"/>
        </w:rPr>
        <w:t>3. Визначення мети</w:t>
      </w:r>
    </w:p>
    <w:p>
      <w:pPr>
        <w:pStyle w:val="ListParagraph"/>
        <w:widowControl w:val="false"/>
        <w:ind w:start="927"/>
        <w:rPr>
          <w:sz w:val="10"/>
          <w:szCs w:val="10"/>
        </w:rPr>
      </w:pPr>
      <w:r>
        <w:rPr>
          <w:sz w:val="10"/>
          <w:szCs w:val="10"/>
        </w:rPr>
      </w:r>
    </w:p>
    <w:p>
      <w:pPr>
        <w:pStyle w:val="Normal"/>
        <w:ind w:firstLine="567"/>
        <w:jc w:val="both"/>
        <w:rPr>
          <w:szCs w:val="28"/>
        </w:rPr>
      </w:pPr>
      <w:r>
        <w:rPr>
          <w:rStyle w:val="apple-style-span"/>
          <w:szCs w:val="28"/>
        </w:rPr>
        <w:t xml:space="preserve">Метою Програми є </w:t>
      </w:r>
      <w:r>
        <w:rPr>
          <w:rStyle w:val="apple-style-span"/>
          <w:szCs w:val="28"/>
          <w:lang w:eastAsia="ru-RU"/>
        </w:rPr>
        <w:t>забезпечення виконання Муніципального енергетичного плану Луцької міської територіальної громади до 2030 року, досягнення встановлених індикативних показників цілей сталого енергетичного розвитку території Луцької громади.</w:t>
      </w:r>
    </w:p>
    <w:p>
      <w:pPr>
        <w:pStyle w:val="ListParagraph"/>
        <w:ind w:start="0"/>
        <w:jc w:val="center"/>
        <w:rPr>
          <w:b/>
          <w:szCs w:val="28"/>
        </w:rPr>
      </w:pPr>
      <w:r>
        <w:rPr>
          <w:b/>
          <w:szCs w:val="28"/>
        </w:rPr>
      </w:r>
    </w:p>
    <w:p>
      <w:pPr>
        <w:pStyle w:val="ListParagraph"/>
        <w:ind w:start="0"/>
        <w:jc w:val="center"/>
        <w:rPr>
          <w:b/>
          <w:szCs w:val="28"/>
        </w:rPr>
      </w:pPr>
      <w:r>
        <w:rPr>
          <w:b/>
          <w:szCs w:val="28"/>
        </w:rPr>
        <w:t>4. Засоби розв’язання проблеми</w:t>
      </w:r>
    </w:p>
    <w:p>
      <w:pPr>
        <w:pStyle w:val="ListParagraph"/>
        <w:ind w:start="927"/>
        <w:rPr>
          <w:sz w:val="10"/>
          <w:szCs w:val="10"/>
        </w:rPr>
      </w:pPr>
      <w:r>
        <w:rPr>
          <w:sz w:val="10"/>
          <w:szCs w:val="10"/>
        </w:rPr>
      </w:r>
    </w:p>
    <w:p>
      <w:pPr>
        <w:pStyle w:val="NoSpacing"/>
        <w:ind w:firstLine="567"/>
        <w:jc w:val="both"/>
        <w:rPr>
          <w:color w:val="C9211E"/>
        </w:rPr>
      </w:pPr>
      <w:r>
        <w:rPr>
          <w:color w:val="000000"/>
          <w:szCs w:val="28"/>
        </w:rPr>
        <w:t>Розв’язання визначених Програмою завдань та заходів буде здійснюватися шляхом</w:t>
      </w:r>
      <w:r>
        <w:rPr>
          <w:color w:val="000000"/>
          <w:szCs w:val="28"/>
          <w:shd w:fill="FFFFFF" w:val="clear"/>
        </w:rPr>
        <w:t xml:space="preserve"> забезпечення дотримання принципу «Енергоефективність насамперед», який передбачає застосування аналізу витрат і вигід, що враховує загальну ефективність інтегрованої енергетичної системи, безпеку постачання та економічну ефективність, а також сприяє найефективнішим рішенням для кліматичної нейтральності по всьому ланцюзі створення вартості, від виробництва до кінцевого споживання енергії.</w:t>
      </w:r>
    </w:p>
    <w:p>
      <w:pPr>
        <w:pStyle w:val="NoSpacing"/>
        <w:ind w:firstLine="567"/>
        <w:jc w:val="both"/>
        <w:rPr>
          <w:color w:val="C9211E"/>
        </w:rPr>
      </w:pPr>
      <w:r>
        <w:rPr>
          <w:color w:val="000000"/>
          <w:szCs w:val="28"/>
          <w:shd w:fill="FFFFFF" w:val="clear"/>
        </w:rPr>
        <w:t>Заходи, які відповідають принципу «Енергоефективність насамперед», спрямовані на підвищення ефективності попиту на енергію, якщо вони є більш економічно ефективними, ніж інвестиції в інфраструктуру енергопостачання для досягнення цілей політики енергетичної ефективності.</w:t>
      </w:r>
    </w:p>
    <w:p>
      <w:pPr>
        <w:pStyle w:val="NoSpacing"/>
        <w:ind w:firstLine="567"/>
        <w:jc w:val="both"/>
        <w:rPr>
          <w:b/>
        </w:rPr>
      </w:pPr>
      <w:r>
        <w:rPr/>
        <w:t>Ресурсне забезпечення Програми наведено у додатку 1 до Програми.</w:t>
      </w:r>
    </w:p>
    <w:p>
      <w:pPr>
        <w:pStyle w:val="Normal"/>
        <w:tabs>
          <w:tab w:val="clear" w:pos="720"/>
          <w:tab w:val="left" w:pos="0" w:leader="none"/>
        </w:tabs>
        <w:ind w:firstLine="567"/>
        <w:jc w:val="center"/>
        <w:rPr>
          <w:b/>
          <w:szCs w:val="28"/>
        </w:rPr>
      </w:pPr>
      <w:r>
        <w:rPr>
          <w:b/>
          <w:szCs w:val="28"/>
        </w:rPr>
      </w:r>
    </w:p>
    <w:p>
      <w:pPr>
        <w:pStyle w:val="ListParagraph"/>
        <w:tabs>
          <w:tab w:val="clear" w:pos="720"/>
          <w:tab w:val="left" w:pos="0" w:leader="none"/>
        </w:tabs>
        <w:ind w:start="0"/>
        <w:jc w:val="center"/>
        <w:rPr>
          <w:b/>
          <w:szCs w:val="28"/>
        </w:rPr>
      </w:pPr>
      <w:r>
        <w:rPr>
          <w:b/>
          <w:szCs w:val="28"/>
        </w:rPr>
        <w:t>5. Перелік завдань, заходів та результативні показники</w:t>
      </w:r>
    </w:p>
    <w:p>
      <w:pPr>
        <w:pStyle w:val="ListParagraph"/>
        <w:tabs>
          <w:tab w:val="clear" w:pos="720"/>
          <w:tab w:val="left" w:pos="0" w:leader="none"/>
        </w:tabs>
        <w:ind w:start="0"/>
        <w:jc w:val="center"/>
        <w:rPr>
          <w:b/>
          <w:sz w:val="10"/>
          <w:szCs w:val="10"/>
        </w:rPr>
      </w:pPr>
      <w:r>
        <w:rPr>
          <w:b/>
          <w:sz w:val="10"/>
          <w:szCs w:val="10"/>
        </w:rPr>
      </w:r>
    </w:p>
    <w:p>
      <w:pPr>
        <w:pStyle w:val="NoSpacing"/>
        <w:ind w:firstLine="567"/>
        <w:jc w:val="both"/>
        <w:rPr>
          <w:szCs w:val="28"/>
        </w:rPr>
      </w:pPr>
      <w:r>
        <w:rPr>
          <w:color w:val="000000"/>
          <w:szCs w:val="28"/>
          <w:shd w:fill="FFFFFF" w:val="clear"/>
        </w:rPr>
        <w:t>Основними завданнями Програми є:</w:t>
      </w:r>
      <w:r>
        <w:rPr>
          <w:color w:val="FF0000"/>
          <w:szCs w:val="28"/>
          <w:shd w:fill="FFFFFF" w:val="clear"/>
        </w:rPr>
        <w:t xml:space="preserve"> </w:t>
      </w:r>
    </w:p>
    <w:p>
      <w:pPr>
        <w:pStyle w:val="NoSpacing"/>
        <w:ind w:firstLine="567"/>
        <w:jc w:val="both"/>
        <w:rPr>
          <w:szCs w:val="28"/>
        </w:rPr>
      </w:pPr>
      <w:r>
        <w:rPr>
          <w:rFonts w:eastAsia="Calibri"/>
          <w:color w:val="000000"/>
          <w:szCs w:val="28"/>
          <w:lang w:eastAsia="en-US"/>
        </w:rPr>
        <w:t>комплексна організація та розвиток комунальної інфраструктури громади;</w:t>
      </w:r>
    </w:p>
    <w:p>
      <w:pPr>
        <w:pStyle w:val="NoSpacing"/>
        <w:ind w:firstLine="567"/>
        <w:jc w:val="both"/>
        <w:rPr>
          <w:szCs w:val="28"/>
        </w:rPr>
      </w:pPr>
      <w:r>
        <w:rPr>
          <w:rFonts w:eastAsia="Calibri"/>
          <w:color w:val="000000"/>
          <w:szCs w:val="28"/>
          <w:lang w:eastAsia="en-US"/>
        </w:rPr>
        <w:t>створення умов для ефективного та екологічного використання водних ресурсів;</w:t>
      </w:r>
    </w:p>
    <w:p>
      <w:pPr>
        <w:pStyle w:val="NoSpacing"/>
        <w:ind w:firstLine="567"/>
        <w:jc w:val="both"/>
        <w:rPr>
          <w:szCs w:val="28"/>
        </w:rPr>
      </w:pPr>
      <w:r>
        <w:rPr>
          <w:rFonts w:eastAsia="Calibri"/>
          <w:color w:val="000000"/>
          <w:szCs w:val="28"/>
          <w:lang w:eastAsia="en-US"/>
        </w:rPr>
        <w:t>сприяння впровадженню відновлювальних джерел енергії в громаді;</w:t>
      </w:r>
    </w:p>
    <w:p>
      <w:pPr>
        <w:pStyle w:val="NoSpacing"/>
        <w:ind w:firstLine="567"/>
        <w:jc w:val="both"/>
        <w:rPr>
          <w:szCs w:val="28"/>
        </w:rPr>
      </w:pPr>
      <w:r>
        <w:rPr>
          <w:rFonts w:eastAsia="Calibri"/>
          <w:color w:val="000000"/>
          <w:szCs w:val="28"/>
          <w:lang w:eastAsia="en-US"/>
        </w:rPr>
        <w:t>будівництво сучасних енергоефективних житлових комплексів, підвищення доступності житла та якості житлового забезпечення;</w:t>
      </w:r>
    </w:p>
    <w:p>
      <w:pPr>
        <w:pStyle w:val="NoSpacing"/>
        <w:ind w:firstLine="567"/>
        <w:jc w:val="both"/>
        <w:rPr>
          <w:szCs w:val="28"/>
        </w:rPr>
      </w:pPr>
      <w:r>
        <w:rPr>
          <w:rFonts w:eastAsia="Calibri"/>
          <w:color w:val="000000"/>
          <w:szCs w:val="28"/>
          <w:lang w:eastAsia="en-US"/>
        </w:rPr>
        <w:t>удосконалення та оновлення транспортної та пішохідної інфраструктури;</w:t>
      </w:r>
    </w:p>
    <w:p>
      <w:pPr>
        <w:pStyle w:val="NoSpacing"/>
        <w:ind w:firstLine="567"/>
        <w:jc w:val="both"/>
        <w:rPr>
          <w:szCs w:val="28"/>
        </w:rPr>
      </w:pPr>
      <w:r>
        <w:rPr>
          <w:rFonts w:eastAsia="Calibri"/>
          <w:color w:val="000000"/>
          <w:szCs w:val="28"/>
          <w:lang w:eastAsia="en-US"/>
        </w:rPr>
        <w:t>створення умов для якісного та безперебійного надання послуг підприємством надавачем послуг централізованого постачання теплової енергії та гарячої води;</w:t>
      </w:r>
    </w:p>
    <w:p>
      <w:pPr>
        <w:pStyle w:val="NoSpacing"/>
        <w:ind w:firstLine="567"/>
        <w:jc w:val="both"/>
        <w:rPr>
          <w:szCs w:val="28"/>
        </w:rPr>
      </w:pPr>
      <w:r>
        <w:rPr>
          <w:rFonts w:eastAsia="Calibri"/>
          <w:color w:val="000000"/>
          <w:szCs w:val="28"/>
          <w:lang w:eastAsia="en-US"/>
        </w:rPr>
        <w:t>впровадження та використання альтернативних і відновлюваних джерел енергії;</w:t>
      </w:r>
    </w:p>
    <w:p>
      <w:pPr>
        <w:pStyle w:val="NoSpacing"/>
        <w:ind w:firstLine="567"/>
        <w:jc w:val="both"/>
        <w:rPr>
          <w:szCs w:val="28"/>
        </w:rPr>
      </w:pPr>
      <w:r>
        <w:rPr>
          <w:rFonts w:eastAsia="Calibri"/>
          <w:color w:val="000000"/>
          <w:szCs w:val="28"/>
          <w:lang w:eastAsia="en-US"/>
        </w:rPr>
        <w:t>модернізація системи поводження з твердими побутовими відходами.</w:t>
      </w:r>
    </w:p>
    <w:p>
      <w:pPr>
        <w:pStyle w:val="NoSpacing"/>
        <w:ind w:firstLine="567"/>
        <w:jc w:val="both"/>
        <w:rPr>
          <w:szCs w:val="28"/>
        </w:rPr>
      </w:pPr>
      <w:r>
        <w:rPr>
          <w:szCs w:val="28"/>
        </w:rPr>
        <w:t>Перелік завдань, заходів  та результативні показники Програми наведено у додатку 2 до Програми.</w:t>
      </w:r>
    </w:p>
    <w:p>
      <w:pPr>
        <w:pStyle w:val="NoSpacing"/>
        <w:ind w:firstLine="567"/>
        <w:jc w:val="both"/>
        <w:rPr>
          <w:b/>
        </w:rPr>
      </w:pPr>
      <w:r>
        <w:rPr>
          <w:b/>
        </w:rPr>
      </w:r>
    </w:p>
    <w:p>
      <w:pPr>
        <w:pStyle w:val="NoSpacing"/>
        <w:jc w:val="center"/>
        <w:rPr>
          <w:b/>
        </w:rPr>
      </w:pPr>
      <w:r>
        <w:rPr>
          <w:b/>
        </w:rPr>
        <w:t>6. Координація та контроль за виконанням Програми</w:t>
      </w:r>
    </w:p>
    <w:p>
      <w:pPr>
        <w:pStyle w:val="ListParagraph"/>
        <w:tabs>
          <w:tab w:val="clear" w:pos="720"/>
          <w:tab w:val="left" w:pos="0" w:leader="none"/>
        </w:tabs>
        <w:ind w:start="927"/>
        <w:rPr>
          <w:sz w:val="10"/>
          <w:szCs w:val="10"/>
        </w:rPr>
      </w:pPr>
      <w:r>
        <w:rPr>
          <w:sz w:val="10"/>
          <w:szCs w:val="10"/>
        </w:rPr>
      </w:r>
    </w:p>
    <w:p>
      <w:pPr>
        <w:pStyle w:val="Normal"/>
        <w:widowControl w:val="false"/>
        <w:ind w:firstLine="567"/>
        <w:jc w:val="both"/>
        <w:rPr>
          <w:b/>
        </w:rPr>
      </w:pPr>
      <w:r>
        <w:rPr>
          <w:rStyle w:val="field-content"/>
          <w:szCs w:val="28"/>
          <w:lang w:eastAsia="uk-UA"/>
        </w:rPr>
        <w:t>Контроль за використанням бюджетних коштів, передбачених для здійснення заходів, визначених Програмою, здійснюється у порядку, встановленому законодавством України.</w:t>
      </w:r>
    </w:p>
    <w:p>
      <w:pPr>
        <w:pStyle w:val="Normal"/>
        <w:widowControl w:val="false"/>
        <w:ind w:firstLine="567"/>
        <w:jc w:val="both"/>
        <w:rPr>
          <w:b/>
        </w:rPr>
      </w:pPr>
      <w:r>
        <w:rPr>
          <w:szCs w:val="28"/>
        </w:rPr>
        <w:t xml:space="preserve">Загальну координацію та контроль за ходом виконання Програми здійснюють </w:t>
      </w:r>
      <w:r>
        <w:rPr>
          <w:rStyle w:val="field-content"/>
          <w:szCs w:val="28"/>
        </w:rPr>
        <w:t xml:space="preserve">заступник міського голови відповідно до розподілу обов'язків та </w:t>
      </w:r>
      <w:r>
        <w:rPr>
          <w:szCs w:val="28"/>
        </w:rPr>
        <w:t xml:space="preserve">постійна комісія міської ради з питань </w:t>
      </w:r>
      <w:r>
        <w:rPr>
          <w:szCs w:val="28"/>
          <w:shd w:fill="FFFFFF" w:val="clear"/>
        </w:rPr>
        <w:t>генерального планування, будівництва, архітектури та благоустрою, житлово-комунального господарства, екології, транспорту та енергоощадності.</w:t>
      </w:r>
    </w:p>
    <w:p>
      <w:pPr>
        <w:pStyle w:val="NoSpacing"/>
        <w:ind w:firstLine="567"/>
        <w:jc w:val="both"/>
        <w:rPr>
          <w:b/>
        </w:rPr>
      </w:pPr>
      <w:r>
        <w:rPr>
          <w:b/>
        </w:rPr>
      </w:r>
    </w:p>
    <w:p>
      <w:pPr>
        <w:pStyle w:val="Normal"/>
        <w:tabs>
          <w:tab w:val="clear" w:pos="720"/>
          <w:tab w:val="left" w:pos="916" w:leader="none"/>
          <w:tab w:val="left" w:pos="1134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ind w:end="-141"/>
        <w:jc w:val="both"/>
        <w:rPr>
          <w:bCs w:val="false"/>
          <w:szCs w:val="28"/>
        </w:rPr>
      </w:pPr>
      <w:r>
        <w:rPr>
          <w:bCs w:val="false"/>
          <w:szCs w:val="28"/>
        </w:rPr>
      </w:r>
    </w:p>
    <w:p>
      <w:pPr>
        <w:pStyle w:val="Normal"/>
        <w:tabs>
          <w:tab w:val="clear" w:pos="720"/>
          <w:tab w:val="left" w:pos="916" w:leader="none"/>
          <w:tab w:val="left" w:pos="1134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ind w:end="-141"/>
        <w:jc w:val="both"/>
        <w:rPr>
          <w:bCs w:val="false"/>
          <w:szCs w:val="28"/>
        </w:rPr>
      </w:pPr>
      <w:r>
        <w:rPr>
          <w:bCs w:val="false"/>
          <w:szCs w:val="28"/>
        </w:rPr>
      </w:r>
    </w:p>
    <w:p>
      <w:pPr>
        <w:pStyle w:val="Normal"/>
        <w:jc w:val="both"/>
        <w:rPr>
          <w:szCs w:val="28"/>
        </w:rPr>
      </w:pPr>
      <w:r>
        <w:rPr>
          <w:szCs w:val="28"/>
        </w:rPr>
        <w:t>Секретар міської ради</w:t>
        <w:tab/>
        <w:tab/>
        <w:tab/>
        <w:tab/>
        <w:tab/>
        <w:t xml:space="preserve">           Катерина ШКЛЬОДА</w:t>
      </w:r>
    </w:p>
    <w:p>
      <w:pPr>
        <w:pStyle w:val="Normal"/>
        <w:tabs>
          <w:tab w:val="clear" w:pos="720"/>
          <w:tab w:val="left" w:pos="916" w:leader="none"/>
          <w:tab w:val="left" w:pos="1134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513" w:leader="none"/>
          <w:tab w:val="left" w:pos="8244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ind w:end="-141"/>
        <w:jc w:val="both"/>
        <w:rPr>
          <w:szCs w:val="28"/>
        </w:rPr>
      </w:pPr>
      <w:r>
        <w:rPr>
          <w:szCs w:val="28"/>
        </w:rPr>
      </w:r>
    </w:p>
    <w:p>
      <w:pPr>
        <w:pStyle w:val="Normal"/>
        <w:tabs>
          <w:tab w:val="clear" w:pos="720"/>
          <w:tab w:val="left" w:pos="916" w:leader="none"/>
          <w:tab w:val="left" w:pos="1134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513" w:leader="none"/>
          <w:tab w:val="left" w:pos="8244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ind w:end="-141"/>
        <w:jc w:val="both"/>
        <w:rPr>
          <w:szCs w:val="28"/>
        </w:rPr>
      </w:pPr>
      <w:r>
        <w:rPr>
          <w:szCs w:val="28"/>
        </w:rPr>
      </w:r>
    </w:p>
    <w:p>
      <w:pPr>
        <w:pStyle w:val="Normal"/>
        <w:tabs>
          <w:tab w:val="clear" w:pos="720"/>
          <w:tab w:val="left" w:pos="916" w:leader="none"/>
          <w:tab w:val="left" w:pos="1134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b/>
        </w:rPr>
        <w:sectPr>
          <w:headerReference w:type="even" r:id="rId2"/>
          <w:headerReference w:type="default" r:id="rId3"/>
          <w:headerReference w:type="first" r:id="rId4"/>
          <w:type w:val="nextPage"/>
          <w:pgSz w:w="11906" w:h="16838"/>
          <w:pgMar w:left="1985" w:right="567" w:gutter="0" w:header="709" w:top="1134" w:footer="0" w:bottom="1134"/>
          <w:pgNumType w:fmt="decimal"/>
          <w:formProt w:val="false"/>
          <w:textDirection w:val="lrTb"/>
          <w:docGrid w:type="default" w:linePitch="100" w:charSpace="0"/>
        </w:sectPr>
      </w:pPr>
      <w:r>
        <w:rPr>
          <w:color w:val="000000"/>
          <w:sz w:val="24"/>
        </w:rPr>
        <w:t>Смаль 777 955</w:t>
      </w:r>
    </w:p>
    <w:p>
      <w:pPr>
        <w:pStyle w:val="Normal"/>
        <w:tabs>
          <w:tab w:val="clear" w:pos="720"/>
          <w:tab w:val="left" w:pos="916" w:leader="none"/>
          <w:tab w:val="left" w:pos="1134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ind w:start="10632"/>
        <w:jc w:val="both"/>
        <w:rPr>
          <w:bCs w:val="false"/>
        </w:rPr>
      </w:pPr>
      <w:r>
        <w:rPr>
          <w:bCs w:val="false"/>
        </w:rPr>
        <w:t>Додаток 1</w:t>
        <w:br/>
        <w:t>до Програми «Р</w:t>
      </w:r>
      <w:r>
        <w:rPr>
          <w:rFonts w:eastAsia="Times New Roman" w:cs="Times New Roman"/>
          <w:bCs w:val="false"/>
          <w:szCs w:val="28"/>
        </w:rPr>
        <w:t>еалізація Муніципального енергетичного плану Луцької міської територіальної громади до 2030 року» </w:t>
      </w:r>
      <w:r>
        <w:rPr>
          <w:rFonts w:cs="Times New Roman"/>
          <w:bCs w:val="false"/>
          <w:szCs w:val="28"/>
        </w:rPr>
        <w:t>на 2026–20</w:t>
      </w:r>
      <w:r>
        <w:rPr>
          <w:rFonts w:cs="Times New Roman"/>
          <w:bCs w:val="false"/>
          <w:szCs w:val="28"/>
          <w:lang w:val="ru-RU"/>
        </w:rPr>
        <w:t>30</w:t>
      </w:r>
      <w:r>
        <w:rPr>
          <w:rFonts w:cs="Times New Roman"/>
          <w:bCs w:val="false"/>
          <w:szCs w:val="28"/>
        </w:rPr>
        <w:t xml:space="preserve"> роки</w:t>
      </w:r>
    </w:p>
    <w:p>
      <w:pPr>
        <w:pStyle w:val="Normal"/>
        <w:tabs>
          <w:tab w:val="clear" w:pos="720"/>
          <w:tab w:val="left" w:pos="916" w:leader="none"/>
          <w:tab w:val="left" w:pos="1134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jc w:val="center"/>
        <w:rPr>
          <w:sz w:val="24"/>
        </w:rPr>
      </w:pPr>
      <w:r>
        <w:rPr>
          <w:sz w:val="24"/>
        </w:rPr>
      </w:r>
    </w:p>
    <w:p>
      <w:pPr>
        <w:pStyle w:val="Normal"/>
        <w:tabs>
          <w:tab w:val="clear" w:pos="720"/>
          <w:tab w:val="left" w:pos="916" w:leader="none"/>
          <w:tab w:val="left" w:pos="1134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jc w:val="center"/>
        <w:rPr/>
      </w:pPr>
      <w:r>
        <w:rPr/>
        <w:t>Ресурсне забезпечення</w:t>
      </w:r>
    </w:p>
    <w:p>
      <w:pPr>
        <w:pStyle w:val="Style23"/>
        <w:spacing w:before="0" w:after="0"/>
        <w:ind w:firstLine="567"/>
        <w:jc w:val="center"/>
        <w:rPr/>
      </w:pPr>
      <w:r>
        <w:rPr>
          <w:rFonts w:eastAsia="Times New Roman" w:cs="Times New Roman"/>
          <w:color w:val="000000"/>
          <w:sz w:val="28"/>
          <w:szCs w:val="28"/>
          <w:highlight w:val="white"/>
          <w:shd w:fill="FFFFFF" w:val="clear"/>
          <w:lang w:val="uk-UA" w:eastAsia="ru-RU"/>
        </w:rPr>
        <w:t>Програми «Реалізація Муніципального енергетичного плану</w:t>
      </w:r>
    </w:p>
    <w:p>
      <w:pPr>
        <w:pStyle w:val="Style23"/>
        <w:spacing w:before="0" w:after="0"/>
        <w:ind w:firstLine="567"/>
        <w:jc w:val="center"/>
        <w:rPr/>
      </w:pPr>
      <w:r>
        <w:rPr>
          <w:rFonts w:eastAsia="Times New Roman" w:cs="Times New Roman"/>
          <w:color w:val="000000"/>
          <w:sz w:val="28"/>
          <w:szCs w:val="28"/>
          <w:highlight w:val="white"/>
          <w:shd w:fill="FFFFFF" w:val="clear"/>
          <w:lang w:val="uk-UA" w:eastAsia="ru-RU"/>
        </w:rPr>
        <w:t xml:space="preserve"> </w:t>
      </w:r>
      <w:r>
        <w:rPr>
          <w:rFonts w:eastAsia="Times New Roman" w:cs="Times New Roman"/>
          <w:color w:val="000000"/>
          <w:sz w:val="28"/>
          <w:szCs w:val="28"/>
          <w:highlight w:val="white"/>
          <w:shd w:fill="FFFFFF" w:val="clear"/>
          <w:lang w:val="uk-UA" w:eastAsia="ru-RU"/>
        </w:rPr>
        <w:t>Луцької міської територіальної громади до 2030 року» на 2026–20</w:t>
      </w:r>
      <w:r>
        <w:rPr>
          <w:rFonts w:eastAsia="Times New Roman" w:cs="Times New Roman"/>
          <w:color w:val="000000"/>
          <w:sz w:val="28"/>
          <w:szCs w:val="28"/>
          <w:highlight w:val="white"/>
          <w:shd w:fill="FFFFFF" w:val="clear"/>
          <w:lang w:eastAsia="ru-RU"/>
        </w:rPr>
        <w:t>30</w:t>
      </w:r>
      <w:r>
        <w:rPr>
          <w:rFonts w:eastAsia="Times New Roman" w:cs="Times New Roman"/>
          <w:color w:val="000000"/>
          <w:sz w:val="28"/>
          <w:szCs w:val="28"/>
          <w:highlight w:val="white"/>
          <w:shd w:fill="FFFFFF" w:val="clear"/>
          <w:lang w:val="uk-UA" w:eastAsia="ru-RU"/>
        </w:rPr>
        <w:t xml:space="preserve"> роки</w:t>
      </w:r>
    </w:p>
    <w:p>
      <w:pPr>
        <w:pStyle w:val="Normal"/>
        <w:tabs>
          <w:tab w:val="clear" w:pos="720"/>
          <w:tab w:val="left" w:pos="916" w:leader="none"/>
          <w:tab w:val="left" w:pos="1134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jc w:val="center"/>
        <w:rPr>
          <w:sz w:val="24"/>
        </w:rPr>
      </w:pPr>
      <w:r>
        <w:rPr>
          <w:sz w:val="24"/>
        </w:rPr>
      </w:r>
    </w:p>
    <w:tbl>
      <w:tblPr>
        <w:tblW w:w="15201" w:type="dxa"/>
        <w:jc w:val="start"/>
        <w:tblInd w:w="576" w:type="dxa"/>
        <w:tblLayout w:type="fixed"/>
        <w:tblCellMar>
          <w:top w:w="0" w:type="dxa"/>
          <w:start w:w="108" w:type="dxa"/>
          <w:bottom w:w="0" w:type="dxa"/>
          <w:end w:w="108" w:type="dxa"/>
        </w:tblCellMar>
        <w:tblLook w:firstRow="1" w:noVBand="1" w:lastRow="0" w:firstColumn="1" w:lastColumn="0" w:noHBand="0" w:val="04a0"/>
      </w:tblPr>
      <w:tblGrid>
        <w:gridCol w:w="4350"/>
        <w:gridCol w:w="1713"/>
        <w:gridCol w:w="1715"/>
        <w:gridCol w:w="1713"/>
        <w:gridCol w:w="1716"/>
        <w:gridCol w:w="1712"/>
        <w:gridCol w:w="2282"/>
      </w:tblGrid>
      <w:tr>
        <w:trPr>
          <w:trHeight w:val="316" w:hRule="atLeast"/>
        </w:trPr>
        <w:tc>
          <w:tcPr>
            <w:tcW w:w="4350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916" w:leader="none"/>
                <w:tab w:val="left" w:pos="1134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jc w:val="center"/>
              <w:rPr>
                <w:szCs w:val="28"/>
              </w:rPr>
            </w:pPr>
            <w:r>
              <w:rPr>
                <w:szCs w:val="28"/>
              </w:rPr>
              <w:t>Обсяг коштів, які планується залучити на виконання Програми, тис. грн</w:t>
            </w:r>
          </w:p>
        </w:tc>
        <w:tc>
          <w:tcPr>
            <w:tcW w:w="8569" w:type="dxa"/>
            <w:gridSpan w:val="5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916" w:leader="none"/>
                <w:tab w:val="left" w:pos="1134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jc w:val="center"/>
              <w:rPr>
                <w:szCs w:val="28"/>
                <w:lang w:val="ru-RU"/>
              </w:rPr>
            </w:pPr>
            <w:r>
              <w:rPr>
                <w:szCs w:val="28"/>
              </w:rPr>
              <w:t>Роки</w:t>
            </w:r>
            <w:r>
              <w:rPr>
                <w:szCs w:val="28"/>
                <w:lang w:val="ru-RU"/>
              </w:rPr>
              <w:t xml:space="preserve"> реалізації Програми</w:t>
            </w:r>
          </w:p>
        </w:tc>
        <w:tc>
          <w:tcPr>
            <w:tcW w:w="2282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916" w:leader="none"/>
                <w:tab w:val="left" w:pos="1134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jc w:val="center"/>
              <w:rPr>
                <w:szCs w:val="28"/>
              </w:rPr>
            </w:pPr>
            <w:r>
              <w:rPr>
                <w:szCs w:val="28"/>
              </w:rPr>
              <w:t>Загальний обсяг фінансування,</w:t>
            </w:r>
          </w:p>
          <w:p>
            <w:pPr>
              <w:pStyle w:val="Normal"/>
              <w:widowControl w:val="false"/>
              <w:tabs>
                <w:tab w:val="clear" w:pos="720"/>
                <w:tab w:val="left" w:pos="916" w:leader="none"/>
                <w:tab w:val="left" w:pos="1134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jc w:val="center"/>
              <w:rPr>
                <w:szCs w:val="28"/>
              </w:rPr>
            </w:pPr>
            <w:r>
              <w:rPr>
                <w:szCs w:val="28"/>
              </w:rPr>
              <w:t>тис. грн</w:t>
            </w:r>
          </w:p>
        </w:tc>
      </w:tr>
      <w:tr>
        <w:trPr>
          <w:trHeight w:val="572" w:hRule="atLeast"/>
        </w:trPr>
        <w:tc>
          <w:tcPr>
            <w:tcW w:w="4350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71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916" w:leader="none"/>
                <w:tab w:val="left" w:pos="1134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jc w:val="center"/>
              <w:rPr>
                <w:szCs w:val="28"/>
              </w:rPr>
            </w:pPr>
            <w:r>
              <w:rPr>
                <w:szCs w:val="28"/>
              </w:rPr>
              <w:t>202</w:t>
            </w:r>
            <w:r>
              <w:rPr>
                <w:szCs w:val="28"/>
                <w:lang w:val="ru-RU"/>
              </w:rPr>
              <w:t>6</w:t>
            </w:r>
            <w:r>
              <w:rPr>
                <w:szCs w:val="28"/>
              </w:rPr>
              <w:t xml:space="preserve"> рік</w:t>
            </w:r>
          </w:p>
        </w:tc>
        <w:tc>
          <w:tcPr>
            <w:tcW w:w="171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916" w:leader="none"/>
                <w:tab w:val="left" w:pos="1134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jc w:val="center"/>
              <w:rPr>
                <w:szCs w:val="28"/>
              </w:rPr>
            </w:pPr>
            <w:r>
              <w:rPr>
                <w:szCs w:val="28"/>
              </w:rPr>
              <w:t>202</w:t>
            </w:r>
            <w:r>
              <w:rPr>
                <w:szCs w:val="28"/>
                <w:lang w:val="ru-RU"/>
              </w:rPr>
              <w:t>7</w:t>
            </w:r>
            <w:r>
              <w:rPr>
                <w:szCs w:val="28"/>
              </w:rPr>
              <w:t xml:space="preserve"> рік</w:t>
            </w:r>
          </w:p>
        </w:tc>
        <w:tc>
          <w:tcPr>
            <w:tcW w:w="171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916" w:leader="none"/>
                <w:tab w:val="left" w:pos="1134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jc w:val="center"/>
              <w:rPr>
                <w:szCs w:val="28"/>
              </w:rPr>
            </w:pPr>
            <w:r>
              <w:rPr>
                <w:szCs w:val="28"/>
              </w:rPr>
              <w:t>202</w:t>
            </w:r>
            <w:r>
              <w:rPr>
                <w:szCs w:val="28"/>
                <w:lang w:val="ru-RU"/>
              </w:rPr>
              <w:t>8</w:t>
            </w:r>
            <w:r>
              <w:rPr>
                <w:szCs w:val="28"/>
              </w:rPr>
              <w:t xml:space="preserve"> рік</w:t>
            </w:r>
          </w:p>
        </w:tc>
        <w:tc>
          <w:tcPr>
            <w:tcW w:w="171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916" w:leader="none"/>
                <w:tab w:val="left" w:pos="1134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jc w:val="center"/>
              <w:rPr>
                <w:szCs w:val="28"/>
              </w:rPr>
            </w:pPr>
            <w:r>
              <w:rPr>
                <w:szCs w:val="28"/>
              </w:rPr>
              <w:t>202</w:t>
            </w:r>
            <w:r>
              <w:rPr>
                <w:szCs w:val="28"/>
                <w:lang w:val="ru-RU"/>
              </w:rPr>
              <w:t>9</w:t>
            </w:r>
            <w:r>
              <w:rPr>
                <w:szCs w:val="28"/>
              </w:rPr>
              <w:t xml:space="preserve"> рік</w:t>
            </w:r>
          </w:p>
        </w:tc>
        <w:tc>
          <w:tcPr>
            <w:tcW w:w="171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916" w:leader="none"/>
                <w:tab w:val="left" w:pos="1134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jc w:val="center"/>
              <w:rPr>
                <w:szCs w:val="28"/>
              </w:rPr>
            </w:pPr>
            <w:r>
              <w:rPr>
                <w:szCs w:val="28"/>
              </w:rPr>
              <w:t>20</w:t>
            </w:r>
            <w:r>
              <w:rPr>
                <w:szCs w:val="28"/>
                <w:lang w:val="ru-RU"/>
              </w:rPr>
              <w:t>30</w:t>
            </w:r>
            <w:r>
              <w:rPr>
                <w:szCs w:val="28"/>
              </w:rPr>
              <w:t xml:space="preserve"> рік</w:t>
            </w:r>
          </w:p>
        </w:tc>
        <w:tc>
          <w:tcPr>
            <w:tcW w:w="2282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/>
        <w:tc>
          <w:tcPr>
            <w:tcW w:w="43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916" w:leader="none"/>
                <w:tab w:val="left" w:pos="1134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jc w:val="center"/>
              <w:rPr>
                <w:szCs w:val="28"/>
              </w:rPr>
            </w:pPr>
            <w:r>
              <w:rPr>
                <w:szCs w:val="28"/>
              </w:rPr>
              <w:t>Обсяг фінансових ресурсів всього, у тому числі:</w:t>
            </w:r>
          </w:p>
        </w:tc>
        <w:tc>
          <w:tcPr>
            <w:tcW w:w="171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1 540 731,70</w:t>
            </w:r>
          </w:p>
        </w:tc>
        <w:tc>
          <w:tcPr>
            <w:tcW w:w="171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1 320 076,40</w:t>
            </w:r>
          </w:p>
        </w:tc>
        <w:tc>
          <w:tcPr>
            <w:tcW w:w="171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993 126,50</w:t>
            </w:r>
          </w:p>
        </w:tc>
        <w:tc>
          <w:tcPr>
            <w:tcW w:w="171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686 623,10</w:t>
            </w:r>
          </w:p>
        </w:tc>
        <w:tc>
          <w:tcPr>
            <w:tcW w:w="171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691 576,10</w:t>
            </w:r>
          </w:p>
        </w:tc>
        <w:tc>
          <w:tcPr>
            <w:tcW w:w="228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5 232 133,80</w:t>
            </w:r>
          </w:p>
        </w:tc>
      </w:tr>
      <w:tr>
        <w:trPr/>
        <w:tc>
          <w:tcPr>
            <w:tcW w:w="43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916" w:leader="none"/>
                <w:tab w:val="left" w:pos="1134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jc w:val="center"/>
              <w:rPr>
                <w:szCs w:val="28"/>
              </w:rPr>
            </w:pPr>
            <w:r>
              <w:rPr>
                <w:szCs w:val="28"/>
              </w:rPr>
              <w:t>коштів бюджету громади</w:t>
            </w:r>
          </w:p>
        </w:tc>
        <w:tc>
          <w:tcPr>
            <w:tcW w:w="171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267 412,18</w:t>
            </w:r>
          </w:p>
        </w:tc>
        <w:tc>
          <w:tcPr>
            <w:tcW w:w="171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142 402,48</w:t>
            </w:r>
          </w:p>
        </w:tc>
        <w:tc>
          <w:tcPr>
            <w:tcW w:w="171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213 282,50</w:t>
            </w:r>
          </w:p>
        </w:tc>
        <w:tc>
          <w:tcPr>
            <w:tcW w:w="171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198 655,10</w:t>
            </w:r>
          </w:p>
        </w:tc>
        <w:tc>
          <w:tcPr>
            <w:tcW w:w="171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199 972,10</w:t>
            </w:r>
          </w:p>
        </w:tc>
        <w:tc>
          <w:tcPr>
            <w:tcW w:w="228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Cs w:val="28"/>
              </w:rPr>
            </w:pPr>
            <w:r>
              <w:rPr>
                <w:szCs w:val="28"/>
              </w:rPr>
              <w:t>1 021 724,36</w:t>
            </w:r>
          </w:p>
        </w:tc>
      </w:tr>
      <w:tr>
        <w:trPr/>
        <w:tc>
          <w:tcPr>
            <w:tcW w:w="4350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916" w:leader="none"/>
                <w:tab w:val="left" w:pos="1134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jc w:val="center"/>
              <w:rPr>
                <w:szCs w:val="28"/>
              </w:rPr>
            </w:pPr>
            <w:r>
              <w:rPr>
                <w:szCs w:val="28"/>
              </w:rPr>
              <w:t>коштів державного бюджету</w:t>
            </w:r>
          </w:p>
        </w:tc>
        <w:tc>
          <w:tcPr>
            <w:tcW w:w="1713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</w:rPr>
            </w:pPr>
            <w:r>
              <w:rPr>
                <w:color w:val="000000"/>
                <w:szCs w:val="28"/>
              </w:rPr>
              <w:t>417 840,00</w:t>
            </w:r>
          </w:p>
        </w:tc>
        <w:tc>
          <w:tcPr>
            <w:tcW w:w="1715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Cs w:val="28"/>
              </w:rPr>
            </w:pPr>
            <w:r>
              <w:rPr>
                <w:szCs w:val="28"/>
              </w:rPr>
              <w:t>350 364,00</w:t>
            </w:r>
          </w:p>
        </w:tc>
        <w:tc>
          <w:tcPr>
            <w:tcW w:w="1713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Cs w:val="28"/>
              </w:rPr>
            </w:pPr>
            <w:r>
              <w:rPr>
                <w:szCs w:val="28"/>
              </w:rPr>
              <w:t>350 000,00</w:t>
            </w:r>
          </w:p>
        </w:tc>
        <w:tc>
          <w:tcPr>
            <w:tcW w:w="1716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Cs w:val="28"/>
              </w:rPr>
            </w:pPr>
            <w:r>
              <w:rPr>
                <w:szCs w:val="28"/>
              </w:rPr>
              <w:t>350 364,00</w:t>
            </w:r>
          </w:p>
        </w:tc>
        <w:tc>
          <w:tcPr>
            <w:tcW w:w="1712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Cs w:val="28"/>
              </w:rPr>
            </w:pPr>
            <w:r>
              <w:rPr>
                <w:szCs w:val="28"/>
              </w:rPr>
              <w:t>351 092,00</w:t>
            </w:r>
          </w:p>
        </w:tc>
        <w:tc>
          <w:tcPr>
            <w:tcW w:w="2282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Cs w:val="28"/>
              </w:rPr>
            </w:pPr>
            <w:r>
              <w:rPr>
                <w:szCs w:val="28"/>
              </w:rPr>
              <w:t>1 819 660,00</w:t>
            </w:r>
          </w:p>
        </w:tc>
      </w:tr>
      <w:tr>
        <w:trPr/>
        <w:tc>
          <w:tcPr>
            <w:tcW w:w="43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916" w:leader="none"/>
                <w:tab w:val="left" w:pos="1134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jc w:val="center"/>
              <w:rPr>
                <w:szCs w:val="28"/>
              </w:rPr>
            </w:pPr>
            <w:r>
              <w:rPr>
                <w:szCs w:val="28"/>
              </w:rPr>
              <w:t>коштів інших джерел</w:t>
            </w:r>
          </w:p>
        </w:tc>
        <w:tc>
          <w:tcPr>
            <w:tcW w:w="171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</w:rPr>
            </w:pPr>
            <w:r>
              <w:rPr>
                <w:color w:val="000000"/>
                <w:szCs w:val="28"/>
              </w:rPr>
              <w:t>855 479,52</w:t>
            </w:r>
          </w:p>
        </w:tc>
        <w:tc>
          <w:tcPr>
            <w:tcW w:w="171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Cs w:val="28"/>
              </w:rPr>
            </w:pPr>
            <w:r>
              <w:rPr>
                <w:szCs w:val="28"/>
              </w:rPr>
              <w:t>827 309,92</w:t>
            </w:r>
          </w:p>
        </w:tc>
        <w:tc>
          <w:tcPr>
            <w:tcW w:w="171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Cs w:val="28"/>
              </w:rPr>
            </w:pPr>
            <w:r>
              <w:rPr>
                <w:szCs w:val="28"/>
              </w:rPr>
              <w:t>429 844,00</w:t>
            </w:r>
          </w:p>
        </w:tc>
        <w:tc>
          <w:tcPr>
            <w:tcW w:w="171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Cs w:val="28"/>
              </w:rPr>
            </w:pPr>
            <w:r>
              <w:rPr>
                <w:szCs w:val="28"/>
              </w:rPr>
              <w:t>137 604,00</w:t>
            </w:r>
          </w:p>
        </w:tc>
        <w:tc>
          <w:tcPr>
            <w:tcW w:w="171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Cs w:val="28"/>
              </w:rPr>
            </w:pPr>
            <w:r>
              <w:rPr>
                <w:szCs w:val="28"/>
              </w:rPr>
              <w:t>140 512,00</w:t>
            </w:r>
          </w:p>
        </w:tc>
        <w:tc>
          <w:tcPr>
            <w:tcW w:w="228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Cs w:val="28"/>
              </w:rPr>
            </w:pPr>
            <w:r>
              <w:rPr>
                <w:szCs w:val="28"/>
              </w:rPr>
              <w:t>2 390 749,44</w:t>
            </w:r>
          </w:p>
        </w:tc>
      </w:tr>
    </w:tbl>
    <w:p>
      <w:pPr>
        <w:pStyle w:val="Normal"/>
        <w:tabs>
          <w:tab w:val="clear" w:pos="720"/>
          <w:tab w:val="left" w:pos="916" w:leader="none"/>
          <w:tab w:val="left" w:pos="1134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jc w:val="both"/>
        <w:rPr>
          <w:color w:val="000000"/>
          <w:szCs w:val="28"/>
          <w:lang w:val="ru-RU"/>
        </w:rPr>
      </w:pPr>
      <w:r>
        <w:rPr>
          <w:color w:val="000000"/>
          <w:szCs w:val="28"/>
          <w:lang w:val="ru-RU"/>
        </w:rPr>
      </w:r>
    </w:p>
    <w:p>
      <w:pPr>
        <w:pStyle w:val="Normal"/>
        <w:tabs>
          <w:tab w:val="clear" w:pos="720"/>
          <w:tab w:val="left" w:pos="916" w:leader="none"/>
          <w:tab w:val="left" w:pos="1134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color w:val="000000"/>
          <w:sz w:val="24"/>
          <w:lang w:val="ru-RU"/>
        </w:rPr>
      </w:pPr>
      <w:r>
        <w:rPr>
          <w:color w:val="000000"/>
          <w:sz w:val="24"/>
          <w:lang w:val="ru-RU"/>
        </w:rPr>
      </w:r>
    </w:p>
    <w:p>
      <w:pPr>
        <w:pStyle w:val="Normal"/>
        <w:tabs>
          <w:tab w:val="clear" w:pos="720"/>
          <w:tab w:val="left" w:pos="916" w:leader="none"/>
          <w:tab w:val="left" w:pos="1134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color w:val="000000"/>
          <w:sz w:val="24"/>
          <w:lang w:val="ru-RU"/>
        </w:rPr>
      </w:pPr>
      <w:r>
        <w:rPr>
          <w:color w:val="000000"/>
          <w:sz w:val="24"/>
          <w:lang w:val="ru-RU"/>
        </w:rPr>
      </w:r>
    </w:p>
    <w:p>
      <w:pPr>
        <w:pStyle w:val="Normal"/>
        <w:tabs>
          <w:tab w:val="clear" w:pos="720"/>
          <w:tab w:val="left" w:pos="916" w:leader="none"/>
          <w:tab w:val="left" w:pos="1134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b/>
        </w:rPr>
        <w:sectPr>
          <w:headerReference w:type="even" r:id="rId5"/>
          <w:headerReference w:type="default" r:id="rId6"/>
          <w:headerReference w:type="first" r:id="rId7"/>
          <w:type w:val="nextPage"/>
          <w:pgSz w:orient="landscape" w:w="16838" w:h="11906"/>
          <w:pgMar w:left="567" w:right="567" w:gutter="0" w:header="567" w:top="1985" w:footer="0" w:bottom="567"/>
          <w:pgNumType w:fmt="decimal"/>
          <w:formProt w:val="false"/>
          <w:textDirection w:val="lrTb"/>
          <w:docGrid w:type="default" w:linePitch="100" w:charSpace="0"/>
        </w:sectPr>
      </w:pPr>
      <w:r>
        <w:rPr>
          <w:color w:val="000000"/>
          <w:sz w:val="24"/>
        </w:rPr>
        <w:t xml:space="preserve">          </w:t>
      </w:r>
      <w:r>
        <w:rPr>
          <w:color w:val="000000"/>
          <w:sz w:val="24"/>
        </w:rPr>
        <w:t>Смаль 777 955</w:t>
      </w:r>
    </w:p>
    <w:p>
      <w:pPr>
        <w:pStyle w:val="NoSpacing"/>
        <w:ind w:start="10065"/>
        <w:jc w:val="both"/>
        <w:rPr>
          <w:rFonts w:cs="Times New Roman"/>
          <w:bCs w:val="false"/>
          <w:szCs w:val="28"/>
          <w:lang w:val="ru-RU"/>
        </w:rPr>
      </w:pPr>
      <w:r>
        <w:rPr>
          <w:szCs w:val="28"/>
        </w:rPr>
        <w:t>Додаток 2</w:t>
        <w:br/>
      </w:r>
      <w:r>
        <w:rPr>
          <w:bCs w:val="false"/>
          <w:szCs w:val="28"/>
        </w:rPr>
        <w:t>до Програми «Р</w:t>
      </w:r>
      <w:r>
        <w:rPr>
          <w:rFonts w:eastAsia="Times New Roman" w:cs="Times New Roman"/>
          <w:bCs w:val="false"/>
          <w:szCs w:val="28"/>
        </w:rPr>
        <w:t xml:space="preserve">еалізація Муніципального енергетичного плану Луцької міської територіальної громади до 2030 року» </w:t>
      </w:r>
      <w:r>
        <w:rPr>
          <w:rFonts w:cs="Times New Roman"/>
          <w:bCs w:val="false"/>
          <w:szCs w:val="28"/>
          <w:lang w:val="ru-RU"/>
        </w:rPr>
        <w:t>на 202</w:t>
      </w:r>
      <w:r>
        <w:rPr>
          <w:rFonts w:cs="Times New Roman"/>
          <w:bCs w:val="false"/>
          <w:szCs w:val="28"/>
        </w:rPr>
        <w:t>6–</w:t>
      </w:r>
      <w:r>
        <w:rPr>
          <w:rFonts w:cs="Times New Roman"/>
          <w:bCs w:val="false"/>
          <w:szCs w:val="28"/>
          <w:lang w:val="ru-RU"/>
        </w:rPr>
        <w:t>2030 роки</w:t>
      </w:r>
    </w:p>
    <w:p>
      <w:pPr>
        <w:pStyle w:val="NoSpacing"/>
        <w:ind w:start="10772"/>
        <w:rPr>
          <w:lang w:val="ru-RU"/>
        </w:rPr>
      </w:pPr>
      <w:r>
        <w:rPr>
          <w:lang w:val="ru-RU"/>
        </w:rPr>
      </w:r>
    </w:p>
    <w:p>
      <w:pPr>
        <w:pStyle w:val="NoSpacing"/>
        <w:jc w:val="center"/>
        <w:rPr>
          <w:color w:val="000000"/>
          <w:szCs w:val="28"/>
        </w:rPr>
      </w:pPr>
      <w:r>
        <w:rPr>
          <w:szCs w:val="28"/>
        </w:rPr>
        <w:t>Перелік з</w:t>
      </w:r>
      <w:r>
        <w:rPr>
          <w:color w:val="000000"/>
          <w:szCs w:val="28"/>
        </w:rPr>
        <w:t>авдань, заходів та результативні показники</w:t>
      </w:r>
    </w:p>
    <w:p>
      <w:pPr>
        <w:pStyle w:val="NoSpacing"/>
        <w:jc w:val="center"/>
        <w:rPr>
          <w:szCs w:val="28"/>
        </w:rPr>
      </w:pPr>
      <w:r>
        <w:rPr>
          <w:color w:val="000000"/>
          <w:szCs w:val="28"/>
        </w:rPr>
        <w:t xml:space="preserve"> </w:t>
      </w:r>
      <w:r>
        <w:rPr>
          <w:bCs w:val="false"/>
          <w:color w:val="000000"/>
          <w:szCs w:val="28"/>
        </w:rPr>
        <w:t>до Програми «Р</w:t>
      </w:r>
      <w:r>
        <w:rPr>
          <w:rFonts w:eastAsia="Times New Roman" w:cs="Times New Roman"/>
          <w:bCs w:val="false"/>
          <w:color w:val="000000"/>
          <w:szCs w:val="28"/>
        </w:rPr>
        <w:t>еалізація Муніципального енергетичного плану Луцької міської територіальної громади до 2030 року»</w:t>
      </w:r>
    </w:p>
    <w:p>
      <w:pPr>
        <w:pStyle w:val="NoSpacing"/>
        <w:jc w:val="center"/>
        <w:rPr>
          <w:rFonts w:cs="Times New Roman"/>
          <w:bCs w:val="false"/>
          <w:color w:val="000000"/>
          <w:szCs w:val="28"/>
        </w:rPr>
      </w:pPr>
      <w:r>
        <w:rPr>
          <w:rFonts w:cs="Times New Roman"/>
          <w:bCs w:val="false"/>
          <w:color w:val="000000"/>
          <w:szCs w:val="28"/>
        </w:rPr>
        <w:t>на 2026–20</w:t>
      </w:r>
      <w:r>
        <w:rPr>
          <w:rFonts w:cs="Times New Roman"/>
          <w:bCs w:val="false"/>
          <w:color w:val="000000"/>
          <w:szCs w:val="28"/>
          <w:lang w:val="ru-RU"/>
        </w:rPr>
        <w:t>30</w:t>
      </w:r>
      <w:r>
        <w:rPr>
          <w:rFonts w:cs="Times New Roman"/>
          <w:bCs w:val="false"/>
          <w:color w:val="000000"/>
          <w:szCs w:val="28"/>
        </w:rPr>
        <w:t xml:space="preserve"> роки</w:t>
      </w:r>
    </w:p>
    <w:p>
      <w:pPr>
        <w:pStyle w:val="NoSpacing"/>
        <w:jc w:val="center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</w:r>
    </w:p>
    <w:tbl>
      <w:tblPr>
        <w:tblW w:w="15056" w:type="dxa"/>
        <w:jc w:val="start"/>
        <w:tblInd w:w="49" w:type="dxa"/>
        <w:tblLayout w:type="fixed"/>
        <w:tblCellMar>
          <w:top w:w="28" w:type="dxa"/>
          <w:start w:w="28" w:type="dxa"/>
          <w:bottom w:w="28" w:type="dxa"/>
          <w:end w:w="28" w:type="dxa"/>
        </w:tblCellMar>
        <w:tblLook w:firstRow="1" w:noVBand="1" w:lastRow="0" w:firstColumn="1" w:lastColumn="0" w:noHBand="0" w:val="04a0"/>
      </w:tblPr>
      <w:tblGrid>
        <w:gridCol w:w="453"/>
        <w:gridCol w:w="1370"/>
        <w:gridCol w:w="4160"/>
        <w:gridCol w:w="1480"/>
        <w:gridCol w:w="1269"/>
        <w:gridCol w:w="1179"/>
        <w:gridCol w:w="1510"/>
        <w:gridCol w:w="3635"/>
      </w:tblGrid>
      <w:tr>
        <w:trPr>
          <w:trHeight w:val="661" w:hRule="atLeast"/>
        </w:trPr>
        <w:tc>
          <w:tcPr>
            <w:tcW w:w="453" w:type="dxa"/>
            <w:vMerge w:val="restart"/>
            <w:tcBorders>
              <w:top w:val="single" w:sz="2" w:space="0" w:color="000000"/>
              <w:start w:val="single" w:sz="2" w:space="0" w:color="000000"/>
              <w:bottom w:val="single" w:sz="4" w:space="0" w:color="000000"/>
              <w:end w:val="single" w:sz="2" w:space="0" w:color="000000"/>
            </w:tcBorders>
            <w:vAlign w:val="center"/>
          </w:tcPr>
          <w:p>
            <w:pPr>
              <w:pStyle w:val="Style21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cs="Times New Roman"/>
                <w:color w:val="000000"/>
                <w:sz w:val="22"/>
                <w:szCs w:val="22"/>
              </w:rPr>
              <w:t>№</w:t>
            </w:r>
          </w:p>
          <w:p>
            <w:pPr>
              <w:pStyle w:val="Style21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cs="Times New Roman"/>
                <w:color w:val="000000"/>
                <w:sz w:val="22"/>
                <w:szCs w:val="22"/>
              </w:rPr>
              <w:t>з/п</w:t>
            </w:r>
          </w:p>
        </w:tc>
        <w:tc>
          <w:tcPr>
            <w:tcW w:w="1370" w:type="dxa"/>
            <w:vMerge w:val="restart"/>
            <w:tcBorders>
              <w:top w:val="single" w:sz="2" w:space="0" w:color="000000"/>
              <w:start w:val="single" w:sz="2" w:space="0" w:color="000000"/>
              <w:bottom w:val="single" w:sz="4" w:space="0" w:color="000000"/>
              <w:end w:val="single" w:sz="2" w:space="0" w:color="000000"/>
            </w:tcBorders>
            <w:vAlign w:val="center"/>
          </w:tcPr>
          <w:p>
            <w:pPr>
              <w:pStyle w:val="Style21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cs="Times New Roman"/>
                <w:color w:val="000000"/>
                <w:sz w:val="22"/>
                <w:szCs w:val="22"/>
              </w:rPr>
              <w:t>Назва завдання</w:t>
            </w:r>
          </w:p>
        </w:tc>
        <w:tc>
          <w:tcPr>
            <w:tcW w:w="4160" w:type="dxa"/>
            <w:vMerge w:val="restart"/>
            <w:tcBorders>
              <w:top w:val="single" w:sz="2" w:space="0" w:color="000000"/>
              <w:start w:val="single" w:sz="2" w:space="0" w:color="000000"/>
              <w:bottom w:val="single" w:sz="4" w:space="0" w:color="000000"/>
              <w:end w:val="single" w:sz="2" w:space="0" w:color="000000"/>
            </w:tcBorders>
            <w:vAlign w:val="center"/>
          </w:tcPr>
          <w:p>
            <w:pPr>
              <w:pStyle w:val="Style21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cs="Times New Roman"/>
                <w:color w:val="000000"/>
                <w:sz w:val="22"/>
                <w:szCs w:val="22"/>
              </w:rPr>
              <w:t>Назва заходу</w:t>
            </w:r>
          </w:p>
        </w:tc>
        <w:tc>
          <w:tcPr>
            <w:tcW w:w="1480" w:type="dxa"/>
            <w:vMerge w:val="restart"/>
            <w:tcBorders>
              <w:top w:val="single" w:sz="2" w:space="0" w:color="000000"/>
              <w:start w:val="single" w:sz="2" w:space="0" w:color="000000"/>
              <w:bottom w:val="single" w:sz="4" w:space="0" w:color="000000"/>
              <w:end w:val="single" w:sz="2" w:space="0" w:color="000000"/>
            </w:tcBorders>
            <w:vAlign w:val="center"/>
          </w:tcPr>
          <w:p>
            <w:pPr>
              <w:pStyle w:val="Style21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cs="Times New Roman"/>
                <w:color w:val="000000"/>
                <w:sz w:val="22"/>
                <w:szCs w:val="22"/>
              </w:rPr>
              <w:t>Виконавці</w:t>
            </w:r>
          </w:p>
        </w:tc>
        <w:tc>
          <w:tcPr>
            <w:tcW w:w="1269" w:type="dxa"/>
            <w:vMerge w:val="restart"/>
            <w:tcBorders>
              <w:top w:val="single" w:sz="2" w:space="0" w:color="000000"/>
              <w:start w:val="single" w:sz="2" w:space="0" w:color="000000"/>
              <w:bottom w:val="single" w:sz="4" w:space="0" w:color="000000"/>
              <w:end w:val="single" w:sz="2" w:space="0" w:color="000000"/>
            </w:tcBorders>
            <w:vAlign w:val="center"/>
          </w:tcPr>
          <w:p>
            <w:pPr>
              <w:pStyle w:val="Style21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cs="Times New Roman"/>
                <w:color w:val="000000"/>
                <w:sz w:val="22"/>
                <w:szCs w:val="22"/>
              </w:rPr>
              <w:t>Терміни виконання</w:t>
            </w:r>
          </w:p>
        </w:tc>
        <w:tc>
          <w:tcPr>
            <w:tcW w:w="2689" w:type="dxa"/>
            <w:gridSpan w:val="2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vAlign w:val="center"/>
          </w:tcPr>
          <w:p>
            <w:pPr>
              <w:pStyle w:val="Style21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cs="Times New Roman"/>
                <w:color w:val="000000"/>
                <w:sz w:val="22"/>
                <w:szCs w:val="22"/>
              </w:rPr>
              <w:t>Фінансування</w:t>
            </w:r>
          </w:p>
        </w:tc>
        <w:tc>
          <w:tcPr>
            <w:tcW w:w="3635" w:type="dxa"/>
            <w:vMerge w:val="restart"/>
            <w:tcBorders>
              <w:top w:val="single" w:sz="2" w:space="0" w:color="000000"/>
              <w:start w:val="single" w:sz="2" w:space="0" w:color="000000"/>
              <w:bottom w:val="single" w:sz="4" w:space="0" w:color="000000"/>
              <w:end w:val="single" w:sz="2" w:space="0" w:color="000000"/>
            </w:tcBorders>
            <w:vAlign w:val="center"/>
          </w:tcPr>
          <w:p>
            <w:pPr>
              <w:pStyle w:val="Style21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cs="Times New Roman"/>
                <w:color w:val="000000"/>
                <w:sz w:val="22"/>
                <w:szCs w:val="22"/>
              </w:rPr>
              <w:t>Результативні показники</w:t>
            </w:r>
          </w:p>
        </w:tc>
      </w:tr>
      <w:tr>
        <w:trPr>
          <w:trHeight w:val="304" w:hRule="atLeast"/>
        </w:trPr>
        <w:tc>
          <w:tcPr>
            <w:tcW w:w="453" w:type="dxa"/>
            <w:vMerge w:val="continue"/>
            <w:tcBorders>
              <w:top w:val="single" w:sz="2" w:space="0" w:color="000000"/>
              <w:start w:val="single" w:sz="2" w:space="0" w:color="000000"/>
              <w:bottom w:val="single" w:sz="4" w:space="0" w:color="000000"/>
              <w:end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370" w:type="dxa"/>
            <w:vMerge w:val="continue"/>
            <w:tcBorders>
              <w:top w:val="single" w:sz="2" w:space="0" w:color="000000"/>
              <w:start w:val="single" w:sz="2" w:space="0" w:color="000000"/>
              <w:bottom w:val="single" w:sz="4" w:space="0" w:color="000000"/>
              <w:end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4160" w:type="dxa"/>
            <w:vMerge w:val="continue"/>
            <w:tcBorders>
              <w:top w:val="single" w:sz="2" w:space="0" w:color="000000"/>
              <w:start w:val="single" w:sz="2" w:space="0" w:color="000000"/>
              <w:bottom w:val="single" w:sz="4" w:space="0" w:color="000000"/>
              <w:end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480" w:type="dxa"/>
            <w:vMerge w:val="continue"/>
            <w:tcBorders>
              <w:top w:val="single" w:sz="2" w:space="0" w:color="000000"/>
              <w:start w:val="single" w:sz="2" w:space="0" w:color="000000"/>
              <w:bottom w:val="single" w:sz="4" w:space="0" w:color="000000"/>
              <w:end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269" w:type="dxa"/>
            <w:vMerge w:val="continue"/>
            <w:tcBorders>
              <w:top w:val="single" w:sz="2" w:space="0" w:color="000000"/>
              <w:start w:val="single" w:sz="2" w:space="0" w:color="000000"/>
              <w:bottom w:val="single" w:sz="4" w:space="0" w:color="000000"/>
              <w:end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179" w:type="dxa"/>
            <w:tcBorders>
              <w:top w:val="single" w:sz="2" w:space="0" w:color="000000"/>
              <w:start w:val="single" w:sz="2" w:space="0" w:color="000000"/>
              <w:bottom w:val="single" w:sz="4" w:space="0" w:color="000000"/>
              <w:end w:val="single" w:sz="2" w:space="0" w:color="000000"/>
            </w:tcBorders>
            <w:vAlign w:val="center"/>
          </w:tcPr>
          <w:p>
            <w:pPr>
              <w:pStyle w:val="Style21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cs="Times New Roman"/>
                <w:color w:val="000000"/>
                <w:sz w:val="22"/>
                <w:szCs w:val="22"/>
              </w:rPr>
              <w:t>Джерела</w:t>
            </w:r>
          </w:p>
        </w:tc>
        <w:tc>
          <w:tcPr>
            <w:tcW w:w="1510" w:type="dxa"/>
            <w:tcBorders>
              <w:top w:val="single" w:sz="2" w:space="0" w:color="000000"/>
              <w:start w:val="single" w:sz="2" w:space="0" w:color="000000"/>
              <w:bottom w:val="single" w:sz="4" w:space="0" w:color="000000"/>
              <w:end w:val="single" w:sz="2" w:space="0" w:color="000000"/>
            </w:tcBorders>
            <w:vAlign w:val="center"/>
          </w:tcPr>
          <w:p>
            <w:pPr>
              <w:pStyle w:val="Style21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cs="Times New Roman"/>
                <w:color w:val="000000"/>
                <w:sz w:val="22"/>
                <w:szCs w:val="22"/>
              </w:rPr>
              <w:t>Обсяги,</w:t>
            </w:r>
          </w:p>
          <w:p>
            <w:pPr>
              <w:pStyle w:val="Style21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cs="Times New Roman"/>
                <w:color w:val="000000"/>
                <w:sz w:val="22"/>
                <w:szCs w:val="22"/>
              </w:rPr>
              <w:t>тис. грн</w:t>
            </w:r>
          </w:p>
        </w:tc>
        <w:tc>
          <w:tcPr>
            <w:tcW w:w="3635" w:type="dxa"/>
            <w:vMerge w:val="continue"/>
            <w:tcBorders>
              <w:top w:val="single" w:sz="2" w:space="0" w:color="000000"/>
              <w:start w:val="single" w:sz="2" w:space="0" w:color="000000"/>
              <w:bottom w:val="single" w:sz="4" w:space="0" w:color="000000"/>
              <w:end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/>
        <w:tc>
          <w:tcPr>
            <w:tcW w:w="453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tyle21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cs="Times New Roman"/>
                <w:color w:val="000000"/>
                <w:sz w:val="22"/>
                <w:szCs w:val="22"/>
              </w:rPr>
              <w:t>1</w:t>
            </w:r>
          </w:p>
        </w:tc>
        <w:tc>
          <w:tcPr>
            <w:tcW w:w="1370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Spacing"/>
              <w:widowControl w:val="false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cs="Times New Roman"/>
                <w:color w:val="000000"/>
                <w:sz w:val="22"/>
                <w:szCs w:val="22"/>
                <w:lang w:eastAsia="en-US"/>
              </w:rPr>
              <w:t>Комплексна організація та розвиток комунальної інфраструктури громади</w:t>
            </w:r>
          </w:p>
        </w:tc>
        <w:tc>
          <w:tcPr>
            <w:tcW w:w="4160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tyle21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cs="Times New Roman"/>
                <w:color w:val="000000"/>
                <w:sz w:val="22"/>
                <w:szCs w:val="22"/>
              </w:rPr>
              <w:t>Енергосервіс у муніципальних закладах</w:t>
            </w:r>
          </w:p>
          <w:p>
            <w:pPr>
              <w:pStyle w:val="Style21"/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>
              <w:rPr>
                <w:rFonts w:cs="Times New Roman"/>
                <w:color w:val="000000"/>
                <w:sz w:val="22"/>
                <w:szCs w:val="22"/>
              </w:rPr>
            </w:r>
          </w:p>
        </w:tc>
        <w:tc>
          <w:tcPr>
            <w:tcW w:w="1480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tyle21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cs="Times New Roman"/>
                <w:color w:val="000000"/>
                <w:sz w:val="22"/>
                <w:szCs w:val="22"/>
              </w:rPr>
              <w:t>Виконавчі органи міської ради</w:t>
            </w:r>
          </w:p>
        </w:tc>
        <w:tc>
          <w:tcPr>
            <w:tcW w:w="126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tyle21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cs="Times New Roman"/>
                <w:color w:val="000000"/>
                <w:sz w:val="22"/>
                <w:szCs w:val="22"/>
              </w:rPr>
              <w:t>2026</w:t>
            </w:r>
          </w:p>
        </w:tc>
        <w:tc>
          <w:tcPr>
            <w:tcW w:w="1179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tyle21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cs="Times New Roman"/>
                <w:color w:val="000000"/>
                <w:sz w:val="22"/>
                <w:szCs w:val="22"/>
              </w:rPr>
              <w:t>Бюджет Луцької міської територі-альної громади (далі – бюджет ЛМТГ), власні кошти муніципа-льних закладів</w:t>
            </w:r>
          </w:p>
        </w:tc>
        <w:tc>
          <w:tcPr>
            <w:tcW w:w="15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tyle21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cs="Times New Roman"/>
                <w:color w:val="000000"/>
                <w:sz w:val="22"/>
                <w:szCs w:val="22"/>
              </w:rPr>
              <w:t>17 553,3</w:t>
            </w:r>
          </w:p>
        </w:tc>
        <w:tc>
          <w:tcPr>
            <w:tcW w:w="3635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tyle21"/>
              <w:jc w:val="center"/>
              <w:rPr>
                <w:sz w:val="22"/>
                <w:szCs w:val="22"/>
              </w:rPr>
            </w:pPr>
            <w:r>
              <w:rPr>
                <w:rStyle w:val="rvts0"/>
                <w:rFonts w:cs="Times New Roman"/>
                <w:color w:val="000000"/>
                <w:sz w:val="22"/>
                <w:szCs w:val="22"/>
              </w:rPr>
              <w:t>Реалізацією енергосервісу передбачається: встановлення ІТП, модернізація систем опалення, встановлення альтернативних джерел постачання гарячої води (опалення), капітальний ремонт фасаду (утеплення) і тощо</w:t>
            </w:r>
          </w:p>
          <w:p>
            <w:pPr>
              <w:pStyle w:val="Style21"/>
              <w:jc w:val="center"/>
              <w:rPr>
                <w:sz w:val="22"/>
                <w:szCs w:val="22"/>
              </w:rPr>
            </w:pPr>
            <w:r>
              <w:rPr>
                <w:rStyle w:val="rvts0"/>
                <w:rFonts w:cs="Times New Roman"/>
                <w:color w:val="000000"/>
                <w:sz w:val="22"/>
                <w:szCs w:val="22"/>
              </w:rPr>
              <w:t>(31 бюджетна установа, загальна площа 57,6 тис. м</w:t>
            </w:r>
            <w:r>
              <w:rPr>
                <w:rStyle w:val="rvts0"/>
                <w:rFonts w:cs="Times New Roman"/>
                <w:color w:val="000000"/>
                <w:sz w:val="22"/>
                <w:szCs w:val="22"/>
                <w:vertAlign w:val="superscript"/>
              </w:rPr>
              <w:t>2</w:t>
            </w:r>
            <w:r>
              <w:rPr>
                <w:rStyle w:val="rvts0"/>
                <w:rFonts w:cs="Times New Roman"/>
                <w:color w:val="000000"/>
                <w:sz w:val="22"/>
                <w:szCs w:val="22"/>
              </w:rPr>
              <w:t>)</w:t>
            </w:r>
          </w:p>
        </w:tc>
      </w:tr>
      <w:tr>
        <w:trPr/>
        <w:tc>
          <w:tcPr>
            <w:tcW w:w="453" w:type="dxa"/>
            <w:vMerge w:val="continue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370" w:type="dxa"/>
            <w:vMerge w:val="continue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4160" w:type="dxa"/>
            <w:vMerge w:val="continue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480" w:type="dxa"/>
            <w:vMerge w:val="continue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269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tyle21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cs="Times New Roman"/>
                <w:color w:val="000000"/>
                <w:sz w:val="22"/>
                <w:szCs w:val="22"/>
              </w:rPr>
              <w:t>2027</w:t>
            </w:r>
          </w:p>
        </w:tc>
        <w:tc>
          <w:tcPr>
            <w:tcW w:w="1179" w:type="dxa"/>
            <w:vMerge w:val="continue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510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tyle21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cs="Times New Roman"/>
                <w:color w:val="000000"/>
                <w:sz w:val="22"/>
                <w:szCs w:val="22"/>
              </w:rPr>
              <w:t>18 430,9</w:t>
            </w:r>
          </w:p>
        </w:tc>
        <w:tc>
          <w:tcPr>
            <w:tcW w:w="3635" w:type="dxa"/>
            <w:vMerge w:val="continue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/>
        <w:tc>
          <w:tcPr>
            <w:tcW w:w="453" w:type="dxa"/>
            <w:vMerge w:val="continue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370" w:type="dxa"/>
            <w:vMerge w:val="continue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4160" w:type="dxa"/>
            <w:vMerge w:val="continue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480" w:type="dxa"/>
            <w:vMerge w:val="continue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269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tyle21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cs="Times New Roman"/>
                <w:color w:val="000000"/>
                <w:sz w:val="22"/>
                <w:szCs w:val="22"/>
              </w:rPr>
              <w:t>2028</w:t>
            </w:r>
          </w:p>
        </w:tc>
        <w:tc>
          <w:tcPr>
            <w:tcW w:w="1179" w:type="dxa"/>
            <w:vMerge w:val="continue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510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tyle21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cs="Times New Roman"/>
                <w:color w:val="000000"/>
                <w:sz w:val="22"/>
                <w:szCs w:val="22"/>
              </w:rPr>
              <w:t>19 352,5</w:t>
            </w:r>
          </w:p>
        </w:tc>
        <w:tc>
          <w:tcPr>
            <w:tcW w:w="3635" w:type="dxa"/>
            <w:vMerge w:val="continue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/>
        <w:tc>
          <w:tcPr>
            <w:tcW w:w="453" w:type="dxa"/>
            <w:vMerge w:val="continue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370" w:type="dxa"/>
            <w:vMerge w:val="continue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4160" w:type="dxa"/>
            <w:vMerge w:val="continue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480" w:type="dxa"/>
            <w:vMerge w:val="continue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269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tyle21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cs="Times New Roman"/>
                <w:color w:val="000000"/>
                <w:sz w:val="22"/>
                <w:szCs w:val="22"/>
              </w:rPr>
              <w:t>2029</w:t>
            </w:r>
          </w:p>
        </w:tc>
        <w:tc>
          <w:tcPr>
            <w:tcW w:w="1179" w:type="dxa"/>
            <w:vMerge w:val="continue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510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tyle21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cs="Times New Roman"/>
                <w:color w:val="000000"/>
                <w:sz w:val="22"/>
                <w:szCs w:val="22"/>
              </w:rPr>
              <w:t>20 320,1</w:t>
            </w:r>
          </w:p>
        </w:tc>
        <w:tc>
          <w:tcPr>
            <w:tcW w:w="3635" w:type="dxa"/>
            <w:vMerge w:val="continue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/>
        <w:tc>
          <w:tcPr>
            <w:tcW w:w="453" w:type="dxa"/>
            <w:vMerge w:val="continue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370" w:type="dxa"/>
            <w:vMerge w:val="continue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4160" w:type="dxa"/>
            <w:vMerge w:val="continue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480" w:type="dxa"/>
            <w:vMerge w:val="continue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269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tyle21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cs="Times New Roman"/>
                <w:color w:val="000000"/>
                <w:sz w:val="22"/>
                <w:szCs w:val="22"/>
              </w:rPr>
              <w:t>2030</w:t>
            </w:r>
          </w:p>
        </w:tc>
        <w:tc>
          <w:tcPr>
            <w:tcW w:w="1179" w:type="dxa"/>
            <w:vMerge w:val="continue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510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tyle21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cs="Times New Roman"/>
                <w:color w:val="000000"/>
                <w:sz w:val="22"/>
                <w:szCs w:val="22"/>
              </w:rPr>
              <w:t>21 336,1</w:t>
            </w:r>
          </w:p>
        </w:tc>
        <w:tc>
          <w:tcPr>
            <w:tcW w:w="3635" w:type="dxa"/>
            <w:vMerge w:val="continue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/>
        <w:tc>
          <w:tcPr>
            <w:tcW w:w="453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370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41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cs="Times New Roman"/>
                <w:color w:val="000000"/>
                <w:sz w:val="22"/>
                <w:szCs w:val="22"/>
              </w:rPr>
              <w:t>Реконструкція Комунального закладу «Луцька загальноосвітня школа І-ІІІ ступенів № 13» (корпус 2) на вул. Чернишевського, 29 в м. Луцьку Волинської області</w:t>
            </w:r>
          </w:p>
        </w:tc>
        <w:tc>
          <w:tcPr>
            <w:tcW w:w="14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tyle21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eastAsia="Calibri" w:cs="Times New Roman"/>
                <w:color w:val="000000"/>
                <w:sz w:val="22"/>
                <w:szCs w:val="22"/>
              </w:rPr>
              <w:t>Управління капітального будівництва, департамент освіти</w:t>
            </w:r>
          </w:p>
        </w:tc>
        <w:tc>
          <w:tcPr>
            <w:tcW w:w="126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tyle21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cs="Times New Roman"/>
                <w:color w:val="000000"/>
                <w:sz w:val="22"/>
                <w:szCs w:val="22"/>
              </w:rPr>
              <w:t>2026</w:t>
            </w:r>
          </w:p>
        </w:tc>
        <w:tc>
          <w:tcPr>
            <w:tcW w:w="117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tyle21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cs="Times New Roman"/>
                <w:color w:val="000000"/>
                <w:sz w:val="22"/>
                <w:szCs w:val="22"/>
              </w:rPr>
              <w:t>Бюджет ЛМТГ, кошти державного бюджету</w:t>
            </w:r>
          </w:p>
        </w:tc>
        <w:tc>
          <w:tcPr>
            <w:tcW w:w="15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tyle21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eastAsia="Calibri" w:cs="Times New Roman"/>
                <w:color w:val="000000"/>
                <w:sz w:val="22"/>
                <w:szCs w:val="22"/>
              </w:rPr>
              <w:t>16 960,0 – бюджет громади</w:t>
            </w:r>
          </w:p>
          <w:p>
            <w:pPr>
              <w:pStyle w:val="Style21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cs="Times New Roman"/>
                <w:color w:val="000000"/>
                <w:sz w:val="22"/>
                <w:szCs w:val="22"/>
              </w:rPr>
              <w:t xml:space="preserve">67 840,0 </w:t>
            </w:r>
            <w:r>
              <w:rPr>
                <w:rFonts w:eastAsia="Calibri" w:cs="Times New Roman"/>
                <w:color w:val="000000"/>
                <w:sz w:val="22"/>
                <w:szCs w:val="22"/>
              </w:rPr>
              <w:t>– кошти державного бюджету</w:t>
            </w:r>
          </w:p>
          <w:p>
            <w:pPr>
              <w:pStyle w:val="Style21"/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>
              <w:rPr>
                <w:rFonts w:cs="Times New Roman"/>
                <w:color w:val="000000"/>
                <w:sz w:val="22"/>
                <w:szCs w:val="22"/>
              </w:rPr>
            </w:r>
          </w:p>
        </w:tc>
        <w:tc>
          <w:tcPr>
            <w:tcW w:w="363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BodyText"/>
              <w:widowControl w:val="false"/>
              <w:spacing w:lineRule="auto" w:line="240" w:before="0" w:after="0"/>
              <w:jc w:val="center"/>
              <w:rPr>
                <w:sz w:val="22"/>
                <w:szCs w:val="22"/>
              </w:rPr>
            </w:pPr>
            <w:r>
              <w:rPr>
                <w:rStyle w:val="rvts0"/>
                <w:rFonts w:cs="Times New Roman"/>
                <w:color w:val="000000"/>
                <w:sz w:val="22"/>
                <w:szCs w:val="22"/>
              </w:rPr>
              <w:t>Робочим проєктом реконструкції передбачено:</w:t>
            </w:r>
          </w:p>
          <w:p>
            <w:pPr>
              <w:pStyle w:val="BodyText"/>
              <w:widowControl w:val="false"/>
              <w:spacing w:lineRule="auto" w:line="240" w:before="0" w:after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cs="Times New Roman"/>
                <w:color w:val="000000"/>
                <w:sz w:val="22"/>
                <w:szCs w:val="22"/>
              </w:rPr>
              <w:t>добудову до існуючої будівлі школи спортивного залу з допоміжними приміщеннями, актового залу, їдальні;</w:t>
            </w:r>
          </w:p>
          <w:p>
            <w:pPr>
              <w:pStyle w:val="BodyText"/>
              <w:widowControl w:val="false"/>
              <w:spacing w:lineRule="auto" w:line="240" w:before="0" w:after="0"/>
              <w:jc w:val="center"/>
              <w:rPr>
                <w:sz w:val="22"/>
                <w:szCs w:val="22"/>
              </w:rPr>
            </w:pPr>
            <w:r>
              <w:rPr>
                <w:rStyle w:val="rvts0"/>
                <w:rFonts w:cs="Times New Roman"/>
                <w:color w:val="000000"/>
                <w:sz w:val="22"/>
                <w:szCs w:val="22"/>
              </w:rPr>
              <w:t>реконструкцію існуючої будівлі їдальні під майстерню</w:t>
            </w:r>
            <w:r>
              <w:rPr>
                <w:rFonts w:cs="Times New Roman"/>
                <w:color w:val="000000"/>
                <w:sz w:val="22"/>
                <w:szCs w:val="22"/>
              </w:rPr>
              <w:t xml:space="preserve"> </w:t>
            </w:r>
            <w:r>
              <w:rPr>
                <w:rStyle w:val="rvts0"/>
                <w:rFonts w:cs="Times New Roman"/>
                <w:color w:val="000000"/>
                <w:sz w:val="22"/>
                <w:szCs w:val="22"/>
              </w:rPr>
              <w:t>(366 учнів, загальна площа 5159,2 м</w:t>
            </w:r>
            <w:r>
              <w:rPr>
                <w:rStyle w:val="rvts0"/>
                <w:rFonts w:cs="Times New Roman"/>
                <w:color w:val="000000"/>
                <w:sz w:val="22"/>
                <w:szCs w:val="22"/>
                <w:vertAlign w:val="superscript"/>
              </w:rPr>
              <w:t>2</w:t>
            </w:r>
            <w:r>
              <w:rPr>
                <w:rStyle w:val="rvts0"/>
                <w:rFonts w:cs="Times New Roman"/>
                <w:color w:val="000000"/>
                <w:sz w:val="22"/>
                <w:szCs w:val="22"/>
              </w:rPr>
              <w:t>, споживання тепла: факт – 213,19 Гкал, план – 170,4 Гкал)</w:t>
            </w:r>
          </w:p>
        </w:tc>
      </w:tr>
      <w:tr>
        <w:trPr/>
        <w:tc>
          <w:tcPr>
            <w:tcW w:w="453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tyle21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cs="Times New Roman"/>
                <w:color w:val="000000"/>
                <w:sz w:val="22"/>
                <w:szCs w:val="22"/>
              </w:rPr>
              <w:t>2</w:t>
            </w:r>
          </w:p>
        </w:tc>
        <w:tc>
          <w:tcPr>
            <w:tcW w:w="1370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Spacing"/>
              <w:widowControl w:val="false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cs="Times New Roman"/>
                <w:color w:val="000000"/>
                <w:sz w:val="22"/>
                <w:szCs w:val="22"/>
              </w:rPr>
              <w:t>Створення умов для ефективного та екологічного використання водних ресурсів</w:t>
            </w:r>
          </w:p>
        </w:tc>
        <w:tc>
          <w:tcPr>
            <w:tcW w:w="4160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cs="Times New Roman"/>
                <w:color w:val="000000"/>
                <w:sz w:val="22"/>
                <w:szCs w:val="22"/>
              </w:rPr>
              <w:t>Модернізація насосного обладнання на об’єктах водоканалу</w:t>
            </w:r>
          </w:p>
          <w:p>
            <w:pPr>
              <w:pStyle w:val="Normal"/>
              <w:widowControl w:val="false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cs="Times New Roman"/>
                <w:color w:val="000000"/>
                <w:sz w:val="22"/>
                <w:szCs w:val="22"/>
              </w:rPr>
              <w:t>(заміна обладнання на насосних станціях 1-го підйому: арт. свердловини № 2, 4, 5, 12, 15</w:t>
            </w:r>
            <w:r>
              <w:rPr>
                <w:rFonts w:cs="Times New Roman"/>
                <w:color w:val="000000"/>
                <w:sz w:val="22"/>
                <w:szCs w:val="22"/>
                <w:vertAlign w:val="superscript"/>
              </w:rPr>
              <w:t>А</w:t>
            </w:r>
            <w:r>
              <w:rPr>
                <w:rFonts w:cs="Times New Roman"/>
                <w:color w:val="000000"/>
                <w:sz w:val="22"/>
                <w:szCs w:val="22"/>
              </w:rPr>
              <w:t>, 16, 20</w:t>
            </w:r>
            <w:r>
              <w:rPr>
                <w:rFonts w:cs="Times New Roman"/>
                <w:color w:val="000000"/>
                <w:sz w:val="22"/>
                <w:szCs w:val="22"/>
                <w:vertAlign w:val="superscript"/>
              </w:rPr>
              <w:t>А</w:t>
            </w:r>
            <w:r>
              <w:rPr>
                <w:rFonts w:cs="Times New Roman"/>
                <w:color w:val="000000"/>
                <w:sz w:val="22"/>
                <w:szCs w:val="22"/>
              </w:rPr>
              <w:t>, 21, 22, 24, 26, 26</w:t>
            </w:r>
            <w:r>
              <w:rPr>
                <w:rFonts w:cs="Times New Roman"/>
                <w:color w:val="000000"/>
                <w:sz w:val="22"/>
                <w:szCs w:val="22"/>
                <w:vertAlign w:val="superscript"/>
              </w:rPr>
              <w:t>А</w:t>
            </w:r>
            <w:r>
              <w:rPr>
                <w:rFonts w:cs="Times New Roman"/>
                <w:color w:val="000000"/>
                <w:sz w:val="22"/>
                <w:szCs w:val="22"/>
              </w:rPr>
              <w:t>, 29, 29</w:t>
            </w:r>
            <w:r>
              <w:rPr>
                <w:rFonts w:cs="Times New Roman"/>
                <w:color w:val="000000"/>
                <w:sz w:val="22"/>
                <w:szCs w:val="22"/>
                <w:vertAlign w:val="superscript"/>
              </w:rPr>
              <w:t>А</w:t>
            </w:r>
            <w:r>
              <w:rPr>
                <w:rFonts w:cs="Times New Roman"/>
                <w:color w:val="000000"/>
                <w:sz w:val="22"/>
                <w:szCs w:val="22"/>
              </w:rPr>
              <w:t>, 31, 33, 34, 35, 37,  38, 38</w:t>
            </w:r>
            <w:r>
              <w:rPr>
                <w:rFonts w:cs="Times New Roman"/>
                <w:color w:val="000000"/>
                <w:sz w:val="22"/>
                <w:szCs w:val="22"/>
                <w:vertAlign w:val="superscript"/>
              </w:rPr>
              <w:t>А</w:t>
            </w:r>
            <w:r>
              <w:rPr>
                <w:rFonts w:cs="Times New Roman"/>
                <w:color w:val="000000"/>
                <w:sz w:val="22"/>
                <w:szCs w:val="22"/>
              </w:rPr>
              <w:t>, 39, 41;</w:t>
            </w:r>
          </w:p>
          <w:p>
            <w:pPr>
              <w:pStyle w:val="Normal"/>
              <w:widowControl w:val="false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cs="Times New Roman"/>
                <w:color w:val="000000"/>
                <w:sz w:val="22"/>
                <w:szCs w:val="22"/>
              </w:rPr>
              <w:t>насосній станції 2-го підйому води № 3 Дубнівського майданчика водопідготовки; насосної станції 2-го підйому води № 1 Омелянівського майданчика водопідготовки; КНС № 2; КНС № 3; КНС № 4)</w:t>
            </w:r>
          </w:p>
        </w:tc>
        <w:tc>
          <w:tcPr>
            <w:tcW w:w="1480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eastAsia="Calibri" w:cs="Times New Roman"/>
                <w:color w:val="000000"/>
                <w:sz w:val="22"/>
                <w:szCs w:val="22"/>
              </w:rPr>
              <w:t>КП</w:t>
            </w:r>
          </w:p>
          <w:p>
            <w:pPr>
              <w:pStyle w:val="Normal"/>
              <w:widowControl w:val="false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eastAsia="Calibri" w:cs="Times New Roman"/>
                <w:color w:val="000000"/>
                <w:sz w:val="22"/>
                <w:szCs w:val="22"/>
              </w:rPr>
              <w:t>«Луцькводо-канал»</w:t>
            </w:r>
          </w:p>
        </w:tc>
        <w:tc>
          <w:tcPr>
            <w:tcW w:w="126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cs="Times New Roman"/>
                <w:color w:val="000000"/>
                <w:sz w:val="22"/>
                <w:szCs w:val="22"/>
              </w:rPr>
              <w:t>2026</w:t>
            </w:r>
          </w:p>
        </w:tc>
        <w:tc>
          <w:tcPr>
            <w:tcW w:w="1179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tyle21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cs="Times New Roman"/>
                <w:color w:val="000000"/>
                <w:sz w:val="22"/>
                <w:szCs w:val="22"/>
              </w:rPr>
              <w:t>Бюджет ЛМТГ, кошти КП «Луцьк-водоканал»</w:t>
            </w:r>
          </w:p>
          <w:p>
            <w:pPr>
              <w:pStyle w:val="Style21"/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>
              <w:rPr>
                <w:rFonts w:cs="Times New Roman"/>
                <w:color w:val="000000"/>
                <w:sz w:val="22"/>
                <w:szCs w:val="22"/>
              </w:rPr>
            </w:r>
          </w:p>
        </w:tc>
        <w:tc>
          <w:tcPr>
            <w:tcW w:w="15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cs="Times New Roman"/>
                <w:color w:val="000000"/>
                <w:sz w:val="22"/>
                <w:szCs w:val="22"/>
              </w:rPr>
              <w:t>6 500,0</w:t>
            </w:r>
          </w:p>
        </w:tc>
        <w:tc>
          <w:tcPr>
            <w:tcW w:w="3635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rFonts w:cs="Times New Roman"/>
                <w:color w:val="000000"/>
                <w:sz w:val="22"/>
                <w:szCs w:val="22"/>
              </w:rPr>
              <w:t xml:space="preserve">Забезпечення якісною питною водою </w:t>
            </w:r>
            <w:r>
              <w:rPr>
                <w:rStyle w:val="rvts46"/>
                <w:rFonts w:cs="Times New Roman"/>
                <w:iCs/>
                <w:color w:val="000000"/>
                <w:sz w:val="22"/>
                <w:szCs w:val="22"/>
              </w:rPr>
              <w:t xml:space="preserve">споживачів у громаді </w:t>
            </w:r>
            <w:r>
              <w:rPr>
                <w:rFonts w:cs="Times New Roman"/>
                <w:color w:val="000000"/>
                <w:sz w:val="22"/>
                <w:szCs w:val="22"/>
              </w:rPr>
              <w:t xml:space="preserve">з дотриманням вимог </w:t>
            </w:r>
            <w:r>
              <w:fldChar w:fldCharType="begin"/>
            </w:r>
            <w:r>
              <w:rPr>
                <w:rStyle w:val="Style6"/>
                <w:rFonts w:cs="Times New Roman"/>
                <w:color w:val="000000"/>
                <w:sz w:val="22"/>
                <w:szCs w:val="22"/>
              </w:rPr>
              <w:instrText xml:space="preserve"> HYPERLINK "https://zakon.rada.gov.ua/laws/show/z1111-20?find=1&amp;text=%D0%BF%D0%B8%D1%82%D0%BD%D0%BE%D1%97+%D0%B2%D0%BE%D0%B4%D0%B8" \l "n15"</w:instrText>
            </w:r>
            <w:r>
              <w:rPr>
                <w:rStyle w:val="Style6"/>
                <w:rFonts w:cs="Times New Roman"/>
                <w:color w:val="000000"/>
                <w:sz w:val="22"/>
                <w:szCs w:val="22"/>
              </w:rPr>
              <w:fldChar w:fldCharType="separate"/>
            </w:r>
            <w:r>
              <w:rPr>
                <w:rStyle w:val="Style6"/>
                <w:rFonts w:cs="Times New Roman"/>
                <w:color w:val="000000"/>
                <w:sz w:val="22"/>
                <w:szCs w:val="22"/>
              </w:rPr>
              <w:t xml:space="preserve">Санітарного регламенту </w:t>
            </w:r>
            <w:r>
              <w:rPr>
                <w:rStyle w:val="Style6"/>
                <w:rFonts w:cs="Times New Roman"/>
                <w:color w:val="000000"/>
                <w:sz w:val="22"/>
                <w:szCs w:val="22"/>
              </w:rPr>
              <w:fldChar w:fldCharType="end"/>
            </w:r>
            <w:r>
              <w:rPr>
                <w:rStyle w:val="rvts0"/>
                <w:rFonts w:cs="Times New Roman"/>
                <w:color w:val="000000"/>
                <w:sz w:val="22"/>
                <w:szCs w:val="22"/>
              </w:rPr>
              <w:t>та інших вимог чинного законодавства, які регламентують вимоги до якості питної води</w:t>
            </w:r>
          </w:p>
          <w:p>
            <w:pPr>
              <w:pStyle w:val="Normal"/>
              <w:widowControl w:val="false"/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>
              <w:rPr>
                <w:rFonts w:cs="Times New Roman"/>
                <w:color w:val="000000"/>
                <w:sz w:val="22"/>
                <w:szCs w:val="22"/>
              </w:rPr>
            </w:r>
          </w:p>
          <w:p>
            <w:pPr>
              <w:pStyle w:val="Normal"/>
              <w:widowControl w:val="false"/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>
              <w:rPr>
                <w:rFonts w:cs="Times New Roman"/>
                <w:color w:val="000000"/>
                <w:sz w:val="22"/>
                <w:szCs w:val="22"/>
              </w:rPr>
            </w:r>
          </w:p>
          <w:p>
            <w:pPr>
              <w:pStyle w:val="Normal"/>
              <w:widowControl w:val="false"/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>
              <w:rPr>
                <w:rFonts w:cs="Times New Roman"/>
                <w:color w:val="000000"/>
                <w:sz w:val="22"/>
                <w:szCs w:val="22"/>
              </w:rPr>
            </w:r>
          </w:p>
          <w:p>
            <w:pPr>
              <w:pStyle w:val="Normal"/>
              <w:widowControl w:val="false"/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>
              <w:rPr>
                <w:rFonts w:cs="Times New Roman"/>
                <w:color w:val="000000"/>
                <w:sz w:val="22"/>
                <w:szCs w:val="22"/>
              </w:rPr>
            </w:r>
          </w:p>
        </w:tc>
      </w:tr>
      <w:tr>
        <w:trPr/>
        <w:tc>
          <w:tcPr>
            <w:tcW w:w="453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370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4160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480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26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cs="Times New Roman"/>
                <w:color w:val="000000"/>
                <w:sz w:val="22"/>
                <w:szCs w:val="22"/>
              </w:rPr>
              <w:t>2027</w:t>
            </w:r>
          </w:p>
        </w:tc>
        <w:tc>
          <w:tcPr>
            <w:tcW w:w="1179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5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cs="Times New Roman"/>
                <w:color w:val="000000"/>
                <w:sz w:val="22"/>
                <w:szCs w:val="22"/>
              </w:rPr>
              <w:t>6 500,0</w:t>
            </w:r>
          </w:p>
        </w:tc>
        <w:tc>
          <w:tcPr>
            <w:tcW w:w="3635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/>
        <w:tc>
          <w:tcPr>
            <w:tcW w:w="453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370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4160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480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26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cs="Times New Roman"/>
                <w:color w:val="000000"/>
                <w:sz w:val="22"/>
                <w:szCs w:val="22"/>
              </w:rPr>
              <w:t>2028</w:t>
            </w:r>
          </w:p>
        </w:tc>
        <w:tc>
          <w:tcPr>
            <w:tcW w:w="1179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5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cs="Times New Roman"/>
                <w:color w:val="000000"/>
                <w:sz w:val="22"/>
                <w:szCs w:val="22"/>
              </w:rPr>
              <w:t>6 500,0</w:t>
            </w:r>
          </w:p>
        </w:tc>
        <w:tc>
          <w:tcPr>
            <w:tcW w:w="3635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/>
        <w:tc>
          <w:tcPr>
            <w:tcW w:w="453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370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4160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480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26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cs="Times New Roman"/>
                <w:color w:val="000000"/>
                <w:sz w:val="22"/>
                <w:szCs w:val="22"/>
              </w:rPr>
              <w:t>2029</w:t>
            </w:r>
          </w:p>
        </w:tc>
        <w:tc>
          <w:tcPr>
            <w:tcW w:w="1179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5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cs="Times New Roman"/>
                <w:color w:val="000000"/>
                <w:sz w:val="22"/>
                <w:szCs w:val="22"/>
              </w:rPr>
              <w:t>6 500,0</w:t>
            </w:r>
          </w:p>
          <w:p>
            <w:pPr>
              <w:pStyle w:val="Normal"/>
              <w:widowControl w:val="false"/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>
              <w:rPr>
                <w:rFonts w:cs="Times New Roman"/>
                <w:color w:val="000000"/>
                <w:sz w:val="22"/>
                <w:szCs w:val="22"/>
              </w:rPr>
            </w:r>
          </w:p>
        </w:tc>
        <w:tc>
          <w:tcPr>
            <w:tcW w:w="3635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/>
        <w:tc>
          <w:tcPr>
            <w:tcW w:w="453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370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4160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cs="Times New Roman"/>
                <w:color w:val="000000"/>
                <w:sz w:val="22"/>
                <w:szCs w:val="22"/>
              </w:rPr>
              <w:t>Впровадження системи автоматизації управління та диспетчеризації технологічним процесом 1-го, 2-го та 3-го підйомів води</w:t>
            </w:r>
          </w:p>
          <w:p>
            <w:pPr>
              <w:pStyle w:val="ListParagraph"/>
              <w:widowControl w:val="false"/>
              <w:ind w:start="57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cs="Times New Roman"/>
                <w:color w:val="000000"/>
                <w:sz w:val="22"/>
                <w:szCs w:val="22"/>
              </w:rPr>
              <w:t>(на насосних станціях 1-го підйому води (арт.свердловини № 7, 8, 13А, 15</w:t>
            </w:r>
            <w:r>
              <w:rPr>
                <w:rFonts w:cs="Times New Roman"/>
                <w:color w:val="000000"/>
                <w:sz w:val="22"/>
                <w:szCs w:val="22"/>
                <w:vertAlign w:val="superscript"/>
              </w:rPr>
              <w:t>А</w:t>
            </w:r>
            <w:r>
              <w:rPr>
                <w:rFonts w:cs="Times New Roman"/>
                <w:color w:val="000000"/>
                <w:sz w:val="22"/>
                <w:szCs w:val="22"/>
              </w:rPr>
              <w:t>, 16</w:t>
            </w:r>
            <w:r>
              <w:rPr>
                <w:rFonts w:cs="Times New Roman"/>
                <w:color w:val="000000"/>
                <w:sz w:val="22"/>
                <w:szCs w:val="22"/>
                <w:vertAlign w:val="superscript"/>
              </w:rPr>
              <w:t>А</w:t>
            </w:r>
            <w:r>
              <w:rPr>
                <w:rFonts w:cs="Times New Roman"/>
                <w:color w:val="000000"/>
                <w:sz w:val="22"/>
                <w:szCs w:val="22"/>
              </w:rPr>
              <w:t>, 20, 20</w:t>
            </w:r>
            <w:r>
              <w:rPr>
                <w:rFonts w:cs="Times New Roman"/>
                <w:color w:val="000000"/>
                <w:sz w:val="22"/>
                <w:szCs w:val="22"/>
                <w:vertAlign w:val="superscript"/>
              </w:rPr>
              <w:t>А</w:t>
            </w:r>
            <w:r>
              <w:rPr>
                <w:rFonts w:cs="Times New Roman"/>
                <w:color w:val="000000"/>
                <w:sz w:val="22"/>
                <w:szCs w:val="22"/>
              </w:rPr>
              <w:t>, 21, 21</w:t>
            </w:r>
            <w:r>
              <w:rPr>
                <w:rFonts w:cs="Times New Roman"/>
                <w:color w:val="000000"/>
                <w:sz w:val="22"/>
                <w:szCs w:val="22"/>
                <w:vertAlign w:val="superscript"/>
              </w:rPr>
              <w:t>А</w:t>
            </w:r>
            <w:r>
              <w:rPr>
                <w:rFonts w:cs="Times New Roman"/>
                <w:color w:val="000000"/>
                <w:sz w:val="22"/>
                <w:szCs w:val="22"/>
              </w:rPr>
              <w:t>, 22;</w:t>
            </w:r>
          </w:p>
          <w:p>
            <w:pPr>
              <w:pStyle w:val="ListParagraph"/>
              <w:widowControl w:val="false"/>
              <w:ind w:start="57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cs="Times New Roman"/>
                <w:color w:val="000000"/>
                <w:sz w:val="22"/>
                <w:szCs w:val="22"/>
              </w:rPr>
              <w:t>2.</w:t>
            </w:r>
            <w:r>
              <w:rPr>
                <w:rFonts w:cs="Times New Roman"/>
                <w:color w:val="000000"/>
                <w:sz w:val="22"/>
                <w:szCs w:val="22"/>
                <w:lang w:val="en-US"/>
              </w:rPr>
              <w:t> </w:t>
            </w:r>
            <w:r>
              <w:rPr>
                <w:rFonts w:cs="Times New Roman"/>
                <w:color w:val="000000"/>
                <w:sz w:val="22"/>
                <w:szCs w:val="22"/>
              </w:rPr>
              <w:t>насосних станцій 1-го підйому води (арт.свердловини № 1, 9, 19, 19А, 23, 24, 3.</w:t>
            </w:r>
            <w:r>
              <w:rPr>
                <w:rFonts w:cs="Times New Roman"/>
                <w:color w:val="000000"/>
                <w:sz w:val="22"/>
                <w:szCs w:val="22"/>
                <w:lang w:val="en-US"/>
              </w:rPr>
              <w:t> </w:t>
            </w:r>
            <w:r>
              <w:rPr>
                <w:rFonts w:cs="Times New Roman"/>
                <w:color w:val="000000"/>
                <w:sz w:val="22"/>
                <w:szCs w:val="22"/>
              </w:rPr>
              <w:t>24А, 25, 26, 28, 29, 34, 35А)</w:t>
            </w:r>
            <w:r>
              <w:rPr>
                <w:rFonts w:cs="Times New Roman"/>
                <w:color w:val="000000"/>
                <w:sz w:val="22"/>
                <w:szCs w:val="22"/>
                <w:lang w:val="en-US"/>
              </w:rPr>
              <w:t>;</w:t>
            </w:r>
          </w:p>
          <w:p>
            <w:pPr>
              <w:pStyle w:val="ListParagraph"/>
              <w:widowControl w:val="false"/>
              <w:ind w:start="57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cs="Times New Roman"/>
                <w:color w:val="000000"/>
                <w:sz w:val="22"/>
                <w:szCs w:val="22"/>
              </w:rPr>
              <w:t>КНС № 4, 7, 8, 11, 13, 15 – 2027 рік.</w:t>
            </w:r>
          </w:p>
        </w:tc>
        <w:tc>
          <w:tcPr>
            <w:tcW w:w="1480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26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cs="Times New Roman"/>
                <w:color w:val="000000"/>
                <w:sz w:val="22"/>
                <w:szCs w:val="22"/>
              </w:rPr>
              <w:t>2026</w:t>
            </w:r>
          </w:p>
        </w:tc>
        <w:tc>
          <w:tcPr>
            <w:tcW w:w="1179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5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eastAsia="Calibri" w:cs="Times New Roman"/>
                <w:color w:val="000000"/>
                <w:sz w:val="22"/>
                <w:szCs w:val="22"/>
              </w:rPr>
              <w:t>6 500,0</w:t>
            </w:r>
          </w:p>
        </w:tc>
        <w:tc>
          <w:tcPr>
            <w:tcW w:w="3635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cs="Times New Roman"/>
                <w:color w:val="000000"/>
                <w:sz w:val="22"/>
                <w:szCs w:val="22"/>
              </w:rPr>
              <w:t>Впроваджено системи автоматизації управління та диспетчеризації технологічним процесом підйомів води</w:t>
            </w:r>
          </w:p>
        </w:tc>
      </w:tr>
      <w:tr>
        <w:trPr/>
        <w:tc>
          <w:tcPr>
            <w:tcW w:w="453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370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4160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480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26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cs="Times New Roman"/>
                <w:color w:val="000000"/>
                <w:sz w:val="22"/>
                <w:szCs w:val="22"/>
              </w:rPr>
              <w:t>2027</w:t>
            </w:r>
          </w:p>
        </w:tc>
        <w:tc>
          <w:tcPr>
            <w:tcW w:w="1179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5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cs="Times New Roman"/>
                <w:color w:val="000000"/>
                <w:sz w:val="22"/>
                <w:szCs w:val="22"/>
              </w:rPr>
              <w:t>7 800,0</w:t>
            </w:r>
          </w:p>
        </w:tc>
        <w:tc>
          <w:tcPr>
            <w:tcW w:w="3635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/>
        <w:tc>
          <w:tcPr>
            <w:tcW w:w="453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370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4160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480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26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cs="Times New Roman"/>
                <w:color w:val="000000"/>
                <w:sz w:val="22"/>
                <w:szCs w:val="22"/>
              </w:rPr>
              <w:t>2028</w:t>
            </w:r>
          </w:p>
        </w:tc>
        <w:tc>
          <w:tcPr>
            <w:tcW w:w="1179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5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cs="Times New Roman"/>
                <w:color w:val="000000"/>
                <w:sz w:val="22"/>
                <w:szCs w:val="22"/>
              </w:rPr>
              <w:t>4 600,0</w:t>
            </w:r>
          </w:p>
        </w:tc>
        <w:tc>
          <w:tcPr>
            <w:tcW w:w="3635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/>
        <w:tc>
          <w:tcPr>
            <w:tcW w:w="453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370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4160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cs="Times New Roman"/>
                <w:color w:val="000000"/>
                <w:sz w:val="22"/>
                <w:szCs w:val="22"/>
              </w:rPr>
              <w:t>Реконструкція трансформаторної підстанції ТП № 345 (КНС № 2) в м. Луцьку</w:t>
            </w:r>
          </w:p>
          <w:p>
            <w:pPr>
              <w:pStyle w:val="Normal"/>
              <w:widowControl w:val="false"/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>
              <w:rPr>
                <w:rFonts w:cs="Times New Roman"/>
                <w:color w:val="000000"/>
                <w:sz w:val="22"/>
                <w:szCs w:val="22"/>
              </w:rPr>
            </w:r>
          </w:p>
          <w:p>
            <w:pPr>
              <w:pStyle w:val="Normal"/>
              <w:widowControl w:val="false"/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>
              <w:rPr>
                <w:rFonts w:cs="Times New Roman"/>
                <w:color w:val="000000"/>
                <w:sz w:val="22"/>
                <w:szCs w:val="22"/>
              </w:rPr>
            </w:r>
          </w:p>
          <w:p>
            <w:pPr>
              <w:pStyle w:val="Normal"/>
              <w:widowControl w:val="false"/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>
              <w:rPr>
                <w:rFonts w:cs="Times New Roman"/>
                <w:color w:val="000000"/>
                <w:sz w:val="22"/>
                <w:szCs w:val="22"/>
              </w:rPr>
            </w:r>
          </w:p>
          <w:p>
            <w:pPr>
              <w:pStyle w:val="Normal"/>
              <w:widowControl w:val="false"/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>
              <w:rPr>
                <w:rFonts w:cs="Times New Roman"/>
                <w:color w:val="000000"/>
                <w:sz w:val="22"/>
                <w:szCs w:val="22"/>
              </w:rPr>
            </w:r>
          </w:p>
          <w:p>
            <w:pPr>
              <w:pStyle w:val="Normal"/>
              <w:widowControl w:val="false"/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>
              <w:rPr>
                <w:rFonts w:cs="Times New Roman"/>
                <w:color w:val="000000"/>
                <w:sz w:val="22"/>
                <w:szCs w:val="22"/>
              </w:rPr>
            </w:r>
          </w:p>
          <w:p>
            <w:pPr>
              <w:pStyle w:val="Normal"/>
              <w:widowControl w:val="false"/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>
              <w:rPr>
                <w:rFonts w:cs="Times New Roman"/>
                <w:color w:val="000000"/>
                <w:sz w:val="22"/>
                <w:szCs w:val="22"/>
              </w:rPr>
            </w:r>
          </w:p>
          <w:p>
            <w:pPr>
              <w:pStyle w:val="Normal"/>
              <w:widowControl w:val="false"/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>
              <w:rPr>
                <w:rFonts w:cs="Times New Roman"/>
                <w:color w:val="000000"/>
                <w:sz w:val="22"/>
                <w:szCs w:val="22"/>
              </w:rPr>
            </w:r>
          </w:p>
          <w:p>
            <w:pPr>
              <w:pStyle w:val="Normal"/>
              <w:widowControl w:val="false"/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>
              <w:rPr>
                <w:rFonts w:cs="Times New Roman"/>
                <w:color w:val="000000"/>
                <w:sz w:val="22"/>
                <w:szCs w:val="22"/>
              </w:rPr>
            </w:r>
          </w:p>
          <w:p>
            <w:pPr>
              <w:pStyle w:val="Normal"/>
              <w:widowControl w:val="false"/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>
              <w:rPr>
                <w:rFonts w:cs="Times New Roman"/>
                <w:color w:val="000000"/>
                <w:sz w:val="22"/>
                <w:szCs w:val="22"/>
              </w:rPr>
            </w:r>
          </w:p>
          <w:p>
            <w:pPr>
              <w:pStyle w:val="Normal"/>
              <w:widowControl w:val="false"/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>
              <w:rPr>
                <w:rFonts w:cs="Times New Roman"/>
                <w:color w:val="000000"/>
                <w:sz w:val="22"/>
                <w:szCs w:val="22"/>
              </w:rPr>
            </w:r>
          </w:p>
        </w:tc>
        <w:tc>
          <w:tcPr>
            <w:tcW w:w="1480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26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cs="Times New Roman"/>
                <w:color w:val="000000"/>
                <w:sz w:val="22"/>
                <w:szCs w:val="22"/>
              </w:rPr>
              <w:t>2026</w:t>
            </w:r>
          </w:p>
        </w:tc>
        <w:tc>
          <w:tcPr>
            <w:tcW w:w="1179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5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eastAsia="Calibri" w:cs="Times New Roman"/>
                <w:color w:val="000000"/>
                <w:sz w:val="22"/>
                <w:szCs w:val="22"/>
              </w:rPr>
              <w:t>6 500,0</w:t>
            </w:r>
          </w:p>
        </w:tc>
        <w:tc>
          <w:tcPr>
            <w:tcW w:w="3635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cs="Times New Roman"/>
                <w:color w:val="000000"/>
                <w:sz w:val="22"/>
                <w:szCs w:val="22"/>
              </w:rPr>
              <w:t>Забезпечення надійного постачання ТП-345 (КНС-2, яка є однією з найбільших КНС, яка  обслуговує 51 637 абонентів м. Луцька і в яку перекачують свої стоки 12 менших КНС) та запобігання аварійних ситуацій шляхом переоснащення  обладнання підстанції, які відпрацювали нормативний термін (підстанція введена в експлуатацію у 1982 році), забезпечення надійності, безперервності та якості електропостачання електроенергії після реконструкції обладнання</w:t>
            </w:r>
          </w:p>
        </w:tc>
      </w:tr>
      <w:tr>
        <w:trPr/>
        <w:tc>
          <w:tcPr>
            <w:tcW w:w="453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370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4160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480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26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cs="Times New Roman"/>
                <w:color w:val="000000"/>
                <w:sz w:val="22"/>
                <w:szCs w:val="22"/>
              </w:rPr>
              <w:t>2027</w:t>
            </w:r>
          </w:p>
        </w:tc>
        <w:tc>
          <w:tcPr>
            <w:tcW w:w="1179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5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eastAsia="Calibri" w:cs="Times New Roman"/>
                <w:color w:val="000000"/>
                <w:sz w:val="22"/>
                <w:szCs w:val="22"/>
              </w:rPr>
              <w:t>4 625,6</w:t>
            </w:r>
          </w:p>
        </w:tc>
        <w:tc>
          <w:tcPr>
            <w:tcW w:w="3635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/>
        <w:tc>
          <w:tcPr>
            <w:tcW w:w="453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370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41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cs="Times New Roman"/>
                <w:color w:val="000000"/>
                <w:sz w:val="22"/>
                <w:szCs w:val="22"/>
              </w:rPr>
              <w:t>Реконструкція РУ-10 кВ і РУ-0,4 кВ на КНС-4</w:t>
            </w:r>
          </w:p>
          <w:p>
            <w:pPr>
              <w:pStyle w:val="Normal"/>
              <w:widowControl w:val="false"/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>
              <w:rPr>
                <w:rFonts w:cs="Times New Roman"/>
                <w:color w:val="000000"/>
                <w:sz w:val="22"/>
                <w:szCs w:val="22"/>
              </w:rPr>
            </w:r>
          </w:p>
          <w:p>
            <w:pPr>
              <w:pStyle w:val="Normal"/>
              <w:widowControl w:val="false"/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>
              <w:rPr>
                <w:rFonts w:cs="Times New Roman"/>
                <w:color w:val="000000"/>
                <w:sz w:val="22"/>
                <w:szCs w:val="22"/>
              </w:rPr>
            </w:r>
          </w:p>
          <w:p>
            <w:pPr>
              <w:pStyle w:val="Normal"/>
              <w:widowControl w:val="false"/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>
              <w:rPr>
                <w:rFonts w:cs="Times New Roman"/>
                <w:color w:val="000000"/>
                <w:sz w:val="22"/>
                <w:szCs w:val="22"/>
              </w:rPr>
            </w:r>
          </w:p>
          <w:p>
            <w:pPr>
              <w:pStyle w:val="Normal"/>
              <w:widowControl w:val="false"/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>
              <w:rPr>
                <w:rFonts w:cs="Times New Roman"/>
                <w:color w:val="000000"/>
                <w:sz w:val="22"/>
                <w:szCs w:val="22"/>
              </w:rPr>
            </w:r>
          </w:p>
          <w:p>
            <w:pPr>
              <w:pStyle w:val="Normal"/>
              <w:widowControl w:val="false"/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>
              <w:rPr>
                <w:rFonts w:cs="Times New Roman"/>
                <w:color w:val="000000"/>
                <w:sz w:val="22"/>
                <w:szCs w:val="22"/>
              </w:rPr>
            </w:r>
          </w:p>
        </w:tc>
        <w:tc>
          <w:tcPr>
            <w:tcW w:w="1480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26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cs="Times New Roman"/>
                <w:color w:val="000000"/>
                <w:sz w:val="22"/>
                <w:szCs w:val="22"/>
              </w:rPr>
              <w:t>2030</w:t>
            </w:r>
          </w:p>
        </w:tc>
        <w:tc>
          <w:tcPr>
            <w:tcW w:w="1179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5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cs="Times New Roman"/>
                <w:color w:val="000000"/>
                <w:sz w:val="22"/>
                <w:szCs w:val="22"/>
              </w:rPr>
              <w:t>6 4</w:t>
            </w:r>
            <w:r>
              <w:rPr>
                <w:rFonts w:eastAsia="Calibri" w:cs="Times New Roman"/>
                <w:color w:val="000000"/>
                <w:sz w:val="22"/>
                <w:szCs w:val="22"/>
              </w:rPr>
              <w:t>00,0</w:t>
            </w:r>
          </w:p>
        </w:tc>
        <w:tc>
          <w:tcPr>
            <w:tcW w:w="363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ind w:end="-28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cs="Times New Roman"/>
                <w:color w:val="000000"/>
                <w:sz w:val="22"/>
                <w:szCs w:val="22"/>
                <w:shd w:fill="FFFFFF" w:val="clear"/>
              </w:rPr>
              <w:t>Забезпечення стабільної та безперебійної роботи КНС № 4. Заміна аварійної ділянки КЛ-10 кВ забезпечить безаварійне відведення стоків на очисні споруди, дозволить уникнути забруднення навколишнього середовища та пов’язаних з цим наслідків</w:t>
            </w:r>
          </w:p>
        </w:tc>
      </w:tr>
      <w:tr>
        <w:trPr>
          <w:trHeight w:val="346" w:hRule="atLeast"/>
        </w:trPr>
        <w:tc>
          <w:tcPr>
            <w:tcW w:w="453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370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4160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cs="Times New Roman"/>
                <w:color w:val="000000"/>
                <w:sz w:val="22"/>
                <w:szCs w:val="22"/>
              </w:rPr>
              <w:t>Встановлення біогазової установки для компенсації власного споживання електричної енергії (очисні споруди)</w:t>
            </w:r>
          </w:p>
          <w:p>
            <w:pPr>
              <w:pStyle w:val="Normal"/>
              <w:widowControl w:val="false"/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>
              <w:rPr>
                <w:rFonts w:cs="Times New Roman"/>
                <w:color w:val="000000"/>
                <w:sz w:val="22"/>
                <w:szCs w:val="22"/>
              </w:rPr>
            </w:r>
          </w:p>
          <w:p>
            <w:pPr>
              <w:pStyle w:val="Normal"/>
              <w:widowControl w:val="false"/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>
              <w:rPr>
                <w:rFonts w:cs="Times New Roman"/>
                <w:color w:val="000000"/>
                <w:sz w:val="22"/>
                <w:szCs w:val="22"/>
              </w:rPr>
            </w:r>
          </w:p>
          <w:p>
            <w:pPr>
              <w:pStyle w:val="Normal"/>
              <w:widowControl w:val="false"/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>
              <w:rPr>
                <w:rFonts w:cs="Times New Roman"/>
                <w:color w:val="000000"/>
                <w:sz w:val="22"/>
                <w:szCs w:val="22"/>
              </w:rPr>
            </w:r>
          </w:p>
          <w:p>
            <w:pPr>
              <w:pStyle w:val="Normal"/>
              <w:widowControl w:val="false"/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>
              <w:rPr>
                <w:rFonts w:cs="Times New Roman"/>
                <w:color w:val="000000"/>
                <w:sz w:val="22"/>
                <w:szCs w:val="22"/>
              </w:rPr>
            </w:r>
          </w:p>
          <w:p>
            <w:pPr>
              <w:pStyle w:val="Normal"/>
              <w:widowControl w:val="false"/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>
              <w:rPr>
                <w:rFonts w:cs="Times New Roman"/>
                <w:color w:val="000000"/>
                <w:sz w:val="22"/>
                <w:szCs w:val="22"/>
              </w:rPr>
            </w:r>
          </w:p>
          <w:p>
            <w:pPr>
              <w:pStyle w:val="Normal"/>
              <w:widowControl w:val="false"/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>
              <w:rPr>
                <w:rFonts w:cs="Times New Roman"/>
                <w:color w:val="000000"/>
                <w:sz w:val="22"/>
                <w:szCs w:val="22"/>
              </w:rPr>
            </w:r>
          </w:p>
          <w:p>
            <w:pPr>
              <w:pStyle w:val="Normal"/>
              <w:widowControl w:val="false"/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>
              <w:rPr>
                <w:rFonts w:cs="Times New Roman"/>
                <w:color w:val="000000"/>
                <w:sz w:val="22"/>
                <w:szCs w:val="22"/>
              </w:rPr>
            </w:r>
          </w:p>
          <w:p>
            <w:pPr>
              <w:pStyle w:val="Normal"/>
              <w:widowControl w:val="false"/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>
              <w:rPr>
                <w:rFonts w:cs="Times New Roman"/>
                <w:color w:val="000000"/>
                <w:sz w:val="22"/>
                <w:szCs w:val="22"/>
              </w:rPr>
            </w:r>
          </w:p>
          <w:p>
            <w:pPr>
              <w:pStyle w:val="Normal"/>
              <w:widowControl w:val="false"/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>
              <w:rPr>
                <w:rFonts w:cs="Times New Roman"/>
                <w:color w:val="000000"/>
                <w:sz w:val="22"/>
                <w:szCs w:val="22"/>
              </w:rPr>
            </w:r>
          </w:p>
          <w:p>
            <w:pPr>
              <w:pStyle w:val="Normal"/>
              <w:widowControl w:val="false"/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>
              <w:rPr>
                <w:rFonts w:cs="Times New Roman"/>
                <w:color w:val="000000"/>
                <w:sz w:val="22"/>
                <w:szCs w:val="22"/>
              </w:rPr>
            </w:r>
          </w:p>
          <w:p>
            <w:pPr>
              <w:pStyle w:val="Normal"/>
              <w:widowControl w:val="false"/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>
              <w:rPr>
                <w:rFonts w:cs="Times New Roman"/>
                <w:color w:val="000000"/>
                <w:sz w:val="22"/>
                <w:szCs w:val="22"/>
              </w:rPr>
            </w:r>
          </w:p>
          <w:p>
            <w:pPr>
              <w:pStyle w:val="Normal"/>
              <w:widowControl w:val="false"/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>
              <w:rPr>
                <w:rFonts w:cs="Times New Roman"/>
                <w:color w:val="000000"/>
                <w:sz w:val="22"/>
                <w:szCs w:val="22"/>
              </w:rPr>
            </w:r>
          </w:p>
          <w:p>
            <w:pPr>
              <w:pStyle w:val="Normal"/>
              <w:widowControl w:val="false"/>
              <w:rPr>
                <w:rFonts w:cs="Times New Roman"/>
                <w:color w:val="000000"/>
                <w:sz w:val="22"/>
                <w:szCs w:val="22"/>
              </w:rPr>
            </w:pPr>
            <w:r>
              <w:rPr>
                <w:rFonts w:cs="Times New Roman"/>
                <w:color w:val="000000"/>
                <w:sz w:val="22"/>
                <w:szCs w:val="22"/>
              </w:rPr>
            </w:r>
          </w:p>
          <w:p>
            <w:pPr>
              <w:pStyle w:val="Normal"/>
              <w:widowControl w:val="false"/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>
              <w:rPr>
                <w:rFonts w:cs="Times New Roman"/>
                <w:color w:val="000000"/>
                <w:sz w:val="22"/>
                <w:szCs w:val="22"/>
              </w:rPr>
            </w:r>
          </w:p>
        </w:tc>
        <w:tc>
          <w:tcPr>
            <w:tcW w:w="1480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26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cs="Times New Roman"/>
                <w:color w:val="000000"/>
                <w:sz w:val="22"/>
                <w:szCs w:val="22"/>
              </w:rPr>
              <w:t>2028</w:t>
            </w:r>
          </w:p>
        </w:tc>
        <w:tc>
          <w:tcPr>
            <w:tcW w:w="1179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5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cs="Times New Roman"/>
                <w:color w:val="000000"/>
                <w:sz w:val="22"/>
                <w:szCs w:val="22"/>
              </w:rPr>
              <w:t>100 000,0</w:t>
            </w:r>
          </w:p>
        </w:tc>
        <w:tc>
          <w:tcPr>
            <w:tcW w:w="3635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1"/>
                <w:szCs w:val="21"/>
              </w:rPr>
            </w:pPr>
            <w:r>
              <w:rPr>
                <w:rFonts w:cs="Times New Roman"/>
                <w:color w:val="000000"/>
                <w:sz w:val="21"/>
                <w:szCs w:val="21"/>
              </w:rPr>
              <w:t xml:space="preserve">За попередніми розрахунками </w:t>
            </w:r>
            <w:r>
              <w:rPr>
                <w:rStyle w:val="xfm95731216"/>
                <w:rFonts w:cs="Times New Roman"/>
                <w:color w:val="000000"/>
                <w:sz w:val="21"/>
                <w:szCs w:val="21"/>
              </w:rPr>
              <w:t>400 м</w:t>
            </w:r>
            <w:r>
              <w:rPr>
                <w:rStyle w:val="xfm95731216"/>
                <w:rFonts w:cs="Times New Roman"/>
                <w:color w:val="000000"/>
                <w:sz w:val="21"/>
                <w:szCs w:val="21"/>
                <w:vertAlign w:val="superscript"/>
              </w:rPr>
              <w:t>3</w:t>
            </w:r>
            <w:r>
              <w:rPr>
                <w:rStyle w:val="xfm95731216"/>
                <w:rFonts w:cs="Times New Roman"/>
                <w:color w:val="000000"/>
                <w:sz w:val="21"/>
                <w:szCs w:val="21"/>
              </w:rPr>
              <w:t>/добу первинного мулу з вмістом  3,5 – 6% СР вміст органіки в первинному мулі приблизно 67 % від СР.</w:t>
            </w:r>
          </w:p>
          <w:p>
            <w:pPr>
              <w:pStyle w:val="xfmc1"/>
              <w:widowControl w:val="false"/>
              <w:spacing w:before="0" w:after="0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  <w:lang w:val="uk-UA"/>
              </w:rPr>
              <w:t>Біогазова установка на цьому мулі може виробити біогазу з концентрацією метану (СН4) від 1.724.000 нм3/рік  до 2.950.400 нм3/рік, який може бути використаний в когенераційній установці електричною потужністю від 500 кВт  до 850 кВт.</w:t>
            </w:r>
          </w:p>
          <w:p>
            <w:pPr>
              <w:pStyle w:val="xfmc1"/>
              <w:widowControl w:val="false"/>
              <w:spacing w:before="0" w:after="0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  <w:lang w:val="uk-UA"/>
              </w:rPr>
              <w:t>Виробництво електричної енергії даною установкою покриває близько 80 відсотків споживання об’єкта. Тобто  маємо можливість зекономити близько 480 тис. кВт.год на місяць, або 5670 тис. кВт.год/рік. Використання біогазової установки зменшить викиди СО</w:t>
            </w:r>
            <w:r>
              <w:rPr>
                <w:color w:val="000000"/>
                <w:sz w:val="21"/>
                <w:szCs w:val="21"/>
                <w:vertAlign w:val="subscript"/>
                <w:lang w:val="uk-UA"/>
              </w:rPr>
              <w:t>2</w:t>
            </w:r>
            <w:r>
              <w:rPr>
                <w:color w:val="000000"/>
                <w:sz w:val="21"/>
                <w:szCs w:val="21"/>
                <w:lang w:val="uk-UA"/>
              </w:rPr>
              <w:t xml:space="preserve"> на 2 331 т/рік</w:t>
            </w:r>
          </w:p>
        </w:tc>
      </w:tr>
      <w:tr>
        <w:trPr>
          <w:trHeight w:val="341" w:hRule="atLeast"/>
        </w:trPr>
        <w:tc>
          <w:tcPr>
            <w:tcW w:w="453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370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4160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480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26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cs="Times New Roman"/>
                <w:color w:val="000000"/>
                <w:sz w:val="22"/>
                <w:szCs w:val="22"/>
              </w:rPr>
              <w:t>2029</w:t>
            </w:r>
          </w:p>
        </w:tc>
        <w:tc>
          <w:tcPr>
            <w:tcW w:w="1179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5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cs="Times New Roman"/>
                <w:color w:val="000000"/>
                <w:sz w:val="22"/>
                <w:szCs w:val="22"/>
              </w:rPr>
              <w:t>110 000,0</w:t>
            </w:r>
          </w:p>
        </w:tc>
        <w:tc>
          <w:tcPr>
            <w:tcW w:w="3635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/>
        <w:tc>
          <w:tcPr>
            <w:tcW w:w="453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370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4160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480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26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cs="Times New Roman"/>
                <w:color w:val="000000"/>
                <w:sz w:val="22"/>
                <w:szCs w:val="22"/>
              </w:rPr>
              <w:t>2030</w:t>
            </w:r>
          </w:p>
        </w:tc>
        <w:tc>
          <w:tcPr>
            <w:tcW w:w="1179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5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cs="Times New Roman"/>
                <w:color w:val="000000"/>
                <w:sz w:val="22"/>
                <w:szCs w:val="22"/>
              </w:rPr>
              <w:t>110 000,0</w:t>
            </w:r>
          </w:p>
        </w:tc>
        <w:tc>
          <w:tcPr>
            <w:tcW w:w="3635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/>
        <w:tc>
          <w:tcPr>
            <w:tcW w:w="453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370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4160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cs="Times New Roman"/>
                <w:color w:val="000000"/>
                <w:sz w:val="22"/>
                <w:szCs w:val="22"/>
              </w:rPr>
              <w:t>Реконструкція очисних споруд каналізації міста Луцька</w:t>
            </w:r>
          </w:p>
        </w:tc>
        <w:tc>
          <w:tcPr>
            <w:tcW w:w="1480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26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cs="Times New Roman"/>
                <w:color w:val="000000"/>
                <w:sz w:val="22"/>
                <w:szCs w:val="22"/>
              </w:rPr>
              <w:t>2026</w:t>
            </w:r>
          </w:p>
        </w:tc>
        <w:tc>
          <w:tcPr>
            <w:tcW w:w="1179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5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cs="Times New Roman"/>
                <w:color w:val="000000"/>
                <w:sz w:val="22"/>
                <w:szCs w:val="22"/>
              </w:rPr>
              <w:t xml:space="preserve">24 832,0 </w:t>
            </w:r>
            <w:r>
              <w:rPr>
                <w:rFonts w:eastAsia="Calibri" w:cs="Times New Roman"/>
                <w:color w:val="000000"/>
                <w:sz w:val="22"/>
                <w:szCs w:val="22"/>
              </w:rPr>
              <w:t>– бюджет громади</w:t>
            </w:r>
          </w:p>
          <w:p>
            <w:pPr>
              <w:pStyle w:val="Normal"/>
              <w:widowControl w:val="false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cs="Times New Roman"/>
                <w:color w:val="000000"/>
                <w:sz w:val="22"/>
                <w:szCs w:val="22"/>
              </w:rPr>
              <w:t xml:space="preserve">130 368,0 </w:t>
            </w:r>
            <w:r>
              <w:rPr>
                <w:rFonts w:eastAsia="Calibri" w:cs="Times New Roman"/>
                <w:color w:val="000000"/>
                <w:sz w:val="22"/>
                <w:szCs w:val="22"/>
              </w:rPr>
              <w:t>– інші джерела (гранти, позики)</w:t>
            </w:r>
          </w:p>
        </w:tc>
        <w:tc>
          <w:tcPr>
            <w:tcW w:w="3635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1"/>
              <w:widowControl w:val="false"/>
              <w:jc w:val="center"/>
              <w:rPr>
                <w:color w:val="000000"/>
                <w:lang w:val="uk-UA"/>
              </w:rPr>
            </w:pPr>
            <w:r>
              <w:rPr>
                <w:rFonts w:ascii="Times New Roman" w:hAnsi="Times New Roman"/>
                <w:color w:val="000000"/>
                <w:shd w:fill="FFFFFF" w:val="clear"/>
                <w:lang w:val="uk-UA"/>
              </w:rPr>
              <w:t>Реконструкція комплексу КОС сприятиме поліпшенню якості очищення стічних вод, поліпшенню умов експлуатації об’єкта та якісного водовідведення. В ході реконструкції очікується зниження БСК₅ на 85–95%, що забезпечує суттєве зменшення забруднення стічних вод та зменшення екологічного навантаження на приймаючий водний об'єкт,  зменшення аварійних ситуацій на 60–80%, покращення якості послуг водовідведення для 100% підключеного населення</w:t>
            </w:r>
          </w:p>
        </w:tc>
      </w:tr>
      <w:tr>
        <w:trPr>
          <w:trHeight w:val="230" w:hRule="atLeast"/>
        </w:trPr>
        <w:tc>
          <w:tcPr>
            <w:tcW w:w="453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2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370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2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4160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480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26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cs="Times New Roman"/>
                <w:color w:val="000000"/>
                <w:sz w:val="22"/>
                <w:szCs w:val="22"/>
              </w:rPr>
              <w:t>2027</w:t>
            </w:r>
          </w:p>
        </w:tc>
        <w:tc>
          <w:tcPr>
            <w:tcW w:w="1179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5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cs="Times New Roman"/>
                <w:color w:val="000000"/>
                <w:sz w:val="22"/>
                <w:szCs w:val="22"/>
              </w:rPr>
              <w:t xml:space="preserve">24 832,0 </w:t>
            </w:r>
            <w:r>
              <w:rPr>
                <w:rFonts w:eastAsia="Calibri" w:cs="Times New Roman"/>
                <w:color w:val="000000"/>
                <w:sz w:val="22"/>
                <w:szCs w:val="22"/>
              </w:rPr>
              <w:t>– бюджет громади</w:t>
            </w:r>
          </w:p>
          <w:p>
            <w:pPr>
              <w:pStyle w:val="Normal"/>
              <w:widowControl w:val="false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cs="Times New Roman"/>
                <w:color w:val="000000"/>
                <w:sz w:val="22"/>
                <w:szCs w:val="22"/>
              </w:rPr>
              <w:t xml:space="preserve">130 368,0 </w:t>
            </w:r>
            <w:r>
              <w:rPr>
                <w:rFonts w:eastAsia="Calibri" w:cs="Times New Roman"/>
                <w:color w:val="000000"/>
                <w:sz w:val="22"/>
                <w:szCs w:val="22"/>
              </w:rPr>
              <w:t>– інші джерела (гранти, позики)</w:t>
            </w:r>
          </w:p>
        </w:tc>
        <w:tc>
          <w:tcPr>
            <w:tcW w:w="3635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2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/>
        <w:tc>
          <w:tcPr>
            <w:tcW w:w="453" w:type="dxa"/>
            <w:vMerge w:val="continue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370" w:type="dxa"/>
            <w:vMerge w:val="continue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4160" w:type="dxa"/>
            <w:vMerge w:val="continue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480" w:type="dxa"/>
            <w:vMerge w:val="continue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269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cs="Times New Roman"/>
                <w:color w:val="000000"/>
                <w:sz w:val="22"/>
                <w:szCs w:val="22"/>
              </w:rPr>
              <w:t>2028</w:t>
            </w:r>
          </w:p>
        </w:tc>
        <w:tc>
          <w:tcPr>
            <w:tcW w:w="1179" w:type="dxa"/>
            <w:vMerge w:val="continue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510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cs="Times New Roman"/>
                <w:color w:val="000000"/>
                <w:sz w:val="22"/>
                <w:szCs w:val="22"/>
              </w:rPr>
              <w:t xml:space="preserve">21 056,0 </w:t>
            </w:r>
            <w:r>
              <w:rPr>
                <w:rFonts w:eastAsia="Calibri" w:cs="Times New Roman"/>
                <w:color w:val="000000"/>
                <w:sz w:val="22"/>
                <w:szCs w:val="22"/>
              </w:rPr>
              <w:t>– бюджет громади</w:t>
            </w:r>
          </w:p>
          <w:p>
            <w:pPr>
              <w:pStyle w:val="Normal"/>
              <w:widowControl w:val="false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cs="Times New Roman"/>
                <w:color w:val="000000"/>
                <w:sz w:val="22"/>
                <w:szCs w:val="22"/>
              </w:rPr>
              <w:t xml:space="preserve">110 544,0 </w:t>
            </w:r>
            <w:r>
              <w:rPr>
                <w:rFonts w:eastAsia="Calibri" w:cs="Times New Roman"/>
                <w:color w:val="000000"/>
                <w:sz w:val="22"/>
                <w:szCs w:val="22"/>
              </w:rPr>
              <w:t>– інші джерела (гранти, позики)</w:t>
            </w:r>
          </w:p>
        </w:tc>
        <w:tc>
          <w:tcPr>
            <w:tcW w:w="3635" w:type="dxa"/>
            <w:vMerge w:val="continue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/>
        <w:tc>
          <w:tcPr>
            <w:tcW w:w="453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tyle21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cs="Times New Roman"/>
                <w:color w:val="000000"/>
                <w:sz w:val="22"/>
                <w:szCs w:val="22"/>
              </w:rPr>
              <w:t>3</w:t>
            </w:r>
          </w:p>
        </w:tc>
        <w:tc>
          <w:tcPr>
            <w:tcW w:w="1370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widowControl w:val="false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000000"/>
                <w:sz w:val="22"/>
                <w:szCs w:val="22"/>
              </w:rPr>
              <w:t>Сприяння впровадженню відновлювальних джерел енергії в громаді</w:t>
            </w:r>
          </w:p>
        </w:tc>
        <w:tc>
          <w:tcPr>
            <w:tcW w:w="4160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cs="Times New Roman"/>
                <w:color w:val="000000"/>
                <w:sz w:val="22"/>
                <w:szCs w:val="22"/>
              </w:rPr>
              <w:t>Популяризація енергоефективності і використання ВДЕ серед представників бізнесу, комерції, вищих навчальних закладів тощо</w:t>
            </w:r>
          </w:p>
          <w:p>
            <w:pPr>
              <w:pStyle w:val="Normal"/>
              <w:widowControl w:val="false"/>
              <w:rPr>
                <w:rFonts w:cs="Times New Roman"/>
                <w:color w:val="000000"/>
                <w:sz w:val="22"/>
                <w:szCs w:val="22"/>
                <w:shd w:fill="FFFF00" w:val="clear"/>
              </w:rPr>
            </w:pPr>
            <w:r>
              <w:rPr>
                <w:rFonts w:cs="Times New Roman"/>
                <w:color w:val="000000"/>
                <w:sz w:val="22"/>
                <w:szCs w:val="22"/>
                <w:shd w:fill="FFFF00" w:val="clear"/>
              </w:rPr>
            </w:r>
          </w:p>
        </w:tc>
        <w:tc>
          <w:tcPr>
            <w:tcW w:w="1480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cs="Times New Roman"/>
                <w:color w:val="000000"/>
                <w:sz w:val="22"/>
                <w:szCs w:val="22"/>
              </w:rPr>
              <w:t>Департамент економічної політики</w:t>
            </w:r>
          </w:p>
        </w:tc>
        <w:tc>
          <w:tcPr>
            <w:tcW w:w="126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cs="Times New Roman"/>
                <w:color w:val="000000"/>
                <w:sz w:val="22"/>
                <w:szCs w:val="22"/>
              </w:rPr>
              <w:t>2026</w:t>
            </w:r>
          </w:p>
        </w:tc>
        <w:tc>
          <w:tcPr>
            <w:tcW w:w="1179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tyle21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cs="Times New Roman"/>
                <w:color w:val="000000"/>
                <w:sz w:val="22"/>
                <w:szCs w:val="22"/>
              </w:rPr>
              <w:t>Бюджет ЛМТГ</w:t>
            </w:r>
          </w:p>
        </w:tc>
        <w:tc>
          <w:tcPr>
            <w:tcW w:w="15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cs="Times New Roman"/>
                <w:color w:val="000000"/>
                <w:sz w:val="22"/>
                <w:szCs w:val="22"/>
              </w:rPr>
              <w:t>30,0</w:t>
            </w:r>
          </w:p>
        </w:tc>
        <w:tc>
          <w:tcPr>
            <w:tcW w:w="3635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ind w:end="-28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cs="Times New Roman"/>
                <w:color w:val="000000"/>
                <w:sz w:val="22"/>
                <w:szCs w:val="22"/>
              </w:rPr>
              <w:t xml:space="preserve">Кількість проведених навчальних заходів для студентів, бізнесу тощо </w:t>
            </w:r>
            <w:r>
              <w:rPr>
                <w:rFonts w:cs="Times New Roman"/>
                <w:color w:val="000000"/>
                <w:sz w:val="22"/>
                <w:szCs w:val="22"/>
                <w:shd w:fill="FFFFFF" w:val="clear"/>
              </w:rPr>
              <w:t>–</w:t>
            </w:r>
            <w:r>
              <w:rPr>
                <w:rFonts w:cs="Times New Roman"/>
                <w:color w:val="000000"/>
                <w:sz w:val="22"/>
                <w:szCs w:val="22"/>
              </w:rPr>
              <w:t xml:space="preserve"> 5 .</w:t>
            </w:r>
          </w:p>
          <w:p>
            <w:pPr>
              <w:pStyle w:val="Normal"/>
              <w:widowControl w:val="false"/>
              <w:ind w:end="-28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cs="Times New Roman"/>
                <w:color w:val="000000"/>
                <w:sz w:val="22"/>
                <w:szCs w:val="22"/>
              </w:rPr>
              <w:t>Кількість встановлених СЕС серед представників бізнесу, комерції, вищих навчальних закладів тощо збільшиться на 51%.</w:t>
            </w:r>
          </w:p>
          <w:p>
            <w:pPr>
              <w:pStyle w:val="Normal"/>
              <w:widowControl w:val="false"/>
              <w:ind w:end="-28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cs="Times New Roman"/>
                <w:color w:val="000000"/>
                <w:sz w:val="22"/>
                <w:szCs w:val="22"/>
              </w:rPr>
              <w:t>Збільшення використання відновлюваних</w:t>
            </w:r>
          </w:p>
          <w:p>
            <w:pPr>
              <w:pStyle w:val="Normal"/>
              <w:widowControl w:val="false"/>
              <w:ind w:end="-28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cs="Times New Roman"/>
                <w:color w:val="000000"/>
                <w:sz w:val="22"/>
                <w:szCs w:val="22"/>
              </w:rPr>
              <w:t>джерел енергії надасть можливість</w:t>
            </w:r>
          </w:p>
          <w:p>
            <w:pPr>
              <w:pStyle w:val="Normal"/>
              <w:widowControl w:val="false"/>
              <w:ind w:end="-28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cs="Times New Roman"/>
                <w:color w:val="000000"/>
                <w:sz w:val="22"/>
                <w:szCs w:val="22"/>
              </w:rPr>
              <w:t>виконання найбільш важливих напрямів</w:t>
            </w:r>
          </w:p>
          <w:p>
            <w:pPr>
              <w:pStyle w:val="Normal"/>
              <w:widowControl w:val="false"/>
              <w:ind w:end="-28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cs="Times New Roman"/>
                <w:color w:val="000000"/>
                <w:sz w:val="22"/>
                <w:szCs w:val="22"/>
              </w:rPr>
              <w:t>енергетичної політики України,</w:t>
            </w:r>
          </w:p>
          <w:p>
            <w:pPr>
              <w:pStyle w:val="Normal"/>
              <w:widowControl w:val="false"/>
              <w:ind w:end="-28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cs="Times New Roman"/>
                <w:color w:val="000000"/>
                <w:sz w:val="22"/>
                <w:szCs w:val="22"/>
              </w:rPr>
              <w:t>спрямованої на заощадження</w:t>
            </w:r>
          </w:p>
          <w:p>
            <w:pPr>
              <w:pStyle w:val="Normal"/>
              <w:widowControl w:val="false"/>
              <w:ind w:end="-28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cs="Times New Roman"/>
                <w:color w:val="000000"/>
                <w:sz w:val="22"/>
                <w:szCs w:val="22"/>
              </w:rPr>
              <w:t>традиційних паливно-енергетичних</w:t>
            </w:r>
          </w:p>
          <w:p>
            <w:pPr>
              <w:pStyle w:val="Normal"/>
              <w:widowControl w:val="false"/>
              <w:ind w:end="-28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cs="Times New Roman"/>
                <w:color w:val="000000"/>
                <w:sz w:val="22"/>
                <w:szCs w:val="22"/>
              </w:rPr>
              <w:t>ресурсів, поліпшення стану</w:t>
            </w:r>
          </w:p>
          <w:p>
            <w:pPr>
              <w:pStyle w:val="Normal"/>
              <w:widowControl w:val="false"/>
              <w:ind w:end="-28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cs="Times New Roman"/>
                <w:color w:val="000000"/>
                <w:sz w:val="22"/>
                <w:szCs w:val="22"/>
              </w:rPr>
              <w:t>навколишнього природного середовища,</w:t>
            </w:r>
          </w:p>
          <w:p>
            <w:pPr>
              <w:pStyle w:val="Normal"/>
              <w:widowControl w:val="false"/>
              <w:ind w:end="-28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cs="Times New Roman"/>
                <w:color w:val="000000"/>
                <w:sz w:val="22"/>
                <w:szCs w:val="22"/>
              </w:rPr>
              <w:t>запобігання зміні клімату, забезпечення</w:t>
            </w:r>
          </w:p>
          <w:p>
            <w:pPr>
              <w:pStyle w:val="Normal"/>
              <w:widowControl w:val="false"/>
              <w:ind w:end="-28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cs="Times New Roman"/>
                <w:color w:val="000000"/>
                <w:sz w:val="22"/>
                <w:szCs w:val="22"/>
              </w:rPr>
              <w:t>енергетичної незалежності та</w:t>
            </w:r>
          </w:p>
          <w:p>
            <w:pPr>
              <w:pStyle w:val="Normal"/>
              <w:widowControl w:val="false"/>
              <w:ind w:end="-28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cs="Times New Roman"/>
                <w:color w:val="000000"/>
                <w:sz w:val="22"/>
                <w:szCs w:val="22"/>
              </w:rPr>
              <w:t>енергетичної безпеки держави.</w:t>
            </w:r>
          </w:p>
          <w:p>
            <w:pPr>
              <w:pStyle w:val="Normal"/>
              <w:widowControl w:val="false"/>
              <w:ind w:end="-28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cs="Times New Roman"/>
                <w:color w:val="000000"/>
                <w:sz w:val="22"/>
                <w:szCs w:val="22"/>
              </w:rPr>
              <w:t>Збільшення частки відновлюваних</w:t>
            </w:r>
          </w:p>
          <w:p>
            <w:pPr>
              <w:pStyle w:val="Normal"/>
              <w:widowControl w:val="false"/>
              <w:ind w:end="-28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cs="Times New Roman"/>
                <w:color w:val="000000"/>
                <w:sz w:val="22"/>
                <w:szCs w:val="22"/>
              </w:rPr>
              <w:t>джерел в енергетичному балансі України</w:t>
            </w:r>
          </w:p>
          <w:p>
            <w:pPr>
              <w:pStyle w:val="Normal"/>
              <w:widowControl w:val="false"/>
              <w:ind w:end="-28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cs="Times New Roman"/>
                <w:color w:val="000000"/>
                <w:sz w:val="22"/>
                <w:szCs w:val="22"/>
              </w:rPr>
              <w:t>сприятиме процесу декарбонізації</w:t>
            </w:r>
          </w:p>
          <w:p>
            <w:pPr>
              <w:pStyle w:val="Normal"/>
              <w:widowControl w:val="false"/>
              <w:ind w:end="-28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cs="Times New Roman"/>
                <w:color w:val="000000"/>
                <w:sz w:val="22"/>
                <w:szCs w:val="22"/>
              </w:rPr>
              <w:t>економіки, необхідному для виконання</w:t>
            </w:r>
          </w:p>
          <w:p>
            <w:pPr>
              <w:pStyle w:val="Normal"/>
              <w:widowControl w:val="false"/>
              <w:ind w:end="-28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cs="Times New Roman"/>
                <w:color w:val="000000"/>
                <w:sz w:val="22"/>
                <w:szCs w:val="22"/>
              </w:rPr>
              <w:t>міжнародних зобов’язань України щодо</w:t>
            </w:r>
          </w:p>
          <w:p>
            <w:pPr>
              <w:pStyle w:val="Normal"/>
              <w:widowControl w:val="false"/>
              <w:ind w:end="-28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cs="Times New Roman"/>
                <w:color w:val="000000"/>
                <w:sz w:val="22"/>
                <w:szCs w:val="22"/>
              </w:rPr>
              <w:t>скорочення викидів парникових газів</w:t>
            </w:r>
          </w:p>
        </w:tc>
      </w:tr>
      <w:tr>
        <w:trPr/>
        <w:tc>
          <w:tcPr>
            <w:tcW w:w="453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370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4160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480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26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cs="Times New Roman"/>
                <w:color w:val="000000"/>
                <w:sz w:val="22"/>
                <w:szCs w:val="22"/>
              </w:rPr>
              <w:t>2027</w:t>
            </w:r>
          </w:p>
        </w:tc>
        <w:tc>
          <w:tcPr>
            <w:tcW w:w="1179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5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cs="Times New Roman"/>
                <w:color w:val="000000"/>
                <w:sz w:val="22"/>
                <w:szCs w:val="22"/>
              </w:rPr>
              <w:t>30,0</w:t>
            </w:r>
          </w:p>
        </w:tc>
        <w:tc>
          <w:tcPr>
            <w:tcW w:w="3635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/>
        <w:tc>
          <w:tcPr>
            <w:tcW w:w="453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370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4160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480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26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cs="Times New Roman"/>
                <w:color w:val="000000"/>
                <w:sz w:val="22"/>
                <w:szCs w:val="22"/>
              </w:rPr>
              <w:t>2028</w:t>
            </w:r>
          </w:p>
        </w:tc>
        <w:tc>
          <w:tcPr>
            <w:tcW w:w="1179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5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cs="Times New Roman"/>
                <w:color w:val="000000"/>
                <w:sz w:val="22"/>
                <w:szCs w:val="22"/>
              </w:rPr>
              <w:t>24,0</w:t>
            </w:r>
          </w:p>
        </w:tc>
        <w:tc>
          <w:tcPr>
            <w:tcW w:w="3635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/>
        <w:tc>
          <w:tcPr>
            <w:tcW w:w="453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370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4160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480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26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cs="Times New Roman"/>
                <w:color w:val="000000"/>
                <w:sz w:val="22"/>
                <w:szCs w:val="22"/>
              </w:rPr>
              <w:t>2029</w:t>
            </w:r>
          </w:p>
        </w:tc>
        <w:tc>
          <w:tcPr>
            <w:tcW w:w="1179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5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cs="Times New Roman"/>
                <w:color w:val="000000"/>
                <w:sz w:val="22"/>
                <w:szCs w:val="22"/>
              </w:rPr>
              <w:t>33,0</w:t>
            </w:r>
          </w:p>
        </w:tc>
        <w:tc>
          <w:tcPr>
            <w:tcW w:w="3635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/>
        <w:tc>
          <w:tcPr>
            <w:tcW w:w="453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370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4160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480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26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cs="Times New Roman"/>
                <w:color w:val="000000"/>
                <w:sz w:val="22"/>
                <w:szCs w:val="22"/>
              </w:rPr>
              <w:t>2030</w:t>
            </w:r>
          </w:p>
        </w:tc>
        <w:tc>
          <w:tcPr>
            <w:tcW w:w="1179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5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cs="Times New Roman"/>
                <w:color w:val="000000"/>
                <w:sz w:val="22"/>
                <w:szCs w:val="22"/>
              </w:rPr>
              <w:t>30,0</w:t>
            </w:r>
          </w:p>
        </w:tc>
        <w:tc>
          <w:tcPr>
            <w:tcW w:w="3635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/>
        <w:tc>
          <w:tcPr>
            <w:tcW w:w="453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tyle21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cs="Times New Roman"/>
                <w:color w:val="000000"/>
                <w:sz w:val="22"/>
                <w:szCs w:val="22"/>
              </w:rPr>
              <w:t>4</w:t>
            </w:r>
          </w:p>
        </w:tc>
        <w:tc>
          <w:tcPr>
            <w:tcW w:w="1370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cs="Times New Roman"/>
                <w:color w:val="000000"/>
                <w:sz w:val="22"/>
                <w:szCs w:val="22"/>
              </w:rPr>
              <w:t>Будівництво сучасних енергоефективних житлових комплексів, підвищення доступності житла та якості житлового забезпечення</w:t>
            </w:r>
          </w:p>
        </w:tc>
        <w:tc>
          <w:tcPr>
            <w:tcW w:w="4160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cs="Times New Roman"/>
                <w:color w:val="000000"/>
                <w:sz w:val="22"/>
                <w:szCs w:val="22"/>
              </w:rPr>
              <w:t>Термомодернізація (пакет Б) та виконання окремих енергоефективних заходів (Пакет А) у житлових багатоквартирних будинках ОСББ за державною програмою «Енергодім»,  встановлення СЕС та теплових насосів за державною програмою «Гріндім»; надання фінансової підтримки та відшкодування частини суми кредитів для ОСББ з бюджету Луцької міської територіальної громади</w:t>
            </w:r>
          </w:p>
        </w:tc>
        <w:tc>
          <w:tcPr>
            <w:tcW w:w="1480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cs="Times New Roman"/>
                <w:color w:val="000000"/>
                <w:sz w:val="22"/>
                <w:szCs w:val="22"/>
              </w:rPr>
              <w:t>Департамент житлово-комунального господарства</w:t>
            </w:r>
          </w:p>
        </w:tc>
        <w:tc>
          <w:tcPr>
            <w:tcW w:w="126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cs="Times New Roman"/>
                <w:color w:val="000000"/>
                <w:sz w:val="22"/>
                <w:szCs w:val="22"/>
              </w:rPr>
              <w:t>2026</w:t>
            </w:r>
          </w:p>
        </w:tc>
        <w:tc>
          <w:tcPr>
            <w:tcW w:w="1179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tyle21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cs="Times New Roman"/>
                <w:color w:val="000000"/>
                <w:sz w:val="22"/>
                <w:szCs w:val="22"/>
              </w:rPr>
              <w:t xml:space="preserve">Бюджет ЛМТГ, інші джерела (кошти ОСББ) </w:t>
            </w:r>
            <w:r>
              <w:rPr>
                <w:rFonts w:eastAsia="Times New Roman" w:cs="Times New Roman"/>
                <w:color w:val="000000"/>
                <w:sz w:val="22"/>
                <w:szCs w:val="22"/>
                <w:lang w:val="ru-RU"/>
              </w:rPr>
              <w:t xml:space="preserve"> державний бюджет</w:t>
            </w:r>
          </w:p>
        </w:tc>
        <w:tc>
          <w:tcPr>
            <w:tcW w:w="15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cs="Times New Roman"/>
                <w:color w:val="000000"/>
                <w:sz w:val="22"/>
                <w:szCs w:val="22"/>
              </w:rPr>
              <w:t xml:space="preserve">50 000,0 </w:t>
            </w:r>
            <w:r>
              <w:rPr>
                <w:rFonts w:eastAsia="Calibri" w:cs="Times New Roman"/>
                <w:color w:val="000000"/>
                <w:sz w:val="22"/>
                <w:szCs w:val="22"/>
              </w:rPr>
              <w:t>– бюджет громади</w:t>
            </w:r>
          </w:p>
          <w:p>
            <w:pPr>
              <w:pStyle w:val="Normal"/>
              <w:widowControl w:val="false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eastAsia="Calibri" w:cs="Times New Roman"/>
                <w:color w:val="000000"/>
                <w:sz w:val="22"/>
                <w:szCs w:val="22"/>
              </w:rPr>
              <w:t>100 000 – інші джерела (кошти ОСББ)</w:t>
            </w:r>
          </w:p>
          <w:p>
            <w:pPr>
              <w:pStyle w:val="Normal"/>
              <w:widowControl w:val="false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cs="Times New Roman"/>
                <w:color w:val="000000"/>
                <w:sz w:val="22"/>
                <w:szCs w:val="22"/>
              </w:rPr>
              <w:t xml:space="preserve">350 000,0 </w:t>
            </w:r>
            <w:r>
              <w:rPr>
                <w:rFonts w:eastAsia="Calibri" w:cs="Times New Roman"/>
                <w:color w:val="000000"/>
                <w:sz w:val="22"/>
                <w:szCs w:val="22"/>
              </w:rPr>
              <w:t xml:space="preserve">– </w:t>
            </w:r>
            <w:r>
              <w:rPr>
                <w:rFonts w:eastAsia="Times New Roman" w:cs="Times New Roman"/>
                <w:color w:val="000000"/>
                <w:sz w:val="22"/>
                <w:szCs w:val="22"/>
                <w:lang w:val="ru-RU"/>
              </w:rPr>
              <w:t>державний бюджет</w:t>
            </w:r>
          </w:p>
        </w:tc>
        <w:tc>
          <w:tcPr>
            <w:tcW w:w="3635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cs="Times New Roman"/>
                <w:color w:val="000000"/>
                <w:sz w:val="22"/>
                <w:szCs w:val="22"/>
                <w:lang w:eastAsia="ru-RU"/>
              </w:rPr>
              <w:t xml:space="preserve">Зменшення споживання енергоресурсів, популяризація функціонування ОСББ, переваги ефективного власника житла, покращення стану житлового фонду громади </w:t>
            </w:r>
          </w:p>
          <w:p>
            <w:pPr>
              <w:pStyle w:val="Normal"/>
              <w:widowControl w:val="false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cs="Times New Roman"/>
                <w:color w:val="000000"/>
                <w:sz w:val="22"/>
                <w:szCs w:val="22"/>
                <w:lang w:eastAsia="ru-RU"/>
              </w:rPr>
              <w:t>(кількість ОСББ до 2030 року – 55)</w:t>
            </w:r>
          </w:p>
        </w:tc>
      </w:tr>
      <w:tr>
        <w:trPr/>
        <w:tc>
          <w:tcPr>
            <w:tcW w:w="453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370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4160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480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26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cs="Times New Roman"/>
                <w:color w:val="000000"/>
                <w:sz w:val="22"/>
                <w:szCs w:val="22"/>
              </w:rPr>
              <w:t>2027</w:t>
            </w:r>
          </w:p>
        </w:tc>
        <w:tc>
          <w:tcPr>
            <w:tcW w:w="1179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5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cs="Times New Roman"/>
                <w:color w:val="000000"/>
                <w:sz w:val="22"/>
                <w:szCs w:val="22"/>
              </w:rPr>
              <w:t xml:space="preserve">50 052,0 </w:t>
            </w:r>
            <w:r>
              <w:rPr>
                <w:rFonts w:eastAsia="Calibri" w:cs="Times New Roman"/>
                <w:color w:val="000000"/>
                <w:sz w:val="22"/>
                <w:szCs w:val="22"/>
              </w:rPr>
              <w:t>– бюджет громади</w:t>
            </w:r>
          </w:p>
          <w:p>
            <w:pPr>
              <w:pStyle w:val="Normal"/>
              <w:widowControl w:val="false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eastAsia="Calibri" w:cs="Times New Roman"/>
                <w:color w:val="000000"/>
                <w:sz w:val="22"/>
                <w:szCs w:val="22"/>
              </w:rPr>
              <w:t>100 104 – інші джерела (кошти ОСББ)</w:t>
            </w:r>
          </w:p>
          <w:p>
            <w:pPr>
              <w:pStyle w:val="Normal"/>
              <w:widowControl w:val="false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sz w:val="22"/>
                <w:szCs w:val="22"/>
              </w:rPr>
              <w:t>350 364,0</w:t>
            </w:r>
            <w:r>
              <w:rPr>
                <w:rFonts w:eastAsia="Times New Roman" w:cs="Times New Roman"/>
                <w:color w:val="000000"/>
                <w:sz w:val="22"/>
                <w:szCs w:val="22"/>
                <w:lang w:val="ru-RU"/>
              </w:rPr>
              <w:t xml:space="preserve"> </w:t>
            </w:r>
            <w:r>
              <w:rPr>
                <w:rFonts w:eastAsia="Calibri" w:cs="Times New Roman"/>
                <w:color w:val="000000"/>
                <w:sz w:val="22"/>
                <w:szCs w:val="22"/>
                <w:lang w:val="ru-RU"/>
              </w:rPr>
              <w:t xml:space="preserve">– </w:t>
            </w:r>
            <w:r>
              <w:rPr>
                <w:rFonts w:eastAsia="Times New Roman" w:cs="Times New Roman"/>
                <w:color w:val="000000"/>
                <w:sz w:val="22"/>
                <w:szCs w:val="22"/>
                <w:lang w:val="ru-RU"/>
              </w:rPr>
              <w:t>державний бюджет</w:t>
            </w:r>
          </w:p>
        </w:tc>
        <w:tc>
          <w:tcPr>
            <w:tcW w:w="3635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/>
        <w:tc>
          <w:tcPr>
            <w:tcW w:w="453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370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4160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480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26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cs="Times New Roman"/>
                <w:color w:val="000000"/>
                <w:sz w:val="22"/>
                <w:szCs w:val="22"/>
              </w:rPr>
              <w:t>2028</w:t>
            </w:r>
          </w:p>
        </w:tc>
        <w:tc>
          <w:tcPr>
            <w:tcW w:w="1179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5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cs="Times New Roman"/>
                <w:color w:val="000000"/>
                <w:sz w:val="22"/>
                <w:szCs w:val="22"/>
              </w:rPr>
              <w:t xml:space="preserve">50 000,0 </w:t>
            </w:r>
            <w:r>
              <w:rPr>
                <w:rFonts w:eastAsia="Calibri" w:cs="Times New Roman"/>
                <w:color w:val="000000"/>
                <w:sz w:val="22"/>
                <w:szCs w:val="22"/>
              </w:rPr>
              <w:t>– бюджет громади</w:t>
            </w:r>
          </w:p>
          <w:p>
            <w:pPr>
              <w:pStyle w:val="Normal"/>
              <w:widowControl w:val="false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eastAsia="Calibri" w:cs="Times New Roman"/>
                <w:color w:val="000000"/>
                <w:sz w:val="22"/>
                <w:szCs w:val="22"/>
              </w:rPr>
              <w:t>100 000 – інші джерела (кошти ОСББ)</w:t>
            </w:r>
          </w:p>
          <w:p>
            <w:pPr>
              <w:pStyle w:val="Normal"/>
              <w:widowControl w:val="false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sz w:val="22"/>
                <w:szCs w:val="22"/>
                <w:lang w:val="ru-RU"/>
              </w:rPr>
              <w:t xml:space="preserve">350 000,0 </w:t>
            </w:r>
            <w:r>
              <w:rPr>
                <w:rFonts w:eastAsia="Calibri" w:cs="Times New Roman"/>
                <w:color w:val="000000"/>
                <w:sz w:val="22"/>
                <w:szCs w:val="22"/>
                <w:lang w:val="ru-RU"/>
              </w:rPr>
              <w:t xml:space="preserve">– </w:t>
            </w:r>
            <w:r>
              <w:rPr>
                <w:rFonts w:eastAsia="Times New Roman" w:cs="Times New Roman"/>
                <w:color w:val="000000"/>
                <w:sz w:val="22"/>
                <w:szCs w:val="22"/>
                <w:lang w:val="ru-RU"/>
              </w:rPr>
              <w:t>державний бюджет</w:t>
            </w:r>
          </w:p>
        </w:tc>
        <w:tc>
          <w:tcPr>
            <w:tcW w:w="3635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/>
        <w:tc>
          <w:tcPr>
            <w:tcW w:w="453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370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4160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480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26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cs="Times New Roman"/>
                <w:color w:val="000000"/>
                <w:sz w:val="22"/>
                <w:szCs w:val="22"/>
              </w:rPr>
              <w:t>2029</w:t>
            </w:r>
          </w:p>
        </w:tc>
        <w:tc>
          <w:tcPr>
            <w:tcW w:w="1179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5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cs="Times New Roman"/>
                <w:color w:val="000000"/>
                <w:sz w:val="22"/>
                <w:szCs w:val="22"/>
              </w:rPr>
              <w:t xml:space="preserve">50 052,0 </w:t>
            </w:r>
            <w:r>
              <w:rPr>
                <w:rFonts w:eastAsia="Calibri" w:cs="Times New Roman"/>
                <w:color w:val="000000"/>
                <w:sz w:val="22"/>
                <w:szCs w:val="22"/>
              </w:rPr>
              <w:t>– бюджет громади</w:t>
            </w:r>
          </w:p>
          <w:p>
            <w:pPr>
              <w:pStyle w:val="Normal"/>
              <w:widowControl w:val="false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eastAsia="Calibri" w:cs="Times New Roman"/>
                <w:color w:val="000000"/>
                <w:sz w:val="22"/>
                <w:szCs w:val="22"/>
              </w:rPr>
              <w:t>100 104 – інші джерела (кошти ОСББ)</w:t>
            </w:r>
          </w:p>
          <w:p>
            <w:pPr>
              <w:pStyle w:val="Normal"/>
              <w:widowControl w:val="false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sz w:val="22"/>
                <w:szCs w:val="22"/>
              </w:rPr>
              <w:t>350 364,0</w:t>
            </w:r>
            <w:r>
              <w:rPr>
                <w:rFonts w:eastAsia="Times New Roman" w:cs="Times New Roman"/>
                <w:color w:val="000000"/>
                <w:sz w:val="22"/>
                <w:szCs w:val="22"/>
                <w:lang w:val="ru-RU"/>
              </w:rPr>
              <w:t xml:space="preserve"> </w:t>
            </w:r>
            <w:r>
              <w:rPr>
                <w:rFonts w:eastAsia="Calibri" w:cs="Times New Roman"/>
                <w:color w:val="000000"/>
                <w:sz w:val="22"/>
                <w:szCs w:val="22"/>
                <w:lang w:val="ru-RU"/>
              </w:rPr>
              <w:t xml:space="preserve">– </w:t>
            </w:r>
            <w:r>
              <w:rPr>
                <w:rFonts w:eastAsia="Times New Roman" w:cs="Times New Roman"/>
                <w:color w:val="000000"/>
                <w:sz w:val="22"/>
                <w:szCs w:val="22"/>
                <w:lang w:val="ru-RU"/>
              </w:rPr>
              <w:t>державний бюджет</w:t>
            </w:r>
          </w:p>
        </w:tc>
        <w:tc>
          <w:tcPr>
            <w:tcW w:w="3635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/>
        <w:tc>
          <w:tcPr>
            <w:tcW w:w="453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370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4160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480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26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cs="Times New Roman"/>
                <w:color w:val="000000"/>
                <w:sz w:val="22"/>
                <w:szCs w:val="22"/>
              </w:rPr>
              <w:t>2030</w:t>
            </w:r>
          </w:p>
        </w:tc>
        <w:tc>
          <w:tcPr>
            <w:tcW w:w="1179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5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cs="Times New Roman"/>
                <w:color w:val="000000"/>
                <w:sz w:val="22"/>
                <w:szCs w:val="22"/>
              </w:rPr>
              <w:t xml:space="preserve">50 156,0 </w:t>
            </w:r>
            <w:r>
              <w:rPr>
                <w:rFonts w:eastAsia="Calibri" w:cs="Times New Roman"/>
                <w:color w:val="000000"/>
                <w:sz w:val="22"/>
                <w:szCs w:val="22"/>
              </w:rPr>
              <w:t>– бюджет громади</w:t>
            </w:r>
          </w:p>
          <w:p>
            <w:pPr>
              <w:pStyle w:val="Normal"/>
              <w:widowControl w:val="false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eastAsia="Calibri" w:cs="Times New Roman"/>
                <w:color w:val="000000"/>
                <w:sz w:val="22"/>
                <w:szCs w:val="22"/>
              </w:rPr>
              <w:t>100 312 – інші джерела (кошти ОСББ)</w:t>
            </w:r>
          </w:p>
          <w:p>
            <w:pPr>
              <w:pStyle w:val="Normal"/>
              <w:widowControl w:val="false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sz w:val="22"/>
                <w:szCs w:val="22"/>
              </w:rPr>
              <w:t>351 092,0</w:t>
            </w:r>
            <w:r>
              <w:rPr>
                <w:rFonts w:eastAsia="Times New Roman" w:cs="Times New Roman"/>
                <w:color w:val="000000"/>
                <w:sz w:val="22"/>
                <w:szCs w:val="22"/>
                <w:lang w:val="ru-RU"/>
              </w:rPr>
              <w:t xml:space="preserve"> </w:t>
            </w:r>
            <w:r>
              <w:rPr>
                <w:rFonts w:eastAsia="Calibri" w:cs="Times New Roman"/>
                <w:color w:val="000000"/>
                <w:sz w:val="22"/>
                <w:szCs w:val="22"/>
                <w:lang w:val="ru-RU"/>
              </w:rPr>
              <w:t xml:space="preserve">– </w:t>
            </w:r>
            <w:r>
              <w:rPr>
                <w:rFonts w:eastAsia="Times New Roman" w:cs="Times New Roman"/>
                <w:color w:val="000000"/>
                <w:sz w:val="22"/>
                <w:szCs w:val="22"/>
                <w:lang w:val="ru-RU"/>
              </w:rPr>
              <w:t>державний бюджет</w:t>
            </w:r>
          </w:p>
        </w:tc>
        <w:tc>
          <w:tcPr>
            <w:tcW w:w="3635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/>
        <w:tc>
          <w:tcPr>
            <w:tcW w:w="453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tyle21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cs="Times New Roman"/>
                <w:color w:val="000000"/>
                <w:sz w:val="22"/>
                <w:szCs w:val="22"/>
              </w:rPr>
              <w:t>5</w:t>
            </w:r>
          </w:p>
        </w:tc>
        <w:tc>
          <w:tcPr>
            <w:tcW w:w="1370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widowControl w:val="false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000000"/>
                <w:sz w:val="22"/>
                <w:szCs w:val="22"/>
              </w:rPr>
              <w:t>Удоскона-лення та оновлення транспортної та пішохідної інфраструк-тури</w:t>
            </w:r>
          </w:p>
        </w:tc>
        <w:tc>
          <w:tcPr>
            <w:tcW w:w="4160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cs="Times New Roman"/>
                <w:color w:val="000000"/>
                <w:sz w:val="22"/>
                <w:szCs w:val="22"/>
              </w:rPr>
              <w:t xml:space="preserve">Оновлення авто та спецтранспорту </w:t>
            </w:r>
          </w:p>
          <w:p>
            <w:pPr>
              <w:pStyle w:val="Normal"/>
              <w:widowControl w:val="false"/>
              <w:jc w:val="both"/>
              <w:rPr>
                <w:color w:val="000000"/>
                <w:sz w:val="22"/>
                <w:szCs w:val="22"/>
              </w:rPr>
            </w:pPr>
            <w:r>
              <w:rPr>
                <w:rFonts w:cs="Times New Roman"/>
                <w:color w:val="000000"/>
                <w:sz w:val="22"/>
                <w:szCs w:val="22"/>
              </w:rPr>
              <w:t xml:space="preserve">КП «Луцькводоканал» (придбання </w:t>
            </w:r>
            <w:r>
              <w:rPr>
                <w:rFonts w:cs="Times New Roman"/>
                <w:bCs w:val="false"/>
                <w:iCs/>
                <w:color w:val="000000"/>
                <w:sz w:val="22"/>
                <w:szCs w:val="22"/>
              </w:rPr>
              <w:t xml:space="preserve">ремонтної майстерні-фургону – 2 шт., самоскиду – 1 шт., </w:t>
            </w:r>
            <w:r>
              <w:rPr>
                <w:rFonts w:cs="Times New Roman"/>
                <w:bCs w:val="false"/>
                <w:color w:val="000000"/>
                <w:sz w:val="22"/>
                <w:szCs w:val="22"/>
              </w:rPr>
              <w:t xml:space="preserve">автокрану – 1 шт., </w:t>
            </w:r>
            <w:r>
              <w:rPr>
                <w:rFonts w:cs="Times New Roman"/>
                <w:bCs w:val="false"/>
                <w:iCs/>
                <w:color w:val="000000"/>
                <w:sz w:val="22"/>
                <w:szCs w:val="22"/>
              </w:rPr>
              <w:t>RENAULT (модель</w:t>
            </w:r>
            <w:r>
              <w:rPr>
                <w:rFonts w:cs="Times New Roman"/>
                <w:bCs w:val="false"/>
                <w:color w:val="000000"/>
                <w:sz w:val="22"/>
                <w:szCs w:val="22"/>
              </w:rPr>
              <w:t xml:space="preserve"> </w:t>
            </w:r>
            <w:r>
              <w:rPr>
                <w:rFonts w:cs="Times New Roman"/>
                <w:bCs w:val="false"/>
                <w:color w:val="000000"/>
                <w:sz w:val="22"/>
                <w:szCs w:val="22"/>
                <w:lang w:val="en-US"/>
              </w:rPr>
              <w:t>DOKER</w:t>
            </w:r>
            <w:r>
              <w:rPr>
                <w:rFonts w:cs="Times New Roman"/>
                <w:bCs w:val="false"/>
                <w:color w:val="000000"/>
                <w:sz w:val="22"/>
                <w:szCs w:val="22"/>
              </w:rPr>
              <w:t xml:space="preserve">) – 2 шт., каналопромивочного автомобіля 1 шт, самоскида вантажопідйомністю 20 т – 1 шт., </w:t>
            </w:r>
            <w:r>
              <w:rPr>
                <w:color w:val="000000"/>
                <w:sz w:val="22"/>
                <w:szCs w:val="22"/>
              </w:rPr>
              <w:t>спецавтомобіль з вантажним бортом для аварійно-відбудовної бригади – 1 шт.</w:t>
            </w:r>
            <w:r>
              <w:rPr>
                <w:rFonts w:cs="Times New Roman"/>
                <w:bCs w:val="false"/>
                <w:color w:val="000000"/>
                <w:sz w:val="22"/>
                <w:szCs w:val="22"/>
              </w:rPr>
              <w:t>)</w:t>
            </w:r>
          </w:p>
        </w:tc>
        <w:tc>
          <w:tcPr>
            <w:tcW w:w="1480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cs="Times New Roman"/>
                <w:color w:val="000000"/>
                <w:sz w:val="22"/>
                <w:szCs w:val="22"/>
              </w:rPr>
              <w:t>КП «Луцькводо-канал»</w:t>
            </w:r>
          </w:p>
        </w:tc>
        <w:tc>
          <w:tcPr>
            <w:tcW w:w="126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cs="Times New Roman"/>
                <w:color w:val="000000"/>
                <w:sz w:val="22"/>
                <w:szCs w:val="22"/>
              </w:rPr>
              <w:t>2026</w:t>
            </w:r>
          </w:p>
        </w:tc>
        <w:tc>
          <w:tcPr>
            <w:tcW w:w="1179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tyle21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cs="Times New Roman"/>
                <w:color w:val="000000"/>
                <w:sz w:val="22"/>
                <w:szCs w:val="22"/>
              </w:rPr>
              <w:t>Бюджет ЛМТГ, кошти КП «Луцьк-водоканал» інші джерела (гранти, позики)</w:t>
            </w:r>
          </w:p>
        </w:tc>
        <w:tc>
          <w:tcPr>
            <w:tcW w:w="15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cs="Times New Roman"/>
                <w:color w:val="000000"/>
                <w:sz w:val="22"/>
                <w:szCs w:val="22"/>
              </w:rPr>
              <w:t xml:space="preserve">1 500,0 </w:t>
            </w:r>
            <w:r>
              <w:rPr>
                <w:rFonts w:eastAsia="Calibri" w:cs="Times New Roman"/>
                <w:color w:val="000000"/>
                <w:sz w:val="22"/>
                <w:szCs w:val="22"/>
              </w:rPr>
              <w:t>– бюджет громади</w:t>
            </w:r>
          </w:p>
          <w:p>
            <w:pPr>
              <w:pStyle w:val="Normal"/>
              <w:widowControl w:val="false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eastAsia="Calibri" w:cs="Times New Roman"/>
                <w:color w:val="000000"/>
                <w:sz w:val="22"/>
                <w:szCs w:val="22"/>
              </w:rPr>
              <w:t>13 500,0 – інші джерела (гранти, позики)</w:t>
            </w:r>
          </w:p>
        </w:tc>
        <w:tc>
          <w:tcPr>
            <w:tcW w:w="3635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ind w:end="-28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cs="Times New Roman"/>
                <w:color w:val="000000"/>
                <w:sz w:val="22"/>
                <w:szCs w:val="22"/>
              </w:rPr>
              <w:t>Покращення стану муніципального транспорту у громаді</w:t>
            </w:r>
          </w:p>
          <w:p>
            <w:pPr>
              <w:pStyle w:val="Normal"/>
              <w:widowControl w:val="false"/>
              <w:ind w:end="-28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cs="Times New Roman"/>
                <w:color w:val="000000"/>
                <w:sz w:val="22"/>
                <w:szCs w:val="22"/>
              </w:rPr>
              <w:t>(наявність спецтранспорту – 51 од. планується закупити – 9 од.)</w:t>
            </w:r>
          </w:p>
          <w:p>
            <w:pPr>
              <w:pStyle w:val="Normal"/>
              <w:widowControl w:val="false"/>
              <w:ind w:end="-28"/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>
              <w:rPr>
                <w:rFonts w:cs="Times New Roman"/>
                <w:color w:val="000000"/>
                <w:sz w:val="22"/>
                <w:szCs w:val="22"/>
              </w:rPr>
            </w:r>
          </w:p>
          <w:p>
            <w:pPr>
              <w:pStyle w:val="Normal"/>
              <w:widowControl w:val="false"/>
              <w:ind w:end="-28"/>
              <w:jc w:val="center"/>
              <w:rPr>
                <w:rFonts w:cs="Times New Roman"/>
                <w:color w:val="000000"/>
                <w:sz w:val="22"/>
                <w:szCs w:val="22"/>
                <w:shd w:fill="FFFF00" w:val="clear"/>
              </w:rPr>
            </w:pPr>
            <w:r>
              <w:rPr>
                <w:rFonts w:cs="Times New Roman"/>
                <w:color w:val="000000"/>
                <w:sz w:val="22"/>
                <w:szCs w:val="22"/>
                <w:shd w:fill="FFFF00" w:val="clear"/>
              </w:rPr>
            </w:r>
          </w:p>
        </w:tc>
      </w:tr>
      <w:tr>
        <w:trPr/>
        <w:tc>
          <w:tcPr>
            <w:tcW w:w="453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370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4160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480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26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cs="Times New Roman"/>
                <w:color w:val="000000"/>
                <w:sz w:val="22"/>
                <w:szCs w:val="22"/>
              </w:rPr>
              <w:t>2027</w:t>
            </w:r>
          </w:p>
        </w:tc>
        <w:tc>
          <w:tcPr>
            <w:tcW w:w="1179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5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cs="Times New Roman"/>
                <w:color w:val="000000"/>
                <w:sz w:val="22"/>
                <w:szCs w:val="22"/>
              </w:rPr>
              <w:t xml:space="preserve">300,0 </w:t>
            </w:r>
            <w:r>
              <w:rPr>
                <w:rFonts w:eastAsia="Calibri" w:cs="Times New Roman"/>
                <w:color w:val="000000"/>
                <w:sz w:val="22"/>
                <w:szCs w:val="22"/>
              </w:rPr>
              <w:t>– бюджет громади</w:t>
            </w:r>
          </w:p>
          <w:p>
            <w:pPr>
              <w:pStyle w:val="Normal"/>
              <w:widowControl w:val="false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eastAsia="Calibri" w:cs="Times New Roman"/>
                <w:color w:val="000000"/>
                <w:sz w:val="22"/>
                <w:szCs w:val="22"/>
              </w:rPr>
              <w:t>2 700,0 – інші джерела (гранти, позики)</w:t>
            </w:r>
          </w:p>
        </w:tc>
        <w:tc>
          <w:tcPr>
            <w:tcW w:w="3635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/>
        <w:tc>
          <w:tcPr>
            <w:tcW w:w="453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370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4160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480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26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cs="Times New Roman"/>
                <w:color w:val="000000"/>
                <w:sz w:val="22"/>
                <w:szCs w:val="22"/>
              </w:rPr>
              <w:t>2028</w:t>
            </w:r>
          </w:p>
        </w:tc>
        <w:tc>
          <w:tcPr>
            <w:tcW w:w="1179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5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cs="Times New Roman"/>
                <w:color w:val="000000"/>
                <w:sz w:val="22"/>
                <w:szCs w:val="22"/>
              </w:rPr>
              <w:t xml:space="preserve">300,0 </w:t>
            </w:r>
            <w:r>
              <w:rPr>
                <w:rFonts w:eastAsia="Calibri" w:cs="Times New Roman"/>
                <w:color w:val="000000"/>
                <w:sz w:val="22"/>
                <w:szCs w:val="22"/>
              </w:rPr>
              <w:t>– бюджет громади</w:t>
            </w:r>
          </w:p>
          <w:p>
            <w:pPr>
              <w:pStyle w:val="Normal"/>
              <w:widowControl w:val="false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eastAsia="Calibri" w:cs="Times New Roman"/>
                <w:color w:val="000000"/>
                <w:sz w:val="22"/>
                <w:szCs w:val="22"/>
              </w:rPr>
              <w:t>2 700,0 – інші джерела (гранти, позики)</w:t>
            </w:r>
          </w:p>
        </w:tc>
        <w:tc>
          <w:tcPr>
            <w:tcW w:w="3635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/>
        <w:tc>
          <w:tcPr>
            <w:tcW w:w="453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370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4160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480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26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cs="Times New Roman"/>
                <w:color w:val="000000"/>
                <w:sz w:val="22"/>
                <w:szCs w:val="22"/>
              </w:rPr>
              <w:t>2029</w:t>
            </w:r>
          </w:p>
        </w:tc>
        <w:tc>
          <w:tcPr>
            <w:tcW w:w="1179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5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cs="Times New Roman"/>
                <w:color w:val="000000"/>
                <w:sz w:val="22"/>
                <w:szCs w:val="22"/>
              </w:rPr>
              <w:t xml:space="preserve">300,0 </w:t>
            </w:r>
            <w:r>
              <w:rPr>
                <w:rFonts w:eastAsia="Calibri" w:cs="Times New Roman"/>
                <w:color w:val="000000"/>
                <w:sz w:val="22"/>
                <w:szCs w:val="22"/>
              </w:rPr>
              <w:t>– бюджет громади</w:t>
            </w:r>
          </w:p>
          <w:p>
            <w:pPr>
              <w:pStyle w:val="Normal"/>
              <w:widowControl w:val="false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eastAsia="Calibri" w:cs="Times New Roman"/>
                <w:color w:val="000000"/>
                <w:sz w:val="22"/>
                <w:szCs w:val="22"/>
              </w:rPr>
              <w:t>2 700,0 – інші джерела (гранти, позики)</w:t>
            </w:r>
          </w:p>
        </w:tc>
        <w:tc>
          <w:tcPr>
            <w:tcW w:w="3635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/>
        <w:tc>
          <w:tcPr>
            <w:tcW w:w="453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370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4160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480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26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cs="Times New Roman"/>
                <w:color w:val="000000"/>
                <w:sz w:val="22"/>
                <w:szCs w:val="22"/>
              </w:rPr>
              <w:t>2030</w:t>
            </w:r>
          </w:p>
        </w:tc>
        <w:tc>
          <w:tcPr>
            <w:tcW w:w="1179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5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cs="Times New Roman"/>
                <w:color w:val="000000"/>
                <w:sz w:val="22"/>
                <w:szCs w:val="22"/>
              </w:rPr>
              <w:t xml:space="preserve">600,0 </w:t>
            </w:r>
            <w:r>
              <w:rPr>
                <w:rFonts w:eastAsia="Calibri" w:cs="Times New Roman"/>
                <w:color w:val="000000"/>
                <w:sz w:val="22"/>
                <w:szCs w:val="22"/>
              </w:rPr>
              <w:t>– бюджет громади</w:t>
            </w:r>
          </w:p>
          <w:p>
            <w:pPr>
              <w:pStyle w:val="Normal"/>
              <w:widowControl w:val="false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eastAsia="Calibri" w:cs="Times New Roman"/>
                <w:color w:val="000000"/>
                <w:sz w:val="22"/>
                <w:szCs w:val="22"/>
              </w:rPr>
              <w:t>5 400,0 – інші джерела (гранти, позики)</w:t>
            </w:r>
          </w:p>
        </w:tc>
        <w:tc>
          <w:tcPr>
            <w:tcW w:w="3635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/>
        <w:tc>
          <w:tcPr>
            <w:tcW w:w="453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370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4160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cs="Times New Roman"/>
                <w:color w:val="000000"/>
                <w:sz w:val="22"/>
                <w:szCs w:val="22"/>
              </w:rPr>
              <w:t>Оновлення тролейбусного парку м. Луцька</w:t>
            </w:r>
          </w:p>
        </w:tc>
        <w:tc>
          <w:tcPr>
            <w:tcW w:w="1480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cs="Times New Roman"/>
                <w:color w:val="000000"/>
                <w:sz w:val="22"/>
                <w:szCs w:val="22"/>
              </w:rPr>
              <w:t>Департамент економічної політики, КП «Луцьке підприємство електротранс-порту»</w:t>
            </w:r>
          </w:p>
        </w:tc>
        <w:tc>
          <w:tcPr>
            <w:tcW w:w="126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cs="Times New Roman"/>
                <w:color w:val="000000"/>
                <w:sz w:val="22"/>
                <w:szCs w:val="22"/>
              </w:rPr>
              <w:t>2026</w:t>
            </w:r>
          </w:p>
        </w:tc>
        <w:tc>
          <w:tcPr>
            <w:tcW w:w="1179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tyle21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cs="Times New Roman"/>
                <w:color w:val="000000"/>
                <w:sz w:val="22"/>
                <w:szCs w:val="22"/>
              </w:rPr>
              <w:t>Бюджет ЛМТГ, грантові кошти (ЕІБ)</w:t>
            </w:r>
          </w:p>
        </w:tc>
        <w:tc>
          <w:tcPr>
            <w:tcW w:w="15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cs="Times New Roman"/>
                <w:color w:val="000000"/>
                <w:sz w:val="22"/>
                <w:szCs w:val="22"/>
              </w:rPr>
              <w:t xml:space="preserve">59 864,08 </w:t>
            </w:r>
            <w:r>
              <w:rPr>
                <w:rFonts w:eastAsia="Calibri" w:cs="Times New Roman"/>
                <w:color w:val="000000"/>
                <w:sz w:val="22"/>
                <w:szCs w:val="22"/>
              </w:rPr>
              <w:t>– бюджет громади</w:t>
            </w:r>
          </w:p>
          <w:p>
            <w:pPr>
              <w:pStyle w:val="Normal"/>
              <w:widowControl w:val="false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eastAsia="Calibri" w:cs="Times New Roman"/>
                <w:color w:val="000000"/>
                <w:sz w:val="22"/>
                <w:szCs w:val="22"/>
              </w:rPr>
              <w:t>239 456,32 - грант</w:t>
            </w:r>
          </w:p>
        </w:tc>
        <w:tc>
          <w:tcPr>
            <w:tcW w:w="3635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ind w:end="-28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cs="Times New Roman"/>
                <w:color w:val="000000"/>
                <w:sz w:val="22"/>
                <w:szCs w:val="22"/>
              </w:rPr>
              <w:t>З</w:t>
            </w:r>
            <w:r>
              <w:rPr>
                <w:rFonts w:cs="Times New Roman"/>
                <w:color w:val="000000"/>
                <w:sz w:val="22"/>
                <w:szCs w:val="22"/>
              </w:rPr>
              <w:t>абезпечення комплексного вирішення проблеми пасажирських перевезень; задоволення потреби лучан у якісному, сучасному, комфортному громадському транспорті;</w:t>
            </w:r>
          </w:p>
          <w:p>
            <w:pPr>
              <w:pStyle w:val="Normal"/>
              <w:widowControl w:val="false"/>
              <w:ind w:end="-28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cs="Times New Roman"/>
                <w:color w:val="000000"/>
                <w:sz w:val="22"/>
                <w:szCs w:val="22"/>
              </w:rPr>
              <w:t>розвантаження центральної частини міста від надлишку автобусів з ДВЗ; зменшення затор</w:t>
            </w:r>
            <w:r>
              <w:rPr>
                <w:rFonts w:cs="Times New Roman"/>
                <w:color w:val="000000"/>
                <w:sz w:val="22"/>
                <w:szCs w:val="22"/>
              </w:rPr>
              <w:t>ів</w:t>
            </w:r>
            <w:r>
              <w:rPr>
                <w:rFonts w:cs="Times New Roman"/>
                <w:color w:val="000000"/>
                <w:sz w:val="22"/>
                <w:szCs w:val="22"/>
              </w:rPr>
              <w:t xml:space="preserve">, </w:t>
            </w:r>
          </w:p>
          <w:p>
            <w:pPr>
              <w:pStyle w:val="Normal"/>
              <w:widowControl w:val="false"/>
              <w:ind w:end="-28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cs="Times New Roman"/>
                <w:color w:val="000000"/>
                <w:sz w:val="22"/>
                <w:szCs w:val="22"/>
              </w:rPr>
              <w:t>зменшення викиди CO</w:t>
            </w:r>
            <w:r>
              <w:rPr>
                <w:rFonts w:cs="Times New Roman"/>
                <w:color w:val="000000"/>
                <w:sz w:val="22"/>
                <w:szCs w:val="22"/>
                <w:vertAlign w:val="subscript"/>
              </w:rPr>
              <w:t>2</w:t>
            </w:r>
          </w:p>
          <w:p>
            <w:pPr>
              <w:pStyle w:val="Normal"/>
              <w:widowControl w:val="false"/>
              <w:ind w:end="-28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cs="Times New Roman"/>
                <w:bCs w:val="false"/>
                <w:color w:val="000000"/>
                <w:sz w:val="22"/>
                <w:szCs w:val="22"/>
              </w:rPr>
              <w:t>Кількість нових тролейбусів –18</w:t>
            </w:r>
          </w:p>
          <w:p>
            <w:pPr>
              <w:pStyle w:val="Normal"/>
              <w:widowControl w:val="false"/>
              <w:ind w:end="-28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cs="Times New Roman"/>
                <w:bCs w:val="false"/>
                <w:color w:val="000000"/>
                <w:sz w:val="22"/>
                <w:szCs w:val="22"/>
              </w:rPr>
              <w:t>Кількість старих тролейбусів –20</w:t>
            </w:r>
          </w:p>
          <w:p>
            <w:pPr>
              <w:pStyle w:val="Normal"/>
              <w:widowControl w:val="false"/>
              <w:ind w:end="-28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cs="Times New Roman"/>
                <w:bCs w:val="false"/>
                <w:color w:val="000000"/>
                <w:sz w:val="22"/>
                <w:szCs w:val="22"/>
              </w:rPr>
              <w:t>Пасажирокілометр – 2 269 тис.км</w:t>
            </w:r>
          </w:p>
          <w:p>
            <w:pPr>
              <w:pStyle w:val="Normal"/>
              <w:widowControl w:val="false"/>
              <w:ind w:end="-28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cs="Times New Roman"/>
                <w:bCs w:val="false"/>
                <w:color w:val="000000"/>
                <w:sz w:val="22"/>
                <w:szCs w:val="22"/>
              </w:rPr>
              <w:t>Економія електроенергії – 45,5 МВт.год</w:t>
            </w:r>
          </w:p>
          <w:p>
            <w:pPr>
              <w:pStyle w:val="Normal"/>
              <w:widowControl w:val="false"/>
              <w:ind w:end="-28"/>
              <w:jc w:val="center"/>
              <w:rPr>
                <w:rFonts w:cs="Times New Roman"/>
                <w:bCs w:val="false"/>
                <w:color w:val="000000"/>
                <w:sz w:val="22"/>
                <w:szCs w:val="22"/>
              </w:rPr>
            </w:pPr>
            <w:r>
              <w:rPr>
                <w:rFonts w:cs="Times New Roman"/>
                <w:bCs w:val="false"/>
                <w:color w:val="000000"/>
                <w:sz w:val="22"/>
                <w:szCs w:val="22"/>
              </w:rPr>
            </w:r>
          </w:p>
        </w:tc>
      </w:tr>
      <w:tr>
        <w:trPr/>
        <w:tc>
          <w:tcPr>
            <w:tcW w:w="453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370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4160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480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26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cs="Times New Roman"/>
                <w:color w:val="000000"/>
                <w:sz w:val="22"/>
                <w:szCs w:val="22"/>
              </w:rPr>
              <w:t>2027</w:t>
            </w:r>
          </w:p>
        </w:tc>
        <w:tc>
          <w:tcPr>
            <w:tcW w:w="1179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5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cs="Times New Roman"/>
                <w:color w:val="000000"/>
                <w:sz w:val="22"/>
                <w:szCs w:val="22"/>
              </w:rPr>
              <w:t xml:space="preserve">16 139,98 </w:t>
            </w:r>
            <w:r>
              <w:rPr>
                <w:rFonts w:eastAsia="Calibri" w:cs="Times New Roman"/>
                <w:color w:val="000000"/>
                <w:sz w:val="22"/>
                <w:szCs w:val="22"/>
              </w:rPr>
              <w:t>– бюджет громади</w:t>
            </w:r>
          </w:p>
          <w:p>
            <w:pPr>
              <w:pStyle w:val="Normal"/>
              <w:widowControl w:val="false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eastAsia="Calibri" w:cs="Times New Roman"/>
                <w:color w:val="000000"/>
                <w:sz w:val="22"/>
                <w:szCs w:val="22"/>
              </w:rPr>
              <w:t>64 559,92 – грант</w:t>
            </w:r>
          </w:p>
        </w:tc>
        <w:tc>
          <w:tcPr>
            <w:tcW w:w="3635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/>
        <w:tc>
          <w:tcPr>
            <w:tcW w:w="453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370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4160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cs="Times New Roman"/>
                <w:color w:val="000000"/>
                <w:sz w:val="22"/>
                <w:szCs w:val="22"/>
              </w:rPr>
              <w:t>Будівництво заїзних кишень для зупинки громадського пасажирського транспорту на маршрутах загального користування</w:t>
            </w:r>
          </w:p>
          <w:p>
            <w:pPr>
              <w:pStyle w:val="Normal"/>
              <w:widowControl w:val="false"/>
              <w:jc w:val="center"/>
              <w:rPr>
                <w:rFonts w:cs="Times New Roman"/>
                <w:color w:val="000000"/>
                <w:sz w:val="22"/>
                <w:szCs w:val="22"/>
                <w:shd w:fill="FFFF00" w:val="clear"/>
              </w:rPr>
            </w:pPr>
            <w:r>
              <w:rPr>
                <w:rFonts w:cs="Times New Roman"/>
                <w:color w:val="000000"/>
                <w:sz w:val="22"/>
                <w:szCs w:val="22"/>
                <w:shd w:fill="FFFF00" w:val="clear"/>
              </w:rPr>
            </w:r>
          </w:p>
        </w:tc>
        <w:tc>
          <w:tcPr>
            <w:tcW w:w="1480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cs="Times New Roman"/>
                <w:color w:val="000000"/>
                <w:sz w:val="22"/>
                <w:szCs w:val="22"/>
              </w:rPr>
              <w:t>Департамент житлово-комунального господарства</w:t>
            </w:r>
          </w:p>
        </w:tc>
        <w:tc>
          <w:tcPr>
            <w:tcW w:w="126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cs="Times New Roman"/>
                <w:color w:val="000000"/>
                <w:sz w:val="22"/>
                <w:szCs w:val="22"/>
              </w:rPr>
              <w:t>2026</w:t>
            </w:r>
          </w:p>
        </w:tc>
        <w:tc>
          <w:tcPr>
            <w:tcW w:w="1179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tyle21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cs="Times New Roman"/>
                <w:color w:val="000000"/>
                <w:sz w:val="22"/>
                <w:szCs w:val="22"/>
              </w:rPr>
              <w:t>Бюджет ЛМТГ</w:t>
            </w:r>
          </w:p>
        </w:tc>
        <w:tc>
          <w:tcPr>
            <w:tcW w:w="15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eastAsia="Calibri" w:cs="Times New Roman"/>
                <w:color w:val="000000"/>
                <w:sz w:val="22"/>
                <w:szCs w:val="22"/>
              </w:rPr>
              <w:t>3 000,0</w:t>
            </w:r>
          </w:p>
        </w:tc>
        <w:tc>
          <w:tcPr>
            <w:tcW w:w="3635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ind w:end="-28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cs="Times New Roman"/>
                <w:bCs w:val="false"/>
                <w:color w:val="000000"/>
                <w:sz w:val="22"/>
                <w:szCs w:val="22"/>
              </w:rPr>
              <w:t>призупинено</w:t>
            </w:r>
          </w:p>
          <w:p>
            <w:pPr>
              <w:pStyle w:val="Normal"/>
              <w:widowControl w:val="false"/>
              <w:ind w:end="-28"/>
              <w:jc w:val="center"/>
              <w:rPr>
                <w:rFonts w:cs="Times New Roman"/>
                <w:bCs w:val="false"/>
                <w:color w:val="000000"/>
                <w:sz w:val="22"/>
                <w:szCs w:val="22"/>
              </w:rPr>
            </w:pPr>
            <w:r>
              <w:rPr>
                <w:rFonts w:cs="Times New Roman"/>
                <w:bCs w:val="false"/>
                <w:color w:val="000000"/>
                <w:sz w:val="22"/>
                <w:szCs w:val="22"/>
              </w:rPr>
            </w:r>
          </w:p>
          <w:p>
            <w:pPr>
              <w:pStyle w:val="Normal"/>
              <w:widowControl w:val="false"/>
              <w:ind w:end="-28"/>
              <w:jc w:val="center"/>
              <w:rPr>
                <w:rFonts w:cs="Times New Roman"/>
                <w:bCs w:val="false"/>
                <w:color w:val="000000"/>
                <w:sz w:val="22"/>
                <w:szCs w:val="22"/>
              </w:rPr>
            </w:pPr>
            <w:r>
              <w:rPr>
                <w:rFonts w:cs="Times New Roman"/>
                <w:bCs w:val="false"/>
                <w:color w:val="000000"/>
                <w:sz w:val="22"/>
                <w:szCs w:val="22"/>
              </w:rPr>
            </w:r>
          </w:p>
          <w:p>
            <w:pPr>
              <w:pStyle w:val="Normal"/>
              <w:widowControl w:val="false"/>
              <w:ind w:end="-28"/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>
              <w:rPr>
                <w:rFonts w:cs="Times New Roman"/>
                <w:color w:val="000000"/>
                <w:sz w:val="22"/>
                <w:szCs w:val="22"/>
              </w:rPr>
            </w:r>
          </w:p>
        </w:tc>
      </w:tr>
      <w:tr>
        <w:trPr/>
        <w:tc>
          <w:tcPr>
            <w:tcW w:w="453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370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4160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480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26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cs="Times New Roman"/>
                <w:color w:val="000000"/>
                <w:sz w:val="22"/>
                <w:szCs w:val="22"/>
              </w:rPr>
              <w:t>2027</w:t>
            </w:r>
          </w:p>
        </w:tc>
        <w:tc>
          <w:tcPr>
            <w:tcW w:w="1179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5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eastAsia="Calibri" w:cs="Times New Roman"/>
                <w:color w:val="000000"/>
                <w:sz w:val="22"/>
                <w:szCs w:val="22"/>
              </w:rPr>
              <w:t>7 000,0</w:t>
            </w:r>
          </w:p>
        </w:tc>
        <w:tc>
          <w:tcPr>
            <w:tcW w:w="3635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/>
        <w:tc>
          <w:tcPr>
            <w:tcW w:w="453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370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4160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480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26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cs="Times New Roman"/>
                <w:color w:val="000000"/>
                <w:sz w:val="22"/>
                <w:szCs w:val="22"/>
              </w:rPr>
              <w:t>2028</w:t>
            </w:r>
          </w:p>
        </w:tc>
        <w:tc>
          <w:tcPr>
            <w:tcW w:w="1179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5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eastAsia="Calibri" w:cs="Times New Roman"/>
                <w:color w:val="000000"/>
                <w:sz w:val="22"/>
                <w:szCs w:val="22"/>
              </w:rPr>
              <w:t>7 000,0</w:t>
            </w:r>
          </w:p>
        </w:tc>
        <w:tc>
          <w:tcPr>
            <w:tcW w:w="3635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/>
        <w:tc>
          <w:tcPr>
            <w:tcW w:w="453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370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4160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480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26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cs="Times New Roman"/>
                <w:color w:val="000000"/>
                <w:sz w:val="22"/>
                <w:szCs w:val="22"/>
              </w:rPr>
              <w:t>2029</w:t>
            </w:r>
          </w:p>
        </w:tc>
        <w:tc>
          <w:tcPr>
            <w:tcW w:w="1179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5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eastAsia="Calibri" w:cs="Times New Roman"/>
                <w:color w:val="000000"/>
                <w:sz w:val="22"/>
                <w:szCs w:val="22"/>
              </w:rPr>
              <w:t>7 000,0</w:t>
            </w:r>
          </w:p>
        </w:tc>
        <w:tc>
          <w:tcPr>
            <w:tcW w:w="3635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/>
        <w:tc>
          <w:tcPr>
            <w:tcW w:w="453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370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4160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480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26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cs="Times New Roman"/>
                <w:color w:val="000000"/>
                <w:sz w:val="22"/>
                <w:szCs w:val="22"/>
              </w:rPr>
              <w:t>2030</w:t>
            </w:r>
          </w:p>
        </w:tc>
        <w:tc>
          <w:tcPr>
            <w:tcW w:w="1179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5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eastAsia="Calibri" w:cs="Times New Roman"/>
                <w:color w:val="000000"/>
                <w:sz w:val="22"/>
                <w:szCs w:val="22"/>
              </w:rPr>
              <w:t>7 000,0</w:t>
            </w:r>
          </w:p>
        </w:tc>
        <w:tc>
          <w:tcPr>
            <w:tcW w:w="3635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/>
        <w:tc>
          <w:tcPr>
            <w:tcW w:w="453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370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4160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cs="Times New Roman"/>
                <w:color w:val="000000"/>
                <w:sz w:val="22"/>
                <w:szCs w:val="22"/>
              </w:rPr>
              <w:t>Створення та розвиток велосипедної інфраструктури в м. Луцьку</w:t>
            </w:r>
          </w:p>
          <w:p>
            <w:pPr>
              <w:pStyle w:val="Normal"/>
              <w:widowControl w:val="false"/>
              <w:jc w:val="center"/>
              <w:rPr>
                <w:rFonts w:cs="Times New Roman"/>
                <w:color w:val="000000"/>
                <w:sz w:val="22"/>
                <w:szCs w:val="22"/>
                <w:shd w:fill="FFFF00" w:val="clear"/>
              </w:rPr>
            </w:pPr>
            <w:r>
              <w:rPr>
                <w:rFonts w:cs="Times New Roman"/>
                <w:color w:val="000000"/>
                <w:sz w:val="22"/>
                <w:szCs w:val="22"/>
                <w:shd w:fill="FFFF00" w:val="clear"/>
              </w:rPr>
            </w:r>
          </w:p>
        </w:tc>
        <w:tc>
          <w:tcPr>
            <w:tcW w:w="1480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cs="Times New Roman"/>
                <w:color w:val="000000"/>
                <w:sz w:val="22"/>
                <w:szCs w:val="22"/>
              </w:rPr>
              <w:t>Департамент житлово-комунального господарства</w:t>
            </w:r>
          </w:p>
        </w:tc>
        <w:tc>
          <w:tcPr>
            <w:tcW w:w="126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cs="Times New Roman"/>
                <w:color w:val="000000"/>
                <w:sz w:val="22"/>
                <w:szCs w:val="22"/>
              </w:rPr>
              <w:t>2026</w:t>
            </w:r>
          </w:p>
        </w:tc>
        <w:tc>
          <w:tcPr>
            <w:tcW w:w="1179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tyle21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cs="Times New Roman"/>
                <w:color w:val="000000"/>
                <w:sz w:val="22"/>
                <w:szCs w:val="22"/>
              </w:rPr>
              <w:t xml:space="preserve">Бюджет ЛМТГ, </w:t>
            </w:r>
            <w:r>
              <w:rPr>
                <w:rFonts w:eastAsia="Calibri" w:cs="Times New Roman"/>
                <w:color w:val="000000"/>
                <w:sz w:val="22"/>
                <w:szCs w:val="22"/>
              </w:rPr>
              <w:t>інші джерела (гранти, позики)</w:t>
            </w:r>
          </w:p>
        </w:tc>
        <w:tc>
          <w:tcPr>
            <w:tcW w:w="15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cs="Times New Roman"/>
                <w:color w:val="000000"/>
                <w:sz w:val="22"/>
                <w:szCs w:val="22"/>
              </w:rPr>
              <w:t xml:space="preserve">4 200,0  </w:t>
            </w:r>
            <w:r>
              <w:rPr>
                <w:rFonts w:eastAsia="Calibri" w:cs="Times New Roman"/>
                <w:color w:val="000000"/>
                <w:sz w:val="22"/>
                <w:szCs w:val="22"/>
              </w:rPr>
              <w:t>– бюджет громади</w:t>
            </w:r>
          </w:p>
          <w:p>
            <w:pPr>
              <w:pStyle w:val="Normal"/>
              <w:widowControl w:val="false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cs="Times New Roman"/>
                <w:color w:val="000000"/>
                <w:sz w:val="22"/>
                <w:szCs w:val="22"/>
              </w:rPr>
              <w:t>16 800,0</w:t>
            </w:r>
            <w:r>
              <w:rPr>
                <w:rFonts w:eastAsia="Calibri" w:cs="Times New Roman"/>
                <w:color w:val="000000"/>
                <w:sz w:val="22"/>
                <w:szCs w:val="22"/>
              </w:rPr>
              <w:t xml:space="preserve"> – інші джерела (гранти, позики)</w:t>
            </w:r>
          </w:p>
        </w:tc>
        <w:tc>
          <w:tcPr>
            <w:tcW w:w="3635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ind w:end="-28"/>
              <w:jc w:val="center"/>
              <w:rPr>
                <w:sz w:val="22"/>
                <w:szCs w:val="22"/>
              </w:rPr>
            </w:pPr>
            <w:r>
              <w:rPr>
                <w:bCs w:val="false"/>
                <w:sz w:val="22"/>
                <w:szCs w:val="22"/>
              </w:rPr>
              <w:t>П</w:t>
            </w:r>
            <w:r>
              <w:rPr>
                <w:bCs w:val="false"/>
                <w:sz w:val="22"/>
                <w:szCs w:val="22"/>
              </w:rPr>
              <w:t>окращення велосипедної інфраструктуру міста.</w:t>
            </w:r>
          </w:p>
          <w:p>
            <w:pPr>
              <w:pStyle w:val="Normal"/>
              <w:widowControl w:val="false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cs="Times New Roman"/>
                <w:color w:val="000000"/>
                <w:sz w:val="22"/>
                <w:szCs w:val="22"/>
              </w:rPr>
              <w:t>Загальна протяжність велосипедних шляхів до 2030 року складе орієнтовно 160 км</w:t>
            </w:r>
          </w:p>
          <w:p>
            <w:pPr>
              <w:pStyle w:val="Normal"/>
              <w:widowControl w:val="false"/>
              <w:ind w:end="-28"/>
              <w:jc w:val="center"/>
              <w:rPr>
                <w:rFonts w:cs="Times New Roman"/>
                <w:bCs w:val="false"/>
                <w:color w:val="000000"/>
                <w:sz w:val="22"/>
                <w:szCs w:val="22"/>
              </w:rPr>
            </w:pPr>
            <w:r>
              <w:rPr>
                <w:rFonts w:cs="Times New Roman"/>
                <w:bCs w:val="false"/>
                <w:color w:val="000000"/>
                <w:sz w:val="22"/>
                <w:szCs w:val="22"/>
              </w:rPr>
            </w:r>
          </w:p>
          <w:p>
            <w:pPr>
              <w:pStyle w:val="Normal"/>
              <w:widowControl w:val="false"/>
              <w:ind w:end="-28"/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>
              <w:rPr>
                <w:rFonts w:cs="Times New Roman"/>
                <w:color w:val="000000"/>
                <w:sz w:val="22"/>
                <w:szCs w:val="22"/>
              </w:rPr>
            </w:r>
          </w:p>
        </w:tc>
      </w:tr>
      <w:tr>
        <w:trPr/>
        <w:tc>
          <w:tcPr>
            <w:tcW w:w="453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370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4160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480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26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cs="Times New Roman"/>
                <w:color w:val="000000"/>
                <w:sz w:val="22"/>
                <w:szCs w:val="22"/>
              </w:rPr>
              <w:t>2027</w:t>
            </w:r>
          </w:p>
        </w:tc>
        <w:tc>
          <w:tcPr>
            <w:tcW w:w="1179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5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cs="Times New Roman"/>
                <w:color w:val="000000"/>
                <w:sz w:val="22"/>
                <w:szCs w:val="22"/>
              </w:rPr>
              <w:t xml:space="preserve">4 450,0  </w:t>
            </w:r>
            <w:r>
              <w:rPr>
                <w:rFonts w:eastAsia="Calibri" w:cs="Times New Roman"/>
                <w:color w:val="000000"/>
                <w:sz w:val="22"/>
                <w:szCs w:val="22"/>
              </w:rPr>
              <w:t>– бюджет громади</w:t>
            </w:r>
          </w:p>
          <w:p>
            <w:pPr>
              <w:pStyle w:val="Normal"/>
              <w:widowControl w:val="false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eastAsia="Calibri" w:cs="Times New Roman"/>
                <w:color w:val="000000"/>
                <w:sz w:val="22"/>
                <w:szCs w:val="22"/>
              </w:rPr>
              <w:t>17 800,0 – інші джерела (гранти, позики)</w:t>
            </w:r>
          </w:p>
        </w:tc>
        <w:tc>
          <w:tcPr>
            <w:tcW w:w="3635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/>
        <w:tc>
          <w:tcPr>
            <w:tcW w:w="453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370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4160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480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26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cs="Times New Roman"/>
                <w:color w:val="000000"/>
                <w:sz w:val="22"/>
                <w:szCs w:val="22"/>
              </w:rPr>
              <w:t>2028</w:t>
            </w:r>
          </w:p>
        </w:tc>
        <w:tc>
          <w:tcPr>
            <w:tcW w:w="1179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5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cs="Times New Roman"/>
                <w:color w:val="000000"/>
                <w:sz w:val="22"/>
                <w:szCs w:val="22"/>
              </w:rPr>
              <w:t xml:space="preserve">4 450,0  </w:t>
            </w:r>
            <w:r>
              <w:rPr>
                <w:rFonts w:eastAsia="Calibri" w:cs="Times New Roman"/>
                <w:color w:val="000000"/>
                <w:sz w:val="22"/>
                <w:szCs w:val="22"/>
              </w:rPr>
              <w:t>– бюджет громади</w:t>
            </w:r>
          </w:p>
          <w:p>
            <w:pPr>
              <w:pStyle w:val="Normal"/>
              <w:widowControl w:val="false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eastAsia="Calibri" w:cs="Times New Roman"/>
                <w:color w:val="000000"/>
                <w:sz w:val="22"/>
                <w:szCs w:val="22"/>
              </w:rPr>
              <w:t>17 800,0 – інші джерела (гранти, позики)</w:t>
            </w:r>
          </w:p>
        </w:tc>
        <w:tc>
          <w:tcPr>
            <w:tcW w:w="3635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/>
        <w:tc>
          <w:tcPr>
            <w:tcW w:w="453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370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4160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480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26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cs="Times New Roman"/>
                <w:color w:val="000000"/>
                <w:sz w:val="22"/>
                <w:szCs w:val="22"/>
              </w:rPr>
              <w:t>2029</w:t>
            </w:r>
          </w:p>
        </w:tc>
        <w:tc>
          <w:tcPr>
            <w:tcW w:w="1179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5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cs="Times New Roman"/>
                <w:color w:val="000000"/>
                <w:sz w:val="22"/>
                <w:szCs w:val="22"/>
              </w:rPr>
              <w:t xml:space="preserve">4 450,0  </w:t>
            </w:r>
            <w:r>
              <w:rPr>
                <w:rFonts w:eastAsia="Calibri" w:cs="Times New Roman"/>
                <w:color w:val="000000"/>
                <w:sz w:val="22"/>
                <w:szCs w:val="22"/>
              </w:rPr>
              <w:t>– бюджет громади</w:t>
            </w:r>
          </w:p>
          <w:p>
            <w:pPr>
              <w:pStyle w:val="Normal"/>
              <w:widowControl w:val="false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eastAsia="Calibri" w:cs="Times New Roman"/>
                <w:color w:val="000000"/>
                <w:sz w:val="22"/>
                <w:szCs w:val="22"/>
              </w:rPr>
              <w:t>17 800,0 – інші джерела (гранти, позики)</w:t>
            </w:r>
          </w:p>
        </w:tc>
        <w:tc>
          <w:tcPr>
            <w:tcW w:w="3635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/>
        <w:tc>
          <w:tcPr>
            <w:tcW w:w="453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370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4160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480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26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cs="Times New Roman"/>
                <w:color w:val="000000"/>
                <w:sz w:val="22"/>
                <w:szCs w:val="22"/>
              </w:rPr>
              <w:t>2030</w:t>
            </w:r>
          </w:p>
        </w:tc>
        <w:tc>
          <w:tcPr>
            <w:tcW w:w="1179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5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cs="Times New Roman"/>
                <w:color w:val="000000"/>
                <w:sz w:val="22"/>
                <w:szCs w:val="22"/>
              </w:rPr>
              <w:t xml:space="preserve">4 450,0  </w:t>
            </w:r>
            <w:r>
              <w:rPr>
                <w:rFonts w:eastAsia="Calibri" w:cs="Times New Roman"/>
                <w:color w:val="000000"/>
                <w:sz w:val="22"/>
                <w:szCs w:val="22"/>
              </w:rPr>
              <w:t>– бюджет громади</w:t>
            </w:r>
          </w:p>
          <w:p>
            <w:pPr>
              <w:pStyle w:val="Normal"/>
              <w:widowControl w:val="false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eastAsia="Calibri" w:cs="Times New Roman"/>
                <w:color w:val="000000"/>
                <w:sz w:val="22"/>
                <w:szCs w:val="22"/>
              </w:rPr>
              <w:t>17 800,0 – інші джерела (гранти, позики)</w:t>
            </w:r>
          </w:p>
        </w:tc>
        <w:tc>
          <w:tcPr>
            <w:tcW w:w="3635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/>
        <w:tc>
          <w:tcPr>
            <w:tcW w:w="453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tyle21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cs="Times New Roman"/>
                <w:color w:val="000000"/>
                <w:sz w:val="22"/>
                <w:szCs w:val="22"/>
              </w:rPr>
              <w:t>6</w:t>
            </w:r>
          </w:p>
        </w:tc>
        <w:tc>
          <w:tcPr>
            <w:tcW w:w="1370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Spacing"/>
              <w:widowControl w:val="false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cs="Times New Roman"/>
                <w:color w:val="000000"/>
                <w:sz w:val="22"/>
                <w:szCs w:val="22"/>
              </w:rPr>
              <w:t>Створення умов для якісного та безперебійного надання послуг підприємством надавачем послуг централізованого постачання теплової енергії та гарячої води</w:t>
            </w:r>
          </w:p>
        </w:tc>
        <w:tc>
          <w:tcPr>
            <w:tcW w:w="4160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cs="Times New Roman"/>
                <w:color w:val="000000"/>
                <w:sz w:val="22"/>
                <w:szCs w:val="22"/>
              </w:rPr>
              <w:t>Проєкт модернізації системи централізованого теплопостачання (друга фаза) у м. Луцьку в рамках програми RLF</w:t>
            </w:r>
          </w:p>
          <w:p>
            <w:pPr>
              <w:pStyle w:val="Normal"/>
              <w:widowControl w:val="false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cs="Times New Roman"/>
                <w:color w:val="000000"/>
                <w:sz w:val="22"/>
                <w:szCs w:val="22"/>
              </w:rPr>
              <w:t>(постачання, монтаж та введення в експлуатацію біопаливного котла;</w:t>
            </w:r>
          </w:p>
          <w:p>
            <w:pPr>
              <w:pStyle w:val="Normal"/>
              <w:widowControl w:val="false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cs="Times New Roman"/>
                <w:color w:val="000000"/>
                <w:sz w:val="22"/>
                <w:szCs w:val="22"/>
              </w:rPr>
              <w:t>заміна мереж та монтаж перемичок;</w:t>
            </w:r>
          </w:p>
          <w:p>
            <w:pPr>
              <w:pStyle w:val="Normal"/>
              <w:widowControl w:val="false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cs="Times New Roman"/>
                <w:color w:val="000000"/>
                <w:sz w:val="22"/>
                <w:szCs w:val="22"/>
              </w:rPr>
              <w:t>постачання, монтаж і введення в експлуатацію теплового насоса;</w:t>
            </w:r>
          </w:p>
          <w:p>
            <w:pPr>
              <w:pStyle w:val="Normal"/>
              <w:widowControl w:val="false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cs="Times New Roman"/>
                <w:color w:val="000000"/>
                <w:sz w:val="22"/>
                <w:szCs w:val="22"/>
              </w:rPr>
              <w:t>покращення стану труб;</w:t>
            </w:r>
          </w:p>
          <w:p>
            <w:pPr>
              <w:pStyle w:val="Normal"/>
              <w:widowControl w:val="false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cs="Times New Roman"/>
                <w:color w:val="000000"/>
                <w:sz w:val="22"/>
                <w:szCs w:val="22"/>
              </w:rPr>
              <w:t xml:space="preserve">постачання, монтаж і введення в експлуатацію системи </w:t>
            </w:r>
            <w:r>
              <w:rPr>
                <w:rFonts w:cs="Times New Roman"/>
                <w:color w:val="000000"/>
                <w:sz w:val="22"/>
                <w:szCs w:val="22"/>
                <w:lang w:val="en-US"/>
              </w:rPr>
              <w:t>SCADA</w:t>
            </w:r>
            <w:r>
              <w:rPr>
                <w:rFonts w:cs="Times New Roman"/>
                <w:color w:val="000000"/>
                <w:sz w:val="22"/>
                <w:szCs w:val="22"/>
              </w:rPr>
              <w:t>)</w:t>
            </w:r>
          </w:p>
        </w:tc>
        <w:tc>
          <w:tcPr>
            <w:tcW w:w="1480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cs="Times New Roman"/>
                <w:color w:val="000000"/>
                <w:sz w:val="22"/>
                <w:szCs w:val="22"/>
              </w:rPr>
              <w:t>ДКП «Луцьктепло»</w:t>
            </w:r>
          </w:p>
        </w:tc>
        <w:tc>
          <w:tcPr>
            <w:tcW w:w="126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cs="Times New Roman"/>
                <w:color w:val="000000"/>
                <w:sz w:val="22"/>
                <w:szCs w:val="22"/>
              </w:rPr>
              <w:t>2026</w:t>
            </w:r>
          </w:p>
        </w:tc>
        <w:tc>
          <w:tcPr>
            <w:tcW w:w="1179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tyle21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cs="Times New Roman"/>
                <w:color w:val="000000"/>
                <w:sz w:val="22"/>
                <w:szCs w:val="22"/>
              </w:rPr>
              <w:t xml:space="preserve">Бюджет ЛМТГ, </w:t>
            </w:r>
            <w:r>
              <w:rPr>
                <w:rFonts w:eastAsia="Calibri" w:cs="Times New Roman"/>
                <w:color w:val="000000"/>
                <w:sz w:val="22"/>
                <w:szCs w:val="22"/>
              </w:rPr>
              <w:t>інші джерела (гранти, позики)</w:t>
            </w:r>
            <w:r>
              <w:rPr>
                <w:rFonts w:cs="Times New Roman"/>
                <w:color w:val="000000"/>
                <w:sz w:val="22"/>
                <w:szCs w:val="22"/>
              </w:rPr>
              <w:t xml:space="preserve"> (ЄБРР)</w:t>
            </w:r>
          </w:p>
        </w:tc>
        <w:tc>
          <w:tcPr>
            <w:tcW w:w="15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cs="Times New Roman"/>
                <w:color w:val="000000"/>
                <w:sz w:val="22"/>
                <w:szCs w:val="22"/>
              </w:rPr>
              <w:t xml:space="preserve">61 920,0 </w:t>
            </w:r>
            <w:r>
              <w:rPr>
                <w:rFonts w:eastAsia="Calibri" w:cs="Times New Roman"/>
                <w:color w:val="000000"/>
                <w:sz w:val="22"/>
                <w:szCs w:val="22"/>
              </w:rPr>
              <w:t>– бюджет громади</w:t>
            </w:r>
          </w:p>
          <w:p>
            <w:pPr>
              <w:pStyle w:val="Normal"/>
              <w:widowControl w:val="false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cs="Times New Roman"/>
                <w:color w:val="000000"/>
                <w:sz w:val="22"/>
                <w:szCs w:val="22"/>
              </w:rPr>
              <w:t xml:space="preserve">247 680,0 </w:t>
            </w:r>
            <w:r>
              <w:rPr>
                <w:rFonts w:eastAsia="Calibri" w:cs="Times New Roman"/>
                <w:color w:val="000000"/>
                <w:sz w:val="22"/>
                <w:szCs w:val="22"/>
              </w:rPr>
              <w:t>– грант (позика)</w:t>
            </w:r>
          </w:p>
        </w:tc>
        <w:tc>
          <w:tcPr>
            <w:tcW w:w="3635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cs="Times New Roman"/>
                <w:color w:val="000000"/>
                <w:sz w:val="22"/>
                <w:szCs w:val="22"/>
              </w:rPr>
              <w:t>Забезпечення сталої роботи системи теплопостачання, безперебійне надання послуг з постачання теплової енергії та постачання гарячої води 99 957 споживачам підприємства.</w:t>
            </w:r>
          </w:p>
          <w:p>
            <w:pPr>
              <w:pStyle w:val="Normal"/>
              <w:widowControl w:val="false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cs="Times New Roman"/>
                <w:color w:val="000000"/>
                <w:sz w:val="22"/>
                <w:szCs w:val="22"/>
              </w:rPr>
              <w:t>Заміна теплових мереж протяжністю 20,9 км. зменшить втрати тепла на 30% та загалом підвищить надійність системи теплозабезпечення і гарячого водопостачання.</w:t>
            </w:r>
          </w:p>
          <w:p>
            <w:pPr>
              <w:pStyle w:val="Normal"/>
              <w:widowControl w:val="false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cs="Times New Roman"/>
                <w:color w:val="000000"/>
                <w:sz w:val="22"/>
                <w:szCs w:val="22"/>
              </w:rPr>
              <w:t>Заміщення природного газу – 4,035 млн м</w:t>
            </w:r>
            <w:r>
              <w:rPr>
                <w:rFonts w:cs="Times New Roman"/>
                <w:color w:val="000000"/>
                <w:sz w:val="22"/>
                <w:szCs w:val="22"/>
                <w:vertAlign w:val="superscript"/>
              </w:rPr>
              <w:t>3</w:t>
            </w:r>
            <w:r>
              <w:rPr>
                <w:rFonts w:cs="Times New Roman"/>
                <w:color w:val="000000"/>
                <w:sz w:val="22"/>
                <w:szCs w:val="22"/>
              </w:rPr>
              <w:t>/рік.</w:t>
            </w:r>
          </w:p>
          <w:p>
            <w:pPr>
              <w:pStyle w:val="Normal"/>
              <w:widowControl w:val="false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cs="Times New Roman"/>
                <w:color w:val="000000"/>
                <w:sz w:val="22"/>
                <w:szCs w:val="22"/>
              </w:rPr>
              <w:t>Економія природного газу – 1,496 млн м</w:t>
            </w:r>
            <w:r>
              <w:rPr>
                <w:rFonts w:cs="Times New Roman"/>
                <w:color w:val="000000"/>
                <w:sz w:val="22"/>
                <w:szCs w:val="22"/>
                <w:vertAlign w:val="superscript"/>
              </w:rPr>
              <w:t>3</w:t>
            </w:r>
            <w:r>
              <w:rPr>
                <w:rFonts w:cs="Times New Roman"/>
                <w:color w:val="000000"/>
                <w:sz w:val="22"/>
                <w:szCs w:val="22"/>
              </w:rPr>
              <w:t>/рік;</w:t>
            </w:r>
          </w:p>
          <w:p>
            <w:pPr>
              <w:pStyle w:val="Normal"/>
              <w:widowControl w:val="false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cs="Times New Roman"/>
                <w:color w:val="000000"/>
                <w:sz w:val="22"/>
                <w:szCs w:val="22"/>
              </w:rPr>
              <w:t xml:space="preserve">Зменшення викидів </w:t>
            </w:r>
            <w:r>
              <w:rPr>
                <w:rFonts w:cs="Times New Roman"/>
                <w:color w:val="000000"/>
                <w:sz w:val="22"/>
                <w:szCs w:val="22"/>
                <w:lang w:val="en-US"/>
              </w:rPr>
              <w:t>CO</w:t>
            </w:r>
            <w:r>
              <w:rPr>
                <w:rFonts w:cs="Times New Roman"/>
                <w:color w:val="000000"/>
                <w:sz w:val="22"/>
                <w:szCs w:val="22"/>
                <w:vertAlign w:val="subscript"/>
              </w:rPr>
              <w:t>2</w:t>
            </w:r>
            <w:r>
              <w:rPr>
                <w:rFonts w:cs="Times New Roman"/>
                <w:color w:val="000000"/>
                <w:sz w:val="22"/>
                <w:szCs w:val="22"/>
              </w:rPr>
              <w:t xml:space="preserve"> – 10 518 т/рік;</w:t>
            </w:r>
          </w:p>
          <w:p>
            <w:pPr>
              <w:pStyle w:val="Normal"/>
              <w:widowControl w:val="false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cs="Times New Roman"/>
                <w:color w:val="000000"/>
                <w:sz w:val="22"/>
                <w:szCs w:val="22"/>
              </w:rPr>
              <w:t xml:space="preserve">Зменшення викидів </w:t>
            </w:r>
            <w:r>
              <w:rPr>
                <w:rFonts w:cs="Times New Roman"/>
                <w:color w:val="000000"/>
                <w:sz w:val="22"/>
                <w:szCs w:val="22"/>
                <w:lang w:val="en-US"/>
              </w:rPr>
              <w:t>NO</w:t>
            </w:r>
            <w:r>
              <w:rPr>
                <w:rFonts w:cs="Times New Roman"/>
                <w:color w:val="000000"/>
                <w:sz w:val="22"/>
                <w:szCs w:val="22"/>
              </w:rPr>
              <w:t>х – 5 889 кг/рік</w:t>
            </w:r>
          </w:p>
        </w:tc>
      </w:tr>
      <w:tr>
        <w:trPr/>
        <w:tc>
          <w:tcPr>
            <w:tcW w:w="453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2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370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2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4160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480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26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cs="Times New Roman"/>
                <w:color w:val="000000"/>
                <w:sz w:val="22"/>
                <w:szCs w:val="22"/>
              </w:rPr>
              <w:t>2027</w:t>
            </w:r>
          </w:p>
        </w:tc>
        <w:tc>
          <w:tcPr>
            <w:tcW w:w="1179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5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cs="Times New Roman"/>
                <w:color w:val="000000"/>
                <w:sz w:val="22"/>
                <w:szCs w:val="22"/>
                <w:lang w:val="en-US"/>
              </w:rPr>
              <w:t>450</w:t>
            </w:r>
            <w:r>
              <w:rPr>
                <w:rFonts w:cs="Times New Roman"/>
                <w:color w:val="000000"/>
                <w:sz w:val="22"/>
                <w:szCs w:val="22"/>
              </w:rPr>
              <w:t> </w:t>
            </w:r>
            <w:r>
              <w:rPr>
                <w:rFonts w:cs="Times New Roman"/>
                <w:color w:val="000000"/>
                <w:sz w:val="22"/>
                <w:szCs w:val="22"/>
                <w:lang w:val="en-US"/>
              </w:rPr>
              <w:t>600</w:t>
            </w:r>
            <w:r>
              <w:rPr>
                <w:rFonts w:cs="Times New Roman"/>
                <w:color w:val="000000"/>
                <w:sz w:val="22"/>
                <w:szCs w:val="22"/>
              </w:rPr>
              <w:t xml:space="preserve">,0 </w:t>
            </w:r>
            <w:r>
              <w:rPr>
                <w:rFonts w:eastAsia="Calibri" w:cs="Times New Roman"/>
                <w:color w:val="000000"/>
                <w:sz w:val="22"/>
                <w:szCs w:val="22"/>
              </w:rPr>
              <w:t>– грант, позика</w:t>
            </w:r>
          </w:p>
        </w:tc>
        <w:tc>
          <w:tcPr>
            <w:tcW w:w="3635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2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/>
        <w:tc>
          <w:tcPr>
            <w:tcW w:w="453" w:type="dxa"/>
            <w:vMerge w:val="continue"/>
            <w:tcBorders>
              <w:start w:val="single" w:sz="4" w:space="0" w:color="000000"/>
              <w:bottom w:val="single" w:sz="2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370" w:type="dxa"/>
            <w:vMerge w:val="continue"/>
            <w:tcBorders>
              <w:start w:val="single" w:sz="4" w:space="0" w:color="000000"/>
              <w:bottom w:val="single" w:sz="2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4160" w:type="dxa"/>
            <w:vMerge w:val="continue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480" w:type="dxa"/>
            <w:vMerge w:val="continue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269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cs="Times New Roman"/>
                <w:color w:val="000000"/>
                <w:sz w:val="22"/>
                <w:szCs w:val="22"/>
              </w:rPr>
              <w:t>2028</w:t>
            </w:r>
          </w:p>
        </w:tc>
        <w:tc>
          <w:tcPr>
            <w:tcW w:w="1179" w:type="dxa"/>
            <w:vMerge w:val="continue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510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cs="Times New Roman"/>
                <w:color w:val="000000"/>
                <w:sz w:val="22"/>
                <w:szCs w:val="22"/>
                <w:lang w:val="en-US"/>
              </w:rPr>
              <w:t>181</w:t>
            </w:r>
            <w:r>
              <w:rPr>
                <w:rFonts w:cs="Times New Roman"/>
                <w:color w:val="000000"/>
                <w:sz w:val="22"/>
                <w:szCs w:val="22"/>
              </w:rPr>
              <w:t> </w:t>
            </w:r>
            <w:r>
              <w:rPr>
                <w:rFonts w:cs="Times New Roman"/>
                <w:color w:val="000000"/>
                <w:sz w:val="22"/>
                <w:szCs w:val="22"/>
                <w:lang w:val="en-US"/>
              </w:rPr>
              <w:t>80</w:t>
            </w:r>
            <w:r>
              <w:rPr>
                <w:rFonts w:cs="Times New Roman"/>
                <w:color w:val="000000"/>
                <w:sz w:val="22"/>
                <w:szCs w:val="22"/>
              </w:rPr>
              <w:t xml:space="preserve">0,0 </w:t>
            </w:r>
            <w:r>
              <w:rPr>
                <w:rFonts w:eastAsia="Calibri" w:cs="Times New Roman"/>
                <w:color w:val="000000"/>
                <w:sz w:val="22"/>
                <w:szCs w:val="22"/>
              </w:rPr>
              <w:t>– грант, позика</w:t>
            </w:r>
          </w:p>
          <w:p>
            <w:pPr>
              <w:pStyle w:val="Normal"/>
              <w:widowControl w:val="false"/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>
              <w:rPr>
                <w:rFonts w:cs="Times New Roman"/>
                <w:color w:val="000000"/>
                <w:sz w:val="22"/>
                <w:szCs w:val="22"/>
              </w:rPr>
            </w:r>
          </w:p>
          <w:p>
            <w:pPr>
              <w:pStyle w:val="Normal"/>
              <w:widowControl w:val="false"/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>
              <w:rPr>
                <w:rFonts w:cs="Times New Roman"/>
                <w:color w:val="000000"/>
                <w:sz w:val="22"/>
                <w:szCs w:val="22"/>
              </w:rPr>
            </w:r>
          </w:p>
          <w:p>
            <w:pPr>
              <w:pStyle w:val="Normal"/>
              <w:widowControl w:val="false"/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>
              <w:rPr>
                <w:rFonts w:cs="Times New Roman"/>
                <w:color w:val="000000"/>
                <w:sz w:val="22"/>
                <w:szCs w:val="22"/>
              </w:rPr>
            </w:r>
          </w:p>
          <w:p>
            <w:pPr>
              <w:pStyle w:val="Normal"/>
              <w:widowControl w:val="false"/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>
              <w:rPr>
                <w:rFonts w:cs="Times New Roman"/>
                <w:color w:val="000000"/>
                <w:sz w:val="22"/>
                <w:szCs w:val="22"/>
              </w:rPr>
            </w:r>
          </w:p>
          <w:p>
            <w:pPr>
              <w:pStyle w:val="Normal"/>
              <w:widowControl w:val="false"/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>
              <w:rPr>
                <w:rFonts w:cs="Times New Roman"/>
                <w:color w:val="000000"/>
                <w:sz w:val="22"/>
                <w:szCs w:val="22"/>
              </w:rPr>
            </w:r>
          </w:p>
          <w:p>
            <w:pPr>
              <w:pStyle w:val="Normal"/>
              <w:widowControl w:val="false"/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>
              <w:rPr>
                <w:rFonts w:cs="Times New Roman"/>
                <w:color w:val="000000"/>
                <w:sz w:val="22"/>
                <w:szCs w:val="22"/>
              </w:rPr>
            </w:r>
          </w:p>
          <w:p>
            <w:pPr>
              <w:pStyle w:val="Normal"/>
              <w:widowControl w:val="false"/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>
              <w:rPr>
                <w:rFonts w:cs="Times New Roman"/>
                <w:color w:val="000000"/>
                <w:sz w:val="22"/>
                <w:szCs w:val="22"/>
              </w:rPr>
            </w:r>
          </w:p>
          <w:p>
            <w:pPr>
              <w:pStyle w:val="Normal"/>
              <w:widowControl w:val="false"/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>
              <w:rPr>
                <w:rFonts w:cs="Times New Roman"/>
                <w:color w:val="000000"/>
                <w:sz w:val="22"/>
                <w:szCs w:val="22"/>
              </w:rPr>
            </w:r>
          </w:p>
        </w:tc>
        <w:tc>
          <w:tcPr>
            <w:tcW w:w="3635" w:type="dxa"/>
            <w:vMerge w:val="continue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/>
        <w:tc>
          <w:tcPr>
            <w:tcW w:w="453" w:type="dxa"/>
            <w:vMerge w:val="continue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370" w:type="dxa"/>
            <w:vMerge w:val="continue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4160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cs="Times New Roman"/>
                <w:color w:val="000000"/>
                <w:sz w:val="22"/>
                <w:szCs w:val="22"/>
              </w:rPr>
              <w:t>Конденсаційна рекуперація тепла з димових газів–Луцьк 5 МВт</w:t>
            </w:r>
          </w:p>
          <w:p>
            <w:pPr>
              <w:pStyle w:val="Normal"/>
              <w:widowControl w:val="false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cs="Times New Roman"/>
                <w:color w:val="000000"/>
                <w:sz w:val="22"/>
                <w:szCs w:val="22"/>
              </w:rPr>
              <w:t>(проєктування, постачання, встановлення та введення в експлуатацію установки для конденсації димових газів;</w:t>
            </w:r>
          </w:p>
          <w:p>
            <w:pPr>
              <w:pStyle w:val="Normal"/>
              <w:widowControl w:val="false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cs="Times New Roman"/>
                <w:color w:val="000000"/>
                <w:sz w:val="22"/>
                <w:szCs w:val="22"/>
              </w:rPr>
              <w:t>-постачання збірних блоків обладнання центральних теплових пунктів (ЦТП) у місті Луцьк)</w:t>
            </w:r>
          </w:p>
        </w:tc>
        <w:tc>
          <w:tcPr>
            <w:tcW w:w="1480" w:type="dxa"/>
            <w:vMerge w:val="continue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269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cs="Times New Roman"/>
                <w:color w:val="000000"/>
                <w:sz w:val="22"/>
                <w:szCs w:val="22"/>
              </w:rPr>
              <w:t>2026</w:t>
            </w:r>
          </w:p>
        </w:tc>
        <w:tc>
          <w:tcPr>
            <w:tcW w:w="1179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tyle21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eastAsia="Calibri" w:cs="Times New Roman"/>
                <w:color w:val="000000"/>
                <w:sz w:val="22"/>
                <w:szCs w:val="22"/>
              </w:rPr>
              <w:t xml:space="preserve">Інші джерела (грант </w:t>
            </w:r>
            <w:r>
              <w:rPr>
                <w:rFonts w:cs="Times New Roman"/>
                <w:color w:val="000000"/>
                <w:sz w:val="22"/>
                <w:szCs w:val="22"/>
              </w:rPr>
              <w:t xml:space="preserve"> НЕФКО)</w:t>
            </w:r>
          </w:p>
        </w:tc>
        <w:tc>
          <w:tcPr>
            <w:tcW w:w="15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eastAsia="Calibri" w:cs="Times New Roman"/>
                <w:color w:val="000000"/>
                <w:sz w:val="22"/>
                <w:szCs w:val="22"/>
              </w:rPr>
              <w:t>7 200,0</w:t>
            </w:r>
          </w:p>
        </w:tc>
        <w:tc>
          <w:tcPr>
            <w:tcW w:w="363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ind w:end="-28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cs="Times New Roman"/>
                <w:color w:val="000000"/>
                <w:sz w:val="22"/>
                <w:szCs w:val="22"/>
              </w:rPr>
              <w:t>Щорічне скорочення споживання природного газу – 170 тис.м</w:t>
            </w:r>
            <w:r>
              <w:rPr>
                <w:rFonts w:cs="Times New Roman"/>
                <w:color w:val="000000"/>
                <w:sz w:val="22"/>
                <w:szCs w:val="22"/>
                <w:vertAlign w:val="superscript"/>
              </w:rPr>
              <w:t>3</w:t>
            </w:r>
          </w:p>
          <w:p>
            <w:pPr>
              <w:pStyle w:val="Normal"/>
              <w:widowControl w:val="false"/>
              <w:ind w:end="-28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cs="Times New Roman"/>
                <w:color w:val="000000"/>
                <w:sz w:val="22"/>
                <w:szCs w:val="22"/>
              </w:rPr>
              <w:t>Зменшення викидів СО</w:t>
            </w:r>
            <w:r>
              <w:rPr>
                <w:rFonts w:cs="Times New Roman"/>
                <w:color w:val="000000"/>
                <w:sz w:val="22"/>
                <w:szCs w:val="22"/>
                <w:vertAlign w:val="subscript"/>
              </w:rPr>
              <w:t>2</w:t>
            </w:r>
            <w:r>
              <w:rPr>
                <w:rFonts w:cs="Times New Roman"/>
                <w:color w:val="000000"/>
                <w:sz w:val="22"/>
                <w:szCs w:val="22"/>
              </w:rPr>
              <w:t xml:space="preserve"> – 688 т/рік.</w:t>
            </w:r>
          </w:p>
          <w:p>
            <w:pPr>
              <w:pStyle w:val="Normal"/>
              <w:widowControl w:val="false"/>
              <w:ind w:end="-28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cs="Times New Roman"/>
                <w:color w:val="000000"/>
                <w:sz w:val="22"/>
                <w:szCs w:val="22"/>
              </w:rPr>
              <w:t>Кількість вигодонабувачів проєкту – 16 410 осіб)</w:t>
            </w:r>
          </w:p>
        </w:tc>
      </w:tr>
      <w:tr>
        <w:trPr/>
        <w:tc>
          <w:tcPr>
            <w:tcW w:w="453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2" w:space="0" w:color="000000"/>
              <w:end w:val="single" w:sz="4" w:space="0" w:color="000000"/>
            </w:tcBorders>
          </w:tcPr>
          <w:p>
            <w:pPr>
              <w:pStyle w:val="Style21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cs="Times New Roman"/>
                <w:color w:val="000000"/>
                <w:sz w:val="22"/>
                <w:szCs w:val="22"/>
              </w:rPr>
              <w:t>7</w:t>
            </w:r>
          </w:p>
        </w:tc>
        <w:tc>
          <w:tcPr>
            <w:tcW w:w="1370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2" w:space="0" w:color="000000"/>
              <w:end w:val="single" w:sz="4" w:space="0" w:color="000000"/>
            </w:tcBorders>
          </w:tcPr>
          <w:p>
            <w:pPr>
              <w:pStyle w:val="TableParagraph"/>
              <w:widowControl w:val="false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000000"/>
                <w:sz w:val="22"/>
                <w:szCs w:val="22"/>
              </w:rPr>
              <w:t>Впровадже-ння та використання альтернатив-них і відновлюва-них джерел енергії</w:t>
            </w:r>
          </w:p>
          <w:p>
            <w:pPr>
              <w:pStyle w:val="TableParagraph"/>
              <w:widowControl w:val="false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000000"/>
                <w:sz w:val="22"/>
                <w:szCs w:val="22"/>
              </w:rPr>
            </w:r>
          </w:p>
        </w:tc>
        <w:tc>
          <w:tcPr>
            <w:tcW w:w="4160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cs="Times New Roman"/>
                <w:color w:val="000000"/>
                <w:sz w:val="22"/>
                <w:szCs w:val="22"/>
              </w:rPr>
              <w:t>Будівництво комунальних СЕС для комерційного виробництва електроенергії</w:t>
            </w:r>
          </w:p>
          <w:p>
            <w:pPr>
              <w:pStyle w:val="Normal"/>
              <w:widowControl w:val="false"/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>
              <w:rPr>
                <w:rFonts w:cs="Times New Roman"/>
                <w:color w:val="000000"/>
                <w:sz w:val="22"/>
                <w:szCs w:val="22"/>
              </w:rPr>
            </w:r>
          </w:p>
        </w:tc>
        <w:tc>
          <w:tcPr>
            <w:tcW w:w="1480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sz w:val="22"/>
                <w:szCs w:val="22"/>
                <w:lang w:val="ru-RU"/>
              </w:rPr>
              <w:t>Підприємства, організації, установи Луцької міської ради</w:t>
            </w:r>
          </w:p>
        </w:tc>
        <w:tc>
          <w:tcPr>
            <w:tcW w:w="126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cs="Times New Roman"/>
                <w:color w:val="000000"/>
                <w:sz w:val="22"/>
                <w:szCs w:val="22"/>
              </w:rPr>
              <w:t>2026</w:t>
            </w:r>
          </w:p>
        </w:tc>
        <w:tc>
          <w:tcPr>
            <w:tcW w:w="1179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tyle21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cs="Times New Roman"/>
                <w:color w:val="000000"/>
                <w:sz w:val="22"/>
                <w:szCs w:val="22"/>
              </w:rPr>
              <w:t xml:space="preserve">Бюджет ЛМТГ, </w:t>
            </w:r>
            <w:r>
              <w:rPr>
                <w:rFonts w:eastAsia="Calibri" w:cs="Times New Roman"/>
                <w:color w:val="000000"/>
                <w:sz w:val="22"/>
                <w:szCs w:val="22"/>
              </w:rPr>
              <w:t>інші джерела (гранти, позики)</w:t>
            </w:r>
          </w:p>
        </w:tc>
        <w:tc>
          <w:tcPr>
            <w:tcW w:w="15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cs="Times New Roman"/>
                <w:color w:val="000000"/>
                <w:sz w:val="22"/>
                <w:szCs w:val="22"/>
              </w:rPr>
              <w:t xml:space="preserve">8 000,0  </w:t>
            </w:r>
            <w:r>
              <w:rPr>
                <w:rFonts w:eastAsia="Calibri" w:cs="Times New Roman"/>
                <w:color w:val="000000"/>
                <w:sz w:val="22"/>
                <w:szCs w:val="22"/>
              </w:rPr>
              <w:t>– бюджет громади</w:t>
            </w:r>
          </w:p>
          <w:p>
            <w:pPr>
              <w:pStyle w:val="Normal"/>
              <w:widowControl w:val="false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cs="Times New Roman"/>
                <w:color w:val="000000"/>
                <w:sz w:val="22"/>
                <w:szCs w:val="22"/>
              </w:rPr>
              <w:t xml:space="preserve">32 000,0 </w:t>
            </w:r>
            <w:r>
              <w:rPr>
                <w:rFonts w:eastAsia="Calibri" w:cs="Times New Roman"/>
                <w:color w:val="000000"/>
                <w:sz w:val="22"/>
                <w:szCs w:val="22"/>
              </w:rPr>
              <w:t>– гранти, позики</w:t>
            </w:r>
          </w:p>
        </w:tc>
        <w:tc>
          <w:tcPr>
            <w:tcW w:w="3635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ind w:end="-28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cs="Times New Roman"/>
                <w:color w:val="000000"/>
                <w:sz w:val="22"/>
                <w:szCs w:val="22"/>
              </w:rPr>
              <w:t>Встановлення сонячних та вітрових електростанцій допоможе вирішити проблему відсутності електроживлення будівель, а також стане одним із перших кроків для громади на шляху до “зеленого” відновлення країни та енергетичної децентралізації</w:t>
            </w:r>
          </w:p>
          <w:p>
            <w:pPr>
              <w:pStyle w:val="Normal"/>
              <w:widowControl w:val="false"/>
              <w:ind w:end="-28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cs="Times New Roman"/>
                <w:color w:val="000000"/>
                <w:sz w:val="22"/>
                <w:szCs w:val="22"/>
              </w:rPr>
              <w:t>(КП «Луцькводоканал» планує встановлення СЕС потужністю 1,3 МВт, орієнтовна вартість 50 млн грн)</w:t>
            </w:r>
          </w:p>
        </w:tc>
      </w:tr>
      <w:tr>
        <w:trPr>
          <w:trHeight w:val="1419" w:hRule="atLeast"/>
        </w:trPr>
        <w:tc>
          <w:tcPr>
            <w:tcW w:w="453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2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370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2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4160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480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26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cs="Times New Roman"/>
                <w:color w:val="000000"/>
                <w:sz w:val="22"/>
                <w:szCs w:val="22"/>
              </w:rPr>
              <w:t>2027</w:t>
            </w:r>
          </w:p>
        </w:tc>
        <w:tc>
          <w:tcPr>
            <w:tcW w:w="1179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5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cs="Times New Roman"/>
                <w:color w:val="000000"/>
                <w:sz w:val="22"/>
                <w:szCs w:val="22"/>
              </w:rPr>
              <w:t xml:space="preserve">2 000,0 </w:t>
            </w:r>
            <w:r>
              <w:rPr>
                <w:rFonts w:eastAsia="Calibri" w:cs="Times New Roman"/>
                <w:color w:val="000000"/>
                <w:sz w:val="22"/>
                <w:szCs w:val="22"/>
              </w:rPr>
              <w:t>– бюджет громади</w:t>
            </w:r>
          </w:p>
          <w:p>
            <w:pPr>
              <w:pStyle w:val="Normal"/>
              <w:widowControl w:val="false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cs="Times New Roman"/>
                <w:color w:val="000000"/>
                <w:sz w:val="22"/>
                <w:szCs w:val="22"/>
              </w:rPr>
              <w:t xml:space="preserve">8 000,0 </w:t>
            </w:r>
            <w:r>
              <w:rPr>
                <w:rFonts w:eastAsia="Calibri" w:cs="Times New Roman"/>
                <w:color w:val="000000"/>
                <w:sz w:val="22"/>
                <w:szCs w:val="22"/>
              </w:rPr>
              <w:t>– гранти, позики</w:t>
            </w:r>
          </w:p>
          <w:p>
            <w:pPr>
              <w:pStyle w:val="Normal"/>
              <w:widowControl w:val="false"/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>
              <w:rPr>
                <w:rFonts w:cs="Times New Roman"/>
                <w:color w:val="000000"/>
                <w:sz w:val="22"/>
                <w:szCs w:val="22"/>
              </w:rPr>
            </w:r>
          </w:p>
          <w:p>
            <w:pPr>
              <w:pStyle w:val="Normal"/>
              <w:widowControl w:val="false"/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>
              <w:rPr>
                <w:rFonts w:cs="Times New Roman"/>
                <w:color w:val="000000"/>
                <w:sz w:val="22"/>
                <w:szCs w:val="22"/>
              </w:rPr>
            </w:r>
          </w:p>
        </w:tc>
        <w:tc>
          <w:tcPr>
            <w:tcW w:w="3635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/>
        <w:tc>
          <w:tcPr>
            <w:tcW w:w="453" w:type="dxa"/>
            <w:vMerge w:val="continue"/>
            <w:tcBorders>
              <w:start w:val="single" w:sz="4" w:space="0" w:color="000000"/>
              <w:bottom w:val="single" w:sz="2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370" w:type="dxa"/>
            <w:vMerge w:val="continue"/>
            <w:tcBorders>
              <w:start w:val="single" w:sz="4" w:space="0" w:color="000000"/>
              <w:bottom w:val="single" w:sz="2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4160" w:type="dxa"/>
            <w:vMerge w:val="restart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cs="Times New Roman"/>
                <w:color w:val="000000"/>
                <w:sz w:val="22"/>
                <w:szCs w:val="22"/>
              </w:rPr>
              <w:t>Побудова комерційних приватних СЕС та ВЕС</w:t>
            </w:r>
          </w:p>
        </w:tc>
        <w:tc>
          <w:tcPr>
            <w:tcW w:w="1480" w:type="dxa"/>
            <w:vMerge w:val="restart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sz w:val="22"/>
                <w:szCs w:val="22"/>
                <w:lang w:val="ru-RU"/>
              </w:rPr>
              <w:t>Приватні інвестори</w:t>
            </w:r>
          </w:p>
        </w:tc>
        <w:tc>
          <w:tcPr>
            <w:tcW w:w="1269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cs="Times New Roman"/>
                <w:color w:val="000000"/>
                <w:sz w:val="22"/>
                <w:szCs w:val="22"/>
              </w:rPr>
              <w:t>2026</w:t>
            </w:r>
          </w:p>
        </w:tc>
        <w:tc>
          <w:tcPr>
            <w:tcW w:w="1179" w:type="dxa"/>
            <w:vMerge w:val="restart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tyle21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cs="Times New Roman"/>
                <w:color w:val="000000"/>
                <w:sz w:val="22"/>
                <w:szCs w:val="22"/>
              </w:rPr>
              <w:t>Інші джерела (приватні кошти)</w:t>
            </w:r>
          </w:p>
        </w:tc>
        <w:tc>
          <w:tcPr>
            <w:tcW w:w="15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cs="Times New Roman"/>
                <w:color w:val="000000"/>
                <w:sz w:val="22"/>
                <w:szCs w:val="22"/>
              </w:rPr>
              <w:t>68 000,0</w:t>
            </w:r>
          </w:p>
        </w:tc>
        <w:tc>
          <w:tcPr>
            <w:tcW w:w="3635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ind w:end="-28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cs="Times New Roman"/>
                <w:color w:val="000000"/>
                <w:sz w:val="22"/>
                <w:szCs w:val="22"/>
              </w:rPr>
              <w:t>На 01.01.2026 за юридичними особами рахувалося 17 СЕС, потужністю 1,19 МВт, сумарний річний обсяг електроенергії, що наданий у загальну мережу 1642,8 МВт.год</w:t>
            </w:r>
          </w:p>
        </w:tc>
      </w:tr>
      <w:tr>
        <w:trPr/>
        <w:tc>
          <w:tcPr>
            <w:tcW w:w="453" w:type="dxa"/>
            <w:vMerge w:val="continue"/>
            <w:tcBorders>
              <w:start w:val="single" w:sz="4" w:space="0" w:color="000000"/>
              <w:bottom w:val="single" w:sz="2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370" w:type="dxa"/>
            <w:vMerge w:val="continue"/>
            <w:tcBorders>
              <w:start w:val="single" w:sz="4" w:space="0" w:color="000000"/>
              <w:bottom w:val="single" w:sz="2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4160" w:type="dxa"/>
            <w:vMerge w:val="continue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480" w:type="dxa"/>
            <w:vMerge w:val="continue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269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cs="Times New Roman"/>
                <w:color w:val="000000"/>
                <w:sz w:val="22"/>
                <w:szCs w:val="22"/>
              </w:rPr>
              <w:t>202</w:t>
            </w:r>
            <w:r>
              <w:rPr>
                <w:rFonts w:cs="Times New Roman"/>
                <w:color w:val="000000"/>
                <w:sz w:val="22"/>
                <w:szCs w:val="22"/>
                <w:lang w:val="en-US"/>
              </w:rPr>
              <w:t>7</w:t>
            </w:r>
          </w:p>
        </w:tc>
        <w:tc>
          <w:tcPr>
            <w:tcW w:w="1179" w:type="dxa"/>
            <w:vMerge w:val="continue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510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cs="Times New Roman"/>
                <w:color w:val="000000"/>
                <w:sz w:val="22"/>
                <w:szCs w:val="22"/>
              </w:rPr>
              <w:t>51 000,0</w:t>
            </w:r>
          </w:p>
        </w:tc>
        <w:tc>
          <w:tcPr>
            <w:tcW w:w="3635" w:type="dxa"/>
            <w:vMerge w:val="continue"/>
            <w:tcBorders>
              <w:start w:val="single" w:sz="4" w:space="0" w:color="000000"/>
              <w:bottom w:val="single" w:sz="2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/>
        <w:tc>
          <w:tcPr>
            <w:tcW w:w="453" w:type="dxa"/>
            <w:vMerge w:val="continue"/>
            <w:tcBorders>
              <w:start w:val="single" w:sz="4" w:space="0" w:color="000000"/>
              <w:bottom w:val="single" w:sz="2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370" w:type="dxa"/>
            <w:vMerge w:val="continue"/>
            <w:tcBorders>
              <w:start w:val="single" w:sz="4" w:space="0" w:color="000000"/>
              <w:bottom w:val="single" w:sz="2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4160" w:type="dxa"/>
            <w:vMerge w:val="continue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480" w:type="dxa"/>
            <w:vMerge w:val="continue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269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cs="Times New Roman"/>
                <w:color w:val="000000"/>
                <w:sz w:val="22"/>
                <w:szCs w:val="22"/>
              </w:rPr>
              <w:t>202</w:t>
            </w:r>
            <w:r>
              <w:rPr>
                <w:rFonts w:cs="Times New Roman"/>
                <w:color w:val="000000"/>
                <w:sz w:val="22"/>
                <w:szCs w:val="22"/>
                <w:lang w:val="en-US"/>
              </w:rPr>
              <w:t>8</w:t>
            </w:r>
          </w:p>
        </w:tc>
        <w:tc>
          <w:tcPr>
            <w:tcW w:w="1179" w:type="dxa"/>
            <w:vMerge w:val="continue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510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cs="Times New Roman"/>
                <w:color w:val="000000"/>
                <w:sz w:val="22"/>
                <w:szCs w:val="22"/>
              </w:rPr>
              <w:t>17 000,0</w:t>
            </w:r>
          </w:p>
        </w:tc>
        <w:tc>
          <w:tcPr>
            <w:tcW w:w="3635" w:type="dxa"/>
            <w:vMerge w:val="continue"/>
            <w:tcBorders>
              <w:start w:val="single" w:sz="4" w:space="0" w:color="000000"/>
              <w:bottom w:val="single" w:sz="2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/>
        <w:tc>
          <w:tcPr>
            <w:tcW w:w="453" w:type="dxa"/>
            <w:vMerge w:val="continue"/>
            <w:tcBorders>
              <w:start w:val="single" w:sz="4" w:space="0" w:color="000000"/>
              <w:bottom w:val="single" w:sz="2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370" w:type="dxa"/>
            <w:vMerge w:val="continue"/>
            <w:tcBorders>
              <w:start w:val="single" w:sz="4" w:space="0" w:color="000000"/>
              <w:bottom w:val="single" w:sz="2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4160" w:type="dxa"/>
            <w:vMerge w:val="continue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480" w:type="dxa"/>
            <w:vMerge w:val="continue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269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cs="Times New Roman"/>
                <w:color w:val="000000"/>
                <w:sz w:val="22"/>
                <w:szCs w:val="22"/>
              </w:rPr>
              <w:t>202</w:t>
            </w:r>
            <w:r>
              <w:rPr>
                <w:rFonts w:cs="Times New Roman"/>
                <w:color w:val="000000"/>
                <w:sz w:val="22"/>
                <w:szCs w:val="22"/>
                <w:lang w:val="en-US"/>
              </w:rPr>
              <w:t>9</w:t>
            </w:r>
          </w:p>
        </w:tc>
        <w:tc>
          <w:tcPr>
            <w:tcW w:w="1179" w:type="dxa"/>
            <w:vMerge w:val="continue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510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cs="Times New Roman"/>
                <w:color w:val="000000"/>
                <w:sz w:val="22"/>
                <w:szCs w:val="22"/>
              </w:rPr>
              <w:t>17 000,0</w:t>
            </w:r>
          </w:p>
        </w:tc>
        <w:tc>
          <w:tcPr>
            <w:tcW w:w="3635" w:type="dxa"/>
            <w:vMerge w:val="continue"/>
            <w:tcBorders>
              <w:start w:val="single" w:sz="4" w:space="0" w:color="000000"/>
              <w:bottom w:val="single" w:sz="2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/>
        <w:tc>
          <w:tcPr>
            <w:tcW w:w="453" w:type="dxa"/>
            <w:vMerge w:val="continue"/>
            <w:tcBorders>
              <w:start w:val="single" w:sz="4" w:space="0" w:color="000000"/>
              <w:bottom w:val="single" w:sz="2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370" w:type="dxa"/>
            <w:vMerge w:val="continue"/>
            <w:tcBorders>
              <w:start w:val="single" w:sz="4" w:space="0" w:color="000000"/>
              <w:bottom w:val="single" w:sz="2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4160" w:type="dxa"/>
            <w:vMerge w:val="continue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480" w:type="dxa"/>
            <w:vMerge w:val="continue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269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cs="Times New Roman"/>
                <w:color w:val="000000"/>
                <w:sz w:val="22"/>
                <w:szCs w:val="22"/>
              </w:rPr>
              <w:t>20</w:t>
            </w:r>
            <w:r>
              <w:rPr>
                <w:rFonts w:cs="Times New Roman"/>
                <w:color w:val="000000"/>
                <w:sz w:val="22"/>
                <w:szCs w:val="22"/>
                <w:lang w:val="en-US"/>
              </w:rPr>
              <w:t>30</w:t>
            </w:r>
          </w:p>
        </w:tc>
        <w:tc>
          <w:tcPr>
            <w:tcW w:w="1179" w:type="dxa"/>
            <w:vMerge w:val="continue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510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>
              <w:rPr>
                <w:rFonts w:cs="Times New Roman"/>
                <w:color w:val="000000"/>
                <w:sz w:val="22"/>
                <w:szCs w:val="22"/>
              </w:rPr>
              <w:t>17 000,0</w:t>
            </w:r>
          </w:p>
          <w:p>
            <w:pPr>
              <w:pStyle w:val="Normal"/>
              <w:widowControl w:val="false"/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>
              <w:rPr>
                <w:rFonts w:cs="Times New Roman"/>
                <w:color w:val="000000"/>
                <w:sz w:val="22"/>
                <w:szCs w:val="22"/>
              </w:rPr>
            </w:r>
          </w:p>
          <w:p>
            <w:pPr>
              <w:pStyle w:val="Normal"/>
              <w:widowControl w:val="false"/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>
              <w:rPr>
                <w:rFonts w:cs="Times New Roman"/>
                <w:color w:val="000000"/>
                <w:sz w:val="22"/>
                <w:szCs w:val="22"/>
              </w:rPr>
            </w:r>
          </w:p>
          <w:p>
            <w:pPr>
              <w:pStyle w:val="Normal"/>
              <w:widowControl w:val="false"/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>
              <w:rPr>
                <w:rFonts w:cs="Times New Roman"/>
                <w:color w:val="000000"/>
                <w:sz w:val="22"/>
                <w:szCs w:val="22"/>
              </w:rPr>
            </w:r>
          </w:p>
          <w:p>
            <w:pPr>
              <w:pStyle w:val="Normal"/>
              <w:widowControl w:val="false"/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>
              <w:rPr>
                <w:rFonts w:cs="Times New Roman"/>
                <w:color w:val="000000"/>
                <w:sz w:val="22"/>
                <w:szCs w:val="22"/>
              </w:rPr>
            </w:r>
          </w:p>
          <w:p>
            <w:pPr>
              <w:pStyle w:val="Normal"/>
              <w:widowControl w:val="false"/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>
              <w:rPr>
                <w:rFonts w:cs="Times New Roman"/>
                <w:color w:val="000000"/>
                <w:sz w:val="22"/>
                <w:szCs w:val="22"/>
              </w:rPr>
            </w:r>
          </w:p>
          <w:p>
            <w:pPr>
              <w:pStyle w:val="Normal"/>
              <w:widowControl w:val="false"/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>
              <w:rPr>
                <w:rFonts w:cs="Times New Roman"/>
                <w:color w:val="000000"/>
                <w:sz w:val="22"/>
                <w:szCs w:val="22"/>
              </w:rPr>
            </w:r>
          </w:p>
          <w:p>
            <w:pPr>
              <w:pStyle w:val="Normal"/>
              <w:widowControl w:val="false"/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>
              <w:rPr>
                <w:rFonts w:cs="Times New Roman"/>
                <w:color w:val="000000"/>
                <w:sz w:val="22"/>
                <w:szCs w:val="22"/>
              </w:rPr>
            </w:r>
          </w:p>
          <w:p>
            <w:pPr>
              <w:pStyle w:val="Normal"/>
              <w:widowControl w:val="false"/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>
              <w:rPr>
                <w:rFonts w:cs="Times New Roman"/>
                <w:color w:val="000000"/>
                <w:sz w:val="22"/>
                <w:szCs w:val="22"/>
              </w:rPr>
            </w:r>
          </w:p>
          <w:p>
            <w:pPr>
              <w:pStyle w:val="Normal"/>
              <w:widowControl w:val="false"/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>
              <w:rPr>
                <w:rFonts w:cs="Times New Roman"/>
                <w:color w:val="000000"/>
                <w:sz w:val="22"/>
                <w:szCs w:val="22"/>
              </w:rPr>
            </w:r>
          </w:p>
          <w:p>
            <w:pPr>
              <w:pStyle w:val="Normal"/>
              <w:widowControl w:val="false"/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>
              <w:rPr>
                <w:rFonts w:cs="Times New Roman"/>
                <w:color w:val="000000"/>
                <w:sz w:val="22"/>
                <w:szCs w:val="22"/>
              </w:rPr>
            </w:r>
          </w:p>
          <w:p>
            <w:pPr>
              <w:pStyle w:val="Normal"/>
              <w:widowControl w:val="false"/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>
              <w:rPr>
                <w:rFonts w:cs="Times New Roman"/>
                <w:color w:val="000000"/>
                <w:sz w:val="22"/>
                <w:szCs w:val="22"/>
              </w:rPr>
            </w:r>
          </w:p>
          <w:p>
            <w:pPr>
              <w:pStyle w:val="Normal"/>
              <w:widowControl w:val="false"/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>
              <w:rPr>
                <w:rFonts w:cs="Times New Roman"/>
                <w:color w:val="000000"/>
                <w:sz w:val="22"/>
                <w:szCs w:val="22"/>
              </w:rPr>
            </w:r>
          </w:p>
          <w:p>
            <w:pPr>
              <w:pStyle w:val="Normal"/>
              <w:widowControl w:val="false"/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>
              <w:rPr>
                <w:rFonts w:cs="Times New Roman"/>
                <w:color w:val="000000"/>
                <w:sz w:val="22"/>
                <w:szCs w:val="22"/>
              </w:rPr>
            </w:r>
          </w:p>
          <w:p>
            <w:pPr>
              <w:pStyle w:val="Normal"/>
              <w:widowControl w:val="false"/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>
              <w:rPr>
                <w:rFonts w:cs="Times New Roman"/>
                <w:color w:val="000000"/>
                <w:sz w:val="22"/>
                <w:szCs w:val="22"/>
              </w:rPr>
            </w:r>
          </w:p>
          <w:p>
            <w:pPr>
              <w:pStyle w:val="Normal"/>
              <w:widowControl w:val="false"/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>
              <w:rPr>
                <w:rFonts w:cs="Times New Roman"/>
                <w:color w:val="000000"/>
                <w:sz w:val="22"/>
                <w:szCs w:val="22"/>
              </w:rPr>
            </w:r>
          </w:p>
          <w:p>
            <w:pPr>
              <w:pStyle w:val="Normal"/>
              <w:widowControl w:val="false"/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>
              <w:rPr>
                <w:rFonts w:cs="Times New Roman"/>
                <w:color w:val="000000"/>
                <w:sz w:val="22"/>
                <w:szCs w:val="22"/>
              </w:rPr>
            </w:r>
          </w:p>
          <w:p>
            <w:pPr>
              <w:pStyle w:val="Normal"/>
              <w:widowControl w:val="false"/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>
              <w:rPr>
                <w:rFonts w:cs="Times New Roman"/>
                <w:color w:val="000000"/>
                <w:sz w:val="22"/>
                <w:szCs w:val="22"/>
              </w:rPr>
            </w:r>
          </w:p>
          <w:p>
            <w:pPr>
              <w:pStyle w:val="Normal"/>
              <w:widowControl w:val="false"/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>
              <w:rPr>
                <w:rFonts w:cs="Times New Roman"/>
                <w:color w:val="000000"/>
                <w:sz w:val="22"/>
                <w:szCs w:val="22"/>
              </w:rPr>
            </w:r>
          </w:p>
          <w:p>
            <w:pPr>
              <w:pStyle w:val="Normal"/>
              <w:widowControl w:val="false"/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>
              <w:rPr>
                <w:rFonts w:cs="Times New Roman"/>
                <w:color w:val="000000"/>
                <w:sz w:val="22"/>
                <w:szCs w:val="22"/>
              </w:rPr>
            </w:r>
          </w:p>
          <w:p>
            <w:pPr>
              <w:pStyle w:val="Normal"/>
              <w:widowControl w:val="false"/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>
              <w:rPr>
                <w:rFonts w:cs="Times New Roman"/>
                <w:color w:val="000000"/>
                <w:sz w:val="22"/>
                <w:szCs w:val="22"/>
              </w:rPr>
            </w:r>
          </w:p>
          <w:p>
            <w:pPr>
              <w:pStyle w:val="Normal"/>
              <w:widowControl w:val="false"/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>
              <w:rPr>
                <w:rFonts w:cs="Times New Roman"/>
                <w:color w:val="000000"/>
                <w:sz w:val="22"/>
                <w:szCs w:val="22"/>
              </w:rPr>
            </w:r>
          </w:p>
          <w:p>
            <w:pPr>
              <w:pStyle w:val="Normal"/>
              <w:widowControl w:val="false"/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>
              <w:rPr>
                <w:rFonts w:cs="Times New Roman"/>
                <w:color w:val="000000"/>
                <w:sz w:val="22"/>
                <w:szCs w:val="22"/>
              </w:rPr>
            </w:r>
          </w:p>
        </w:tc>
        <w:tc>
          <w:tcPr>
            <w:tcW w:w="3635" w:type="dxa"/>
            <w:vMerge w:val="continue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/>
        <w:tc>
          <w:tcPr>
            <w:tcW w:w="453" w:type="dxa"/>
            <w:vMerge w:val="restart"/>
            <w:tcBorders>
              <w:start w:val="single" w:sz="4" w:space="0" w:color="000000"/>
              <w:bottom w:val="single" w:sz="2" w:space="0" w:color="000000"/>
              <w:end w:val="single" w:sz="4" w:space="0" w:color="000000"/>
            </w:tcBorders>
          </w:tcPr>
          <w:p>
            <w:pPr>
              <w:pStyle w:val="Style21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cs="Times New Roman"/>
                <w:color w:val="000000"/>
                <w:sz w:val="22"/>
                <w:szCs w:val="22"/>
              </w:rPr>
              <w:t>8</w:t>
            </w:r>
          </w:p>
        </w:tc>
        <w:tc>
          <w:tcPr>
            <w:tcW w:w="1370" w:type="dxa"/>
            <w:vMerge w:val="restart"/>
            <w:tcBorders>
              <w:start w:val="single" w:sz="4" w:space="0" w:color="000000"/>
              <w:bottom w:val="single" w:sz="2" w:space="0" w:color="000000"/>
              <w:end w:val="single" w:sz="4" w:space="0" w:color="000000"/>
            </w:tcBorders>
          </w:tcPr>
          <w:p>
            <w:pPr>
              <w:pStyle w:val="TableParagraph"/>
              <w:widowControl w:val="false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000000"/>
                <w:sz w:val="22"/>
                <w:szCs w:val="22"/>
              </w:rPr>
              <w:t>Модернізація системи поводження з твердими побутовими відходами</w:t>
            </w:r>
          </w:p>
        </w:tc>
        <w:tc>
          <w:tcPr>
            <w:tcW w:w="4160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cs="Times New Roman"/>
                <w:color w:val="000000"/>
                <w:sz w:val="22"/>
                <w:szCs w:val="22"/>
              </w:rPr>
              <w:t>Удосконалення системи поводження з ТПВ</w:t>
            </w:r>
          </w:p>
          <w:p>
            <w:pPr>
              <w:pStyle w:val="Normal"/>
              <w:widowControl w:val="false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cs="Times New Roman"/>
                <w:color w:val="000000"/>
                <w:sz w:val="22"/>
                <w:szCs w:val="22"/>
              </w:rPr>
              <w:t>(Заходи у межах стратегії нульових відходів:</w:t>
            </w:r>
          </w:p>
          <w:p>
            <w:pPr>
              <w:pStyle w:val="Normal"/>
              <w:widowControl w:val="false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cs="Times New Roman"/>
                <w:color w:val="000000"/>
                <w:sz w:val="22"/>
                <w:szCs w:val="22"/>
              </w:rPr>
              <w:t>зменшення обсягів побутових відходів;</w:t>
            </w:r>
          </w:p>
          <w:p>
            <w:pPr>
              <w:pStyle w:val="Normal"/>
              <w:widowControl w:val="false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cs="Times New Roman"/>
                <w:color w:val="000000"/>
                <w:sz w:val="22"/>
                <w:szCs w:val="22"/>
              </w:rPr>
              <w:t>проведення аналізу морфологічного складу відходів та оцінка наявних можливостей щодо запобігання їх утворенню;</w:t>
            </w:r>
          </w:p>
          <w:p>
            <w:pPr>
              <w:pStyle w:val="Normal"/>
              <w:widowControl w:val="false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cs="Times New Roman"/>
                <w:color w:val="000000"/>
                <w:sz w:val="22"/>
                <w:szCs w:val="22"/>
              </w:rPr>
              <w:t>встановлення цільових показників щодо збільшення обсягів роздільного збору та переробки відходів, а також заклик інших органів влади (зокрема регіонального рівня) до співпраці з метою покращення системи управління відходами;</w:t>
            </w:r>
          </w:p>
          <w:p>
            <w:pPr>
              <w:pStyle w:val="Normal"/>
              <w:widowControl w:val="false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cs="Times New Roman"/>
                <w:color w:val="000000"/>
                <w:sz w:val="22"/>
                <w:szCs w:val="22"/>
              </w:rPr>
              <w:t>збір та аналіз даних щодо утворення та переробки відходів у громаді для відстеження прогресу реалізації плану/стратегії нульових відходів;</w:t>
            </w:r>
          </w:p>
          <w:p>
            <w:pPr>
              <w:pStyle w:val="Normal"/>
              <w:widowControl w:val="false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cs="Times New Roman"/>
                <w:color w:val="000000"/>
                <w:sz w:val="22"/>
                <w:szCs w:val="22"/>
              </w:rPr>
              <w:t>збір та публікація даних про економічні та соціальні наслідки впровадження плану нульових відходів;</w:t>
            </w:r>
          </w:p>
          <w:p>
            <w:pPr>
              <w:pStyle w:val="Normal"/>
              <w:widowControl w:val="false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cs="Times New Roman"/>
                <w:color w:val="000000"/>
                <w:sz w:val="22"/>
                <w:szCs w:val="22"/>
              </w:rPr>
              <w:t>призначення відповідальної особи за реалізацію плану нульових відходів у громаді;</w:t>
            </w:r>
          </w:p>
          <w:p>
            <w:pPr>
              <w:pStyle w:val="Normal"/>
              <w:widowControl w:val="false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cs="Times New Roman"/>
                <w:color w:val="000000"/>
                <w:sz w:val="22"/>
                <w:szCs w:val="22"/>
              </w:rPr>
              <w:t>створення консультативної ради з питань нульових відходів у громаді, що забезпечує залучення зацікавлених сторін до розробки та  реалізації плану;</w:t>
            </w:r>
          </w:p>
          <w:p>
            <w:pPr>
              <w:pStyle w:val="Normal"/>
              <w:widowControl w:val="false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cs="Times New Roman"/>
                <w:color w:val="000000"/>
                <w:sz w:val="22"/>
                <w:szCs w:val="22"/>
              </w:rPr>
              <w:t>регулярне проведення консультацій з громадянами та інформування їх про хід реалізації плану нульових відходів;</w:t>
            </w:r>
          </w:p>
          <w:p>
            <w:pPr>
              <w:pStyle w:val="Normal"/>
              <w:widowControl w:val="false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cs="Times New Roman"/>
                <w:color w:val="000000"/>
                <w:sz w:val="22"/>
                <w:szCs w:val="22"/>
              </w:rPr>
              <w:t>аналіз публічних закупівель та виявлення шляхів зменшення відходів у ланцюгах постачання;</w:t>
            </w:r>
          </w:p>
          <w:p>
            <w:pPr>
              <w:pStyle w:val="Normal"/>
              <w:widowControl w:val="false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cs="Times New Roman"/>
                <w:color w:val="000000"/>
                <w:sz w:val="22"/>
                <w:szCs w:val="22"/>
              </w:rPr>
              <w:t>організація навчань для співробітників громади та місцевих фахівців у сфері управління відходами щодо запобігання утворенню відходів та впровадження плану нульових відходів)</w:t>
            </w:r>
          </w:p>
          <w:p>
            <w:pPr>
              <w:pStyle w:val="Normal"/>
              <w:widowControl w:val="false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cs="Times New Roman"/>
                <w:color w:val="000000"/>
                <w:sz w:val="22"/>
                <w:szCs w:val="22"/>
              </w:rPr>
              <w:t>-надання додаткових можливостей для навчання</w:t>
            </w:r>
          </w:p>
          <w:p>
            <w:pPr>
              <w:pStyle w:val="Normal"/>
              <w:widowControl w:val="false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cs="Times New Roman"/>
                <w:color w:val="000000"/>
                <w:sz w:val="22"/>
                <w:szCs w:val="22"/>
              </w:rPr>
              <w:t>працівникам та місцевим фахівцям, зокрема поїздок, у тому числі за кордон, для ознайомлення з найкращими практиками;</w:t>
            </w:r>
          </w:p>
          <w:p>
            <w:pPr>
              <w:pStyle w:val="Normal"/>
              <w:widowControl w:val="false"/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>
              <w:rPr>
                <w:rFonts w:cs="Times New Roman"/>
                <w:color w:val="000000"/>
                <w:sz w:val="22"/>
                <w:szCs w:val="22"/>
              </w:rPr>
              <w:t>-запровадження програми управління органічними відходами.)</w:t>
            </w:r>
          </w:p>
          <w:p>
            <w:pPr>
              <w:pStyle w:val="Normal"/>
              <w:widowControl w:val="false"/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>
              <w:rPr>
                <w:rFonts w:cs="Times New Roman"/>
                <w:color w:val="000000"/>
                <w:sz w:val="22"/>
                <w:szCs w:val="22"/>
              </w:rPr>
            </w:r>
          </w:p>
        </w:tc>
        <w:tc>
          <w:tcPr>
            <w:tcW w:w="1480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eastAsia="Calibri" w:cs="Times New Roman"/>
                <w:color w:val="000000"/>
                <w:sz w:val="22"/>
                <w:szCs w:val="22"/>
              </w:rPr>
              <w:t>Відділ екології</w:t>
            </w:r>
          </w:p>
          <w:p>
            <w:pPr>
              <w:pStyle w:val="Normal"/>
              <w:widowControl w:val="false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eastAsia="Calibri" w:cs="Times New Roman"/>
                <w:color w:val="000000"/>
                <w:sz w:val="22"/>
                <w:szCs w:val="22"/>
              </w:rPr>
              <w:t>ЛСКАП «Луцькспец-комунтранс»</w:t>
            </w:r>
          </w:p>
        </w:tc>
        <w:tc>
          <w:tcPr>
            <w:tcW w:w="126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cs="Times New Roman"/>
                <w:color w:val="000000"/>
                <w:sz w:val="22"/>
                <w:szCs w:val="22"/>
              </w:rPr>
              <w:t>2026</w:t>
            </w:r>
          </w:p>
        </w:tc>
        <w:tc>
          <w:tcPr>
            <w:tcW w:w="1179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tyle21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cs="Times New Roman"/>
                <w:color w:val="000000"/>
                <w:sz w:val="22"/>
                <w:szCs w:val="22"/>
              </w:rPr>
              <w:t>Бюджет ЛМТГ,</w:t>
            </w:r>
          </w:p>
          <w:p>
            <w:pPr>
              <w:pStyle w:val="Style21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eastAsia="Calibri" w:cs="Times New Roman"/>
                <w:color w:val="000000"/>
                <w:sz w:val="22"/>
                <w:szCs w:val="22"/>
              </w:rPr>
              <w:t>інші джерела (гранти, позики)</w:t>
            </w:r>
          </w:p>
        </w:tc>
        <w:tc>
          <w:tcPr>
            <w:tcW w:w="15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cs="Times New Roman"/>
                <w:color w:val="000000"/>
                <w:sz w:val="22"/>
                <w:szCs w:val="22"/>
              </w:rPr>
              <w:t xml:space="preserve">52,8  </w:t>
            </w:r>
            <w:r>
              <w:rPr>
                <w:rFonts w:eastAsia="Calibri" w:cs="Times New Roman"/>
                <w:color w:val="000000"/>
                <w:sz w:val="22"/>
                <w:szCs w:val="22"/>
              </w:rPr>
              <w:t>– бюджет громади</w:t>
            </w:r>
          </w:p>
          <w:p>
            <w:pPr>
              <w:pStyle w:val="Normal"/>
              <w:widowControl w:val="false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eastAsia="Calibri" w:cs="Times New Roman"/>
                <w:color w:val="000000"/>
                <w:sz w:val="22"/>
                <w:szCs w:val="22"/>
              </w:rPr>
              <w:t>475,2 – інші джерела (гранти, позики)</w:t>
            </w:r>
          </w:p>
        </w:tc>
        <w:tc>
          <w:tcPr>
            <w:tcW w:w="3635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jc w:val="center"/>
              <w:rPr>
                <w:sz w:val="22"/>
                <w:szCs w:val="22"/>
              </w:rPr>
            </w:pPr>
            <w:r>
              <w:rPr>
                <w:rStyle w:val="rvts0"/>
                <w:rFonts w:eastAsia="Times New Roman" w:cs="Times New Roman"/>
                <w:color w:val="000000"/>
                <w:sz w:val="22"/>
                <w:szCs w:val="22"/>
              </w:rPr>
              <w:t>Забезпечення виконання вимог чинного законодавства, що регулює питання поводження з ТПВ, екологічної безпеки, охорони довкілля, раціонального використання і відтворення  природних ресурсів</w:t>
            </w:r>
          </w:p>
          <w:p>
            <w:pPr>
              <w:pStyle w:val="Normal"/>
              <w:widowControl w:val="false"/>
              <w:suppressLineNumbers/>
              <w:jc w:val="center"/>
              <w:rPr>
                <w:sz w:val="22"/>
                <w:szCs w:val="22"/>
              </w:rPr>
            </w:pPr>
            <w:r>
              <w:rPr>
                <w:rStyle w:val="rvts0"/>
                <w:rFonts w:eastAsia="Times New Roman" w:cs="Times New Roman"/>
                <w:color w:val="000000"/>
                <w:sz w:val="22"/>
                <w:szCs w:val="22"/>
              </w:rPr>
              <w:t>Зобов’язання Луцької міської територіальної громади отримати сертифікацію «Нульові відходи»:</w:t>
            </w:r>
          </w:p>
          <w:p>
            <w:pPr>
              <w:pStyle w:val="Normal"/>
              <w:widowControl w:val="false"/>
              <w:suppressLineNumbers/>
              <w:jc w:val="center"/>
              <w:rPr>
                <w:sz w:val="22"/>
                <w:szCs w:val="22"/>
              </w:rPr>
            </w:pPr>
            <w:r>
              <w:rPr>
                <w:rStyle w:val="rvts0"/>
                <w:rFonts w:eastAsia="Times New Roman" w:cs="Times New Roman"/>
                <w:color w:val="000000"/>
                <w:sz w:val="22"/>
                <w:szCs w:val="22"/>
              </w:rPr>
              <w:t>досягненням рівня спрамування 90% міських ТПВ на безпечні та ефективні методи утилізації; встановлення цільового показника у 120 кг залишкових відходів на душу населення.</w:t>
            </w:r>
          </w:p>
        </w:tc>
      </w:tr>
      <w:tr>
        <w:trPr/>
        <w:tc>
          <w:tcPr>
            <w:tcW w:w="453" w:type="dxa"/>
            <w:vMerge w:val="continue"/>
            <w:tcBorders>
              <w:top w:val="single" w:sz="4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370" w:type="dxa"/>
            <w:vMerge w:val="continue"/>
            <w:tcBorders>
              <w:top w:val="single" w:sz="4" w:space="0" w:color="000000"/>
              <w:start w:val="single" w:sz="2" w:space="0" w:color="000000"/>
              <w:bottom w:val="single" w:sz="2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4160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480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26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eastAsia="Calibri" w:cs="Times New Roman"/>
                <w:color w:val="000000"/>
                <w:sz w:val="22"/>
                <w:szCs w:val="22"/>
              </w:rPr>
              <w:t>2027</w:t>
            </w:r>
          </w:p>
        </w:tc>
        <w:tc>
          <w:tcPr>
            <w:tcW w:w="1179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5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cs="Times New Roman"/>
                <w:color w:val="000000"/>
                <w:sz w:val="22"/>
                <w:szCs w:val="22"/>
              </w:rPr>
              <w:t xml:space="preserve">242,0  </w:t>
            </w:r>
            <w:r>
              <w:rPr>
                <w:rFonts w:eastAsia="Calibri" w:cs="Times New Roman"/>
                <w:color w:val="000000"/>
                <w:sz w:val="22"/>
                <w:szCs w:val="22"/>
              </w:rPr>
              <w:t>– бюджет громади</w:t>
            </w:r>
          </w:p>
          <w:p>
            <w:pPr>
              <w:pStyle w:val="Normal"/>
              <w:widowControl w:val="false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eastAsia="Calibri" w:cs="Times New Roman"/>
                <w:color w:val="000000"/>
                <w:sz w:val="22"/>
                <w:szCs w:val="22"/>
              </w:rPr>
              <w:t>2 178,0 – інші джерела (гранти, позики)</w:t>
            </w:r>
          </w:p>
          <w:p>
            <w:pPr>
              <w:pStyle w:val="Normal"/>
              <w:widowControl w:val="false"/>
              <w:rPr>
                <w:rFonts w:cs="Times New Roman"/>
                <w:color w:val="000000"/>
                <w:sz w:val="22"/>
                <w:szCs w:val="22"/>
              </w:rPr>
            </w:pPr>
            <w:r>
              <w:rPr>
                <w:rFonts w:cs="Times New Roman"/>
                <w:color w:val="000000"/>
                <w:sz w:val="22"/>
                <w:szCs w:val="22"/>
              </w:rPr>
            </w:r>
          </w:p>
        </w:tc>
        <w:tc>
          <w:tcPr>
            <w:tcW w:w="3635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>
          <w:trHeight w:val="311" w:hRule="atLeast"/>
        </w:trPr>
        <w:tc>
          <w:tcPr>
            <w:tcW w:w="7463" w:type="dxa"/>
            <w:gridSpan w:val="4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2448" w:type="dxa"/>
            <w:gridSpan w:val="2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cs="Times New Roman"/>
                <w:b/>
                <w:color w:val="000000"/>
                <w:sz w:val="22"/>
                <w:szCs w:val="22"/>
              </w:rPr>
              <w:t>Бюджет громади</w:t>
            </w:r>
          </w:p>
        </w:tc>
        <w:tc>
          <w:tcPr>
            <w:tcW w:w="1510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cs="Times New Roman"/>
                <w:b/>
                <w:color w:val="000000"/>
                <w:sz w:val="22"/>
                <w:szCs w:val="22"/>
              </w:rPr>
              <w:t>Інші джерела</w:t>
            </w:r>
          </w:p>
        </w:tc>
        <w:tc>
          <w:tcPr>
            <w:tcW w:w="3635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cs="Times New Roman"/>
                <w:b/>
                <w:color w:val="000000"/>
                <w:sz w:val="22"/>
                <w:szCs w:val="22"/>
              </w:rPr>
              <w:t>Бюджет держави</w:t>
            </w:r>
          </w:p>
        </w:tc>
      </w:tr>
      <w:tr>
        <w:trPr>
          <w:trHeight w:val="311" w:hRule="atLeast"/>
        </w:trPr>
        <w:tc>
          <w:tcPr>
            <w:tcW w:w="7463" w:type="dxa"/>
            <w:gridSpan w:val="4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cs="Times New Roman"/>
                <w:b/>
                <w:color w:val="000000"/>
                <w:sz w:val="22"/>
                <w:szCs w:val="22"/>
              </w:rPr>
              <w:t>2026</w:t>
            </w:r>
          </w:p>
        </w:tc>
        <w:tc>
          <w:tcPr>
            <w:tcW w:w="2448" w:type="dxa"/>
            <w:gridSpan w:val="2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vAlign w:val="center"/>
          </w:tcPr>
          <w:p>
            <w:pPr>
              <w:pStyle w:val="Style2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267 412,18</w:t>
            </w:r>
          </w:p>
        </w:tc>
        <w:tc>
          <w:tcPr>
            <w:tcW w:w="1510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Style2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855 479,52</w:t>
            </w:r>
          </w:p>
        </w:tc>
        <w:tc>
          <w:tcPr>
            <w:tcW w:w="3635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vAlign w:val="center"/>
          </w:tcPr>
          <w:p>
            <w:pPr>
              <w:pStyle w:val="Style21"/>
              <w:jc w:val="center"/>
              <w:rPr>
                <w:sz w:val="22"/>
                <w:szCs w:val="22"/>
              </w:rPr>
            </w:pPr>
            <w:r>
              <w:rPr>
                <w:rFonts w:cs="Times New Roman"/>
                <w:color w:val="000000"/>
                <w:sz w:val="22"/>
                <w:szCs w:val="22"/>
              </w:rPr>
              <w:t>417 840,00</w:t>
            </w:r>
          </w:p>
        </w:tc>
      </w:tr>
      <w:tr>
        <w:trPr>
          <w:trHeight w:val="311" w:hRule="atLeast"/>
        </w:trPr>
        <w:tc>
          <w:tcPr>
            <w:tcW w:w="7463" w:type="dxa"/>
            <w:gridSpan w:val="4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cs="Times New Roman"/>
                <w:b/>
                <w:color w:val="000000"/>
                <w:sz w:val="22"/>
                <w:szCs w:val="22"/>
              </w:rPr>
              <w:t>2027</w:t>
            </w:r>
          </w:p>
        </w:tc>
        <w:tc>
          <w:tcPr>
            <w:tcW w:w="2448" w:type="dxa"/>
            <w:gridSpan w:val="2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vAlign w:val="center"/>
          </w:tcPr>
          <w:p>
            <w:pPr>
              <w:pStyle w:val="Style21"/>
              <w:jc w:val="center"/>
              <w:rPr>
                <w:sz w:val="22"/>
                <w:szCs w:val="22"/>
              </w:rPr>
            </w:pPr>
            <w:r>
              <w:rPr>
                <w:rFonts w:cs="Times New Roman"/>
                <w:color w:val="000000"/>
                <w:sz w:val="22"/>
                <w:szCs w:val="22"/>
              </w:rPr>
              <w:t>142 402,48</w:t>
            </w:r>
          </w:p>
        </w:tc>
        <w:tc>
          <w:tcPr>
            <w:tcW w:w="1510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Style21"/>
              <w:jc w:val="center"/>
              <w:rPr>
                <w:sz w:val="22"/>
                <w:szCs w:val="22"/>
              </w:rPr>
            </w:pPr>
            <w:r>
              <w:rPr>
                <w:rFonts w:cs="Times New Roman"/>
                <w:color w:val="000000"/>
                <w:sz w:val="22"/>
                <w:szCs w:val="22"/>
              </w:rPr>
              <w:t>827 309,92</w:t>
            </w:r>
          </w:p>
        </w:tc>
        <w:tc>
          <w:tcPr>
            <w:tcW w:w="3635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vAlign w:val="center"/>
          </w:tcPr>
          <w:p>
            <w:pPr>
              <w:pStyle w:val="Style21"/>
              <w:jc w:val="center"/>
              <w:rPr>
                <w:sz w:val="22"/>
                <w:szCs w:val="22"/>
              </w:rPr>
            </w:pPr>
            <w:r>
              <w:rPr>
                <w:rFonts w:cs="Times New Roman"/>
                <w:color w:val="000000"/>
                <w:sz w:val="22"/>
                <w:szCs w:val="22"/>
              </w:rPr>
              <w:t>350 364,00</w:t>
            </w:r>
          </w:p>
        </w:tc>
      </w:tr>
      <w:tr>
        <w:trPr>
          <w:trHeight w:val="311" w:hRule="atLeast"/>
        </w:trPr>
        <w:tc>
          <w:tcPr>
            <w:tcW w:w="7463" w:type="dxa"/>
            <w:gridSpan w:val="4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cs="Times New Roman"/>
                <w:b/>
                <w:color w:val="000000"/>
                <w:sz w:val="22"/>
                <w:szCs w:val="22"/>
              </w:rPr>
              <w:t>2028</w:t>
            </w:r>
          </w:p>
        </w:tc>
        <w:tc>
          <w:tcPr>
            <w:tcW w:w="2448" w:type="dxa"/>
            <w:gridSpan w:val="2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vAlign w:val="center"/>
          </w:tcPr>
          <w:p>
            <w:pPr>
              <w:pStyle w:val="Style21"/>
              <w:jc w:val="center"/>
              <w:rPr>
                <w:sz w:val="22"/>
                <w:szCs w:val="22"/>
              </w:rPr>
            </w:pPr>
            <w:r>
              <w:rPr>
                <w:rFonts w:cs="Times New Roman"/>
                <w:color w:val="000000"/>
                <w:sz w:val="22"/>
                <w:szCs w:val="22"/>
              </w:rPr>
              <w:t>213 282,50</w:t>
            </w:r>
          </w:p>
        </w:tc>
        <w:tc>
          <w:tcPr>
            <w:tcW w:w="1510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Style21"/>
              <w:jc w:val="center"/>
              <w:rPr>
                <w:sz w:val="22"/>
                <w:szCs w:val="22"/>
              </w:rPr>
            </w:pPr>
            <w:r>
              <w:rPr>
                <w:rFonts w:cs="Times New Roman"/>
                <w:color w:val="000000"/>
                <w:sz w:val="22"/>
                <w:szCs w:val="22"/>
              </w:rPr>
              <w:t>429 844,00</w:t>
            </w:r>
          </w:p>
        </w:tc>
        <w:tc>
          <w:tcPr>
            <w:tcW w:w="3635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vAlign w:val="center"/>
          </w:tcPr>
          <w:p>
            <w:pPr>
              <w:pStyle w:val="Style21"/>
              <w:jc w:val="center"/>
              <w:rPr>
                <w:sz w:val="22"/>
                <w:szCs w:val="22"/>
              </w:rPr>
            </w:pPr>
            <w:r>
              <w:rPr>
                <w:rFonts w:cs="Times New Roman"/>
                <w:color w:val="000000"/>
                <w:sz w:val="22"/>
                <w:szCs w:val="22"/>
              </w:rPr>
              <w:t>350 000,00</w:t>
            </w:r>
          </w:p>
        </w:tc>
      </w:tr>
      <w:tr>
        <w:trPr>
          <w:trHeight w:val="311" w:hRule="atLeast"/>
        </w:trPr>
        <w:tc>
          <w:tcPr>
            <w:tcW w:w="7463" w:type="dxa"/>
            <w:gridSpan w:val="4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cs="Times New Roman"/>
                <w:b/>
                <w:color w:val="000000"/>
                <w:sz w:val="22"/>
                <w:szCs w:val="22"/>
              </w:rPr>
              <w:t>2029</w:t>
            </w:r>
          </w:p>
        </w:tc>
        <w:tc>
          <w:tcPr>
            <w:tcW w:w="2448" w:type="dxa"/>
            <w:gridSpan w:val="2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vAlign w:val="center"/>
          </w:tcPr>
          <w:p>
            <w:pPr>
              <w:pStyle w:val="Style21"/>
              <w:jc w:val="center"/>
              <w:rPr>
                <w:sz w:val="22"/>
                <w:szCs w:val="22"/>
              </w:rPr>
            </w:pPr>
            <w:r>
              <w:rPr>
                <w:rFonts w:cs="Times New Roman"/>
                <w:color w:val="000000"/>
                <w:sz w:val="22"/>
                <w:szCs w:val="22"/>
              </w:rPr>
              <w:t>198 655,10</w:t>
            </w:r>
          </w:p>
        </w:tc>
        <w:tc>
          <w:tcPr>
            <w:tcW w:w="1510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Style21"/>
              <w:jc w:val="center"/>
              <w:rPr>
                <w:sz w:val="22"/>
                <w:szCs w:val="22"/>
              </w:rPr>
            </w:pPr>
            <w:r>
              <w:rPr>
                <w:rFonts w:cs="Times New Roman"/>
                <w:color w:val="000000"/>
                <w:sz w:val="22"/>
                <w:szCs w:val="22"/>
              </w:rPr>
              <w:t>137 604,00</w:t>
            </w:r>
          </w:p>
        </w:tc>
        <w:tc>
          <w:tcPr>
            <w:tcW w:w="3635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vAlign w:val="center"/>
          </w:tcPr>
          <w:p>
            <w:pPr>
              <w:pStyle w:val="Style21"/>
              <w:jc w:val="center"/>
              <w:rPr>
                <w:sz w:val="22"/>
                <w:szCs w:val="22"/>
              </w:rPr>
            </w:pPr>
            <w:r>
              <w:rPr>
                <w:rFonts w:cs="Times New Roman"/>
                <w:color w:val="000000"/>
                <w:sz w:val="22"/>
                <w:szCs w:val="22"/>
              </w:rPr>
              <w:t>350 364,00</w:t>
            </w:r>
          </w:p>
        </w:tc>
      </w:tr>
      <w:tr>
        <w:trPr>
          <w:trHeight w:val="311" w:hRule="atLeast"/>
        </w:trPr>
        <w:tc>
          <w:tcPr>
            <w:tcW w:w="7463" w:type="dxa"/>
            <w:gridSpan w:val="4"/>
            <w:tcBorders>
              <w:top w:val="single" w:sz="2" w:space="0" w:color="000000"/>
              <w:start w:val="single" w:sz="2" w:space="0" w:color="000000"/>
              <w:bottom w:val="single" w:sz="4" w:space="0" w:color="000000"/>
              <w:end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cs="Times New Roman"/>
                <w:b/>
                <w:color w:val="000000"/>
                <w:sz w:val="22"/>
                <w:szCs w:val="22"/>
              </w:rPr>
              <w:t>2030</w:t>
            </w:r>
          </w:p>
        </w:tc>
        <w:tc>
          <w:tcPr>
            <w:tcW w:w="2448" w:type="dxa"/>
            <w:gridSpan w:val="2"/>
            <w:tcBorders>
              <w:top w:val="single" w:sz="2" w:space="0" w:color="000000"/>
              <w:start w:val="single" w:sz="2" w:space="0" w:color="000000"/>
              <w:bottom w:val="single" w:sz="4" w:space="0" w:color="000000"/>
              <w:end w:val="single" w:sz="2" w:space="0" w:color="000000"/>
            </w:tcBorders>
            <w:vAlign w:val="center"/>
          </w:tcPr>
          <w:p>
            <w:pPr>
              <w:pStyle w:val="Style21"/>
              <w:jc w:val="center"/>
              <w:rPr>
                <w:sz w:val="22"/>
                <w:szCs w:val="22"/>
              </w:rPr>
            </w:pPr>
            <w:r>
              <w:rPr>
                <w:rFonts w:cs="Times New Roman"/>
                <w:color w:val="000000"/>
                <w:sz w:val="22"/>
                <w:szCs w:val="22"/>
              </w:rPr>
              <w:t>199 972,10</w:t>
            </w:r>
          </w:p>
        </w:tc>
        <w:tc>
          <w:tcPr>
            <w:tcW w:w="1510" w:type="dxa"/>
            <w:tcBorders>
              <w:top w:val="single" w:sz="2" w:space="0" w:color="000000"/>
              <w:start w:val="single" w:sz="2" w:space="0" w:color="000000"/>
              <w:bottom w:val="single" w:sz="4" w:space="0" w:color="000000"/>
            </w:tcBorders>
            <w:vAlign w:val="center"/>
          </w:tcPr>
          <w:p>
            <w:pPr>
              <w:pStyle w:val="Style21"/>
              <w:jc w:val="center"/>
              <w:rPr>
                <w:sz w:val="22"/>
                <w:szCs w:val="22"/>
              </w:rPr>
            </w:pPr>
            <w:r>
              <w:rPr>
                <w:rFonts w:cs="Times New Roman"/>
                <w:color w:val="000000"/>
                <w:sz w:val="22"/>
                <w:szCs w:val="22"/>
              </w:rPr>
              <w:t>140 512,00</w:t>
            </w:r>
          </w:p>
        </w:tc>
        <w:tc>
          <w:tcPr>
            <w:tcW w:w="3635" w:type="dxa"/>
            <w:tcBorders>
              <w:top w:val="single" w:sz="2" w:space="0" w:color="000000"/>
              <w:start w:val="single" w:sz="2" w:space="0" w:color="000000"/>
              <w:bottom w:val="single" w:sz="4" w:space="0" w:color="000000"/>
              <w:end w:val="single" w:sz="2" w:space="0" w:color="000000"/>
            </w:tcBorders>
            <w:vAlign w:val="center"/>
          </w:tcPr>
          <w:p>
            <w:pPr>
              <w:pStyle w:val="Style21"/>
              <w:jc w:val="center"/>
              <w:rPr>
                <w:sz w:val="22"/>
                <w:szCs w:val="22"/>
              </w:rPr>
            </w:pPr>
            <w:r>
              <w:rPr>
                <w:rFonts w:cs="Times New Roman"/>
                <w:color w:val="000000"/>
                <w:sz w:val="22"/>
                <w:szCs w:val="22"/>
              </w:rPr>
              <w:t>351 092,00</w:t>
            </w:r>
          </w:p>
        </w:tc>
      </w:tr>
    </w:tbl>
    <w:p>
      <w:pPr>
        <w:pStyle w:val="NoSpacing"/>
        <w:jc w:val="center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</w:r>
    </w:p>
    <w:p>
      <w:pPr>
        <w:pStyle w:val="Normal"/>
        <w:tabs>
          <w:tab w:val="clear" w:pos="720"/>
          <w:tab w:val="left" w:pos="916" w:leader="none"/>
          <w:tab w:val="left" w:pos="1134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jc w:val="both"/>
        <w:rPr>
          <w:rFonts w:cs="Times New Roman"/>
          <w:color w:val="000000"/>
          <w:sz w:val="22"/>
          <w:szCs w:val="22"/>
        </w:rPr>
      </w:pPr>
      <w:r>
        <w:rPr>
          <w:rFonts w:cs="Times New Roman"/>
          <w:color w:val="000000"/>
          <w:sz w:val="22"/>
          <w:szCs w:val="22"/>
        </w:rPr>
      </w:r>
    </w:p>
    <w:p>
      <w:pPr>
        <w:pStyle w:val="NoSpacing"/>
        <w:rPr>
          <w:rFonts w:cs="Times New Roman"/>
          <w:color w:val="000000"/>
          <w:sz w:val="22"/>
          <w:szCs w:val="22"/>
        </w:rPr>
      </w:pPr>
      <w:r>
        <w:rPr>
          <w:rFonts w:cs="Times New Roman"/>
          <w:color w:val="000000"/>
          <w:sz w:val="22"/>
          <w:szCs w:val="22"/>
        </w:rPr>
      </w:r>
    </w:p>
    <w:p>
      <w:pPr>
        <w:pStyle w:val="NoSpacing"/>
        <w:rPr>
          <w:rFonts w:cs="Times New Roman"/>
          <w:color w:val="000000"/>
          <w:sz w:val="22"/>
          <w:szCs w:val="22"/>
        </w:rPr>
      </w:pPr>
      <w:r>
        <w:rPr>
          <w:rFonts w:cs="Times New Roman"/>
          <w:color w:val="000000"/>
          <w:sz w:val="22"/>
          <w:szCs w:val="22"/>
        </w:rPr>
      </w:r>
    </w:p>
    <w:p>
      <w:pPr>
        <w:pStyle w:val="NoSpacing"/>
        <w:rPr>
          <w:rFonts w:cs="Times New Roman"/>
          <w:color w:val="000000"/>
          <w:sz w:val="22"/>
          <w:szCs w:val="22"/>
        </w:rPr>
      </w:pPr>
      <w:r>
        <w:rPr>
          <w:rFonts w:cs="Times New Roman"/>
          <w:color w:val="000000"/>
          <w:sz w:val="22"/>
          <w:szCs w:val="22"/>
        </w:rPr>
        <w:t>Смаль 777 955</w:t>
      </w:r>
    </w:p>
    <w:sectPr>
      <w:headerReference w:type="even" r:id="rId8"/>
      <w:headerReference w:type="default" r:id="rId9"/>
      <w:headerReference w:type="first" r:id="rId10"/>
      <w:type w:val="nextPage"/>
      <w:pgSz w:orient="landscape" w:w="16838" w:h="11906"/>
      <w:pgMar w:left="1134" w:right="567" w:gutter="0" w:header="567" w:top="1985" w:footer="0" w:bottom="567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cc" w:characterSet="windows-1251"/>
    <w:family w:val="roman"/>
    <w:pitch w:val="variable"/>
  </w:font>
  <w:font w:name="Calibri">
    <w:charset w:val="cc" w:characterSet="windows-1251"/>
    <w:family w:val="swiss"/>
    <w:pitch w:val="variable"/>
  </w:font>
  <w:font w:name="Times New Roman">
    <w:charset w:val="cc" w:characterSet="windows-1251"/>
    <w:family w:val="roman"/>
    <w:pitch w:val="variable"/>
  </w:font>
  <w:font w:name="Arial">
    <w:charset w:val="cc" w:characterSet="windows-1251"/>
    <w:family w:val="swiss"/>
    <w:pitch w:val="variable"/>
  </w:font>
  <w:font w:name="SimSun">
    <w:charset w:val="cc" w:characterSet="windows-1251"/>
    <w:family w:val="roman"/>
    <w:pitch w:val="variable"/>
  </w:font>
  <w:font w:name="Segoe UI">
    <w:charset w:val="cc" w:characterSet="windows-1251"/>
    <w:family w:val="swiss"/>
    <w:pitch w:val="variable"/>
  </w:font>
  <w:font w:name="Courier New">
    <w:charset w:val="cc" w:characterSet="windows-1251"/>
    <w:family w:val="swiss"/>
    <w:pitch w:val="variable"/>
  </w:font>
  <w:font w:name="OpenSymbol">
    <w:altName w:val="Arial Unicode MS"/>
    <w:charset w:val="cc" w:characterSet="windows-1251"/>
    <w:family w:val="swiss"/>
    <w:pitch w:val="variable"/>
  </w:font>
  <w:font w:name="Liberation Sans">
    <w:altName w:val="Arial"/>
    <w:charset w:val="cc" w:characterSet="windows-1251"/>
    <w:family w:val="swiss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>
        <w:shd w:fill="FFFFFF" w:val="clear"/>
      </w:rPr>
    </w:pPr>
    <w:r>
      <w:rPr>
        <w:shd w:fill="FFFFFF" w:val="clear"/>
      </w:rPr>
      <w:fldChar w:fldCharType="begin"/>
    </w:r>
    <w:r>
      <w:rPr>
        <w:shd w:fill="FFFFFF" w:val="clear"/>
      </w:rPr>
      <w:instrText xml:space="preserve"> PAGE </w:instrText>
    </w:r>
    <w:r>
      <w:rPr>
        <w:shd w:fill="FFFFFF" w:val="clear"/>
      </w:rPr>
      <w:fldChar w:fldCharType="separate"/>
    </w:r>
    <w:r>
      <w:rPr>
        <w:shd w:fill="FFFFFF" w:val="clear"/>
      </w:rPr>
      <w:t>5</w:t>
    </w:r>
    <w:r>
      <w:rPr>
        <w:shd w:fill="FFFFFF" w:val="clear"/>
      </w:rPr>
      <w:fldChar w:fldCharType="end"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>
        <w:shd w:fill="FFFFFF" w:val="clear"/>
      </w:rPr>
    </w:pPr>
    <w:r>
      <w:rPr>
        <w:shd w:fill="FFFFFF" w:val="clear"/>
      </w:rPr>
      <w:fldChar w:fldCharType="begin"/>
    </w:r>
    <w:r>
      <w:rPr>
        <w:shd w:fill="FFFFFF" w:val="clear"/>
      </w:rPr>
      <w:instrText xml:space="preserve"> PAGE </w:instrText>
    </w:r>
    <w:r>
      <w:rPr>
        <w:shd w:fill="FFFFFF" w:val="clear"/>
      </w:rPr>
      <w:fldChar w:fldCharType="separate"/>
    </w:r>
    <w:r>
      <w:rPr>
        <w:shd w:fill="FFFFFF" w:val="clear"/>
      </w:rPr>
      <w:t>5</w:t>
    </w:r>
    <w:r>
      <w:rPr>
        <w:shd w:fill="FFFFFF" w:val="clear"/>
      </w:rPr>
      <w:fldChar w:fldCharType="end"/>
    </w:r>
  </w:p>
</w:hdr>
</file>

<file path=word/header4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5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6</w:t>
    </w:r>
    <w:r>
      <w:rPr/>
      <w:fldChar w:fldCharType="end"/>
    </w:r>
  </w:p>
</w:hdr>
</file>

<file path=word/header6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6</w:t>
    </w:r>
    <w:r>
      <w:rPr/>
      <w:fldChar w:fldCharType="end"/>
    </w:r>
  </w:p>
</w:hdr>
</file>

<file path=word/header7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8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>
        <w:shd w:fill="FFFFFF" w:val="clear"/>
      </w:rPr>
    </w:pPr>
    <w:r>
      <w:rPr>
        <w:sz w:val="24"/>
        <w:shd w:fill="FFFFFF" w:val="clear"/>
      </w:rPr>
      <w:fldChar w:fldCharType="begin"/>
    </w:r>
    <w:r>
      <w:rPr>
        <w:sz w:val="24"/>
        <w:shd w:fill="FFFFFF" w:val="clear"/>
      </w:rPr>
      <w:instrText xml:space="preserve"> PAGE </w:instrText>
    </w:r>
    <w:r>
      <w:rPr>
        <w:sz w:val="24"/>
        <w:shd w:fill="FFFFFF" w:val="clear"/>
      </w:rPr>
      <w:fldChar w:fldCharType="separate"/>
    </w:r>
    <w:r>
      <w:rPr>
        <w:sz w:val="24"/>
        <w:shd w:fill="FFFFFF" w:val="clear"/>
      </w:rPr>
      <w:t>18</w:t>
    </w:r>
    <w:r>
      <w:rPr>
        <w:sz w:val="24"/>
        <w:shd w:fill="FFFFFF" w:val="clear"/>
      </w:rPr>
      <w:fldChar w:fldCharType="end"/>
    </w:r>
  </w:p>
</w:hdr>
</file>

<file path=word/header9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>
        <w:shd w:fill="FFFFFF" w:val="clear"/>
      </w:rPr>
    </w:pPr>
    <w:r>
      <w:rPr>
        <w:sz w:val="24"/>
        <w:shd w:fill="FFFFFF" w:val="clear"/>
      </w:rPr>
      <w:fldChar w:fldCharType="begin"/>
    </w:r>
    <w:r>
      <w:rPr>
        <w:sz w:val="24"/>
        <w:shd w:fill="FFFFFF" w:val="clear"/>
      </w:rPr>
      <w:instrText xml:space="preserve"> PAGE </w:instrText>
    </w:r>
    <w:r>
      <w:rPr>
        <w:sz w:val="24"/>
        <w:shd w:fill="FFFFFF" w:val="clear"/>
      </w:rPr>
      <w:fldChar w:fldCharType="separate"/>
    </w:r>
    <w:r>
      <w:rPr>
        <w:sz w:val="24"/>
        <w:shd w:fill="FFFFFF" w:val="clear"/>
      </w:rPr>
      <w:t>18</w:t>
    </w:r>
    <w:r>
      <w:rPr>
        <w:sz w:val="24"/>
        <w:shd w:fill="FFFFFF" w:val="clear"/>
      </w:rPr>
      <w:fldChar w:fldCharType="end"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%1"/>
      <w:lvlJc w:val="start"/>
      <w:pPr>
        <w:tabs>
          <w:tab w:val="num" w:pos="0"/>
        </w:tabs>
        <w:ind w:start="432" w:hanging="432"/>
      </w:pPr>
      <w:rPr>
        <w:rFonts w:cs="Times New Roman"/>
        <w:color w:val="000000"/>
        <w:sz w:val="22"/>
        <w:szCs w:val="22"/>
      </w:rPr>
    </w:lvl>
    <w:lvl w:ilvl="1">
      <w:start w:val="1"/>
      <w:numFmt w:val="none"/>
      <w:suff w:val="nothing"/>
      <w:lvlText w:val="%2"/>
      <w:lvlJc w:val="start"/>
      <w:pPr>
        <w:tabs>
          <w:tab w:val="num" w:pos="0"/>
        </w:tabs>
        <w:ind w:start="576" w:hanging="576"/>
      </w:pPr>
      <w:rPr>
        <w:b w:val="false"/>
        <w:sz w:val="40"/>
      </w:rPr>
    </w:lvl>
    <w:lvl w:ilvl="2">
      <w:start w:val="1"/>
      <w:numFmt w:val="none"/>
      <w:suff w:val="nothing"/>
      <w:lvlText w:val="%3"/>
      <w:lvlJc w:val="start"/>
      <w:pPr>
        <w:tabs>
          <w:tab w:val="num" w:pos="0"/>
        </w:tabs>
        <w:ind w:start="0" w:hanging="0"/>
      </w:pPr>
      <w:rPr/>
    </w:lvl>
    <w:lvl w:ilvl="3">
      <w:start w:val="1"/>
      <w:numFmt w:val="none"/>
      <w:suff w:val="nothing"/>
      <w:lvlText w:val="%4"/>
      <w:lvlJc w:val="start"/>
      <w:pPr>
        <w:tabs>
          <w:tab w:val="num" w:pos="0"/>
        </w:tabs>
        <w:ind w:start="0" w:hanging="0"/>
      </w:pPr>
      <w:rPr/>
    </w:lvl>
    <w:lvl w:ilvl="4">
      <w:start w:val="1"/>
      <w:numFmt w:val="none"/>
      <w:suff w:val="nothing"/>
      <w:lvlText w:val="%5"/>
      <w:lvlJc w:val="start"/>
      <w:pPr>
        <w:tabs>
          <w:tab w:val="num" w:pos="0"/>
        </w:tabs>
        <w:ind w:start="0" w:hanging="0"/>
      </w:pPr>
      <w:rPr/>
    </w:lvl>
    <w:lvl w:ilvl="5">
      <w:start w:val="1"/>
      <w:numFmt w:val="none"/>
      <w:suff w:val="nothing"/>
      <w:lvlText w:val="%6"/>
      <w:lvlJc w:val="start"/>
      <w:pPr>
        <w:tabs>
          <w:tab w:val="num" w:pos="0"/>
        </w:tabs>
        <w:ind w:start="0" w:hanging="0"/>
      </w:pPr>
      <w:rPr/>
    </w:lvl>
    <w:lvl w:ilvl="6">
      <w:start w:val="1"/>
      <w:numFmt w:val="none"/>
      <w:suff w:val="nothing"/>
      <w:lvlText w:val="%7"/>
      <w:lvlJc w:val="start"/>
      <w:pPr>
        <w:tabs>
          <w:tab w:val="num" w:pos="0"/>
        </w:tabs>
        <w:ind w:start="0" w:hanging="0"/>
      </w:pPr>
      <w:rPr/>
    </w:lvl>
    <w:lvl w:ilvl="7">
      <w:start w:val="1"/>
      <w:numFmt w:val="none"/>
      <w:suff w:val="nothing"/>
      <w:lvlText w:val="%8"/>
      <w:lvlJc w:val="start"/>
      <w:pPr>
        <w:tabs>
          <w:tab w:val="num" w:pos="0"/>
        </w:tabs>
        <w:ind w:start="0" w:hanging="0"/>
      </w:pPr>
      <w:rPr/>
    </w:lvl>
    <w:lvl w:ilvl="8">
      <w:start w:val="1"/>
      <w:numFmt w:val="none"/>
      <w:suff w:val="nothing"/>
      <w:lvlText w:val="%9"/>
      <w:lvlJc w:val="start"/>
      <w:pPr>
        <w:tabs>
          <w:tab w:val="num" w:pos="0"/>
        </w:tabs>
        <w:ind w:start="0" w:hanging="0"/>
      </w:pPr>
      <w:rPr/>
    </w:lvl>
  </w:abstractNum>
  <w:abstractNum w:abstractNumId="2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425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NSimSun" w:cs="Arial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start"/>
    </w:pPr>
    <w:rPr>
      <w:rFonts w:ascii="Times New Roman" w:hAnsi="Times New Roman" w:eastAsia="NSimSun" w:cs="Arial"/>
      <w:bCs/>
      <w:color w:val="auto"/>
      <w:kern w:val="0"/>
      <w:sz w:val="28"/>
      <w:szCs w:val="24"/>
      <w:lang w:val="uk-UA" w:eastAsia="zh-CN" w:bidi="ar-SA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jc w:val="center"/>
      <w:outlineLvl w:val="0"/>
    </w:pPr>
    <w:rPr>
      <w:b/>
      <w:sz w:val="32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paragraph" w:styleId="Heading3">
    <w:name w:val="heading 3"/>
    <w:next w:val="Normal"/>
    <w:qFormat/>
    <w:pPr>
      <w:widowControl/>
      <w:numPr>
        <w:ilvl w:val="0"/>
        <w:numId w:val="0"/>
      </w:numPr>
      <w:suppressAutoHyphens w:val="true"/>
      <w:bidi w:val="0"/>
      <w:spacing w:before="280" w:after="280"/>
      <w:jc w:val="start"/>
      <w:outlineLvl w:val="2"/>
    </w:pPr>
    <w:rPr>
      <w:rFonts w:ascii="SimSun" w:hAnsi="SimSun" w:eastAsia="NSimSun" w:cs="Arial"/>
      <w:b/>
      <w:bCs/>
      <w:color w:val="auto"/>
      <w:kern w:val="0"/>
      <w:sz w:val="26"/>
      <w:szCs w:val="26"/>
      <w:lang w:val="en-US" w:eastAsia="zh-CN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1" w:customStyle="1">
    <w:name w:val="Номер рядка1"/>
    <w:basedOn w:val="DefaultParagraphFont"/>
    <w:qFormat/>
    <w:rPr/>
  </w:style>
  <w:style w:type="character" w:styleId="Hyperlink">
    <w:name w:val="Hyperlink"/>
    <w:rPr>
      <w:color w:val="000080"/>
      <w:u w:val="single"/>
    </w:rPr>
  </w:style>
  <w:style w:type="character" w:styleId="Style11" w:customStyle="1">
    <w:name w:val="Текст у виносці Знак"/>
    <w:basedOn w:val="DefaultParagraphFont"/>
    <w:qFormat/>
    <w:rPr>
      <w:rFonts w:ascii="Segoe UI" w:hAnsi="Segoe UI"/>
      <w:bCs/>
      <w:sz w:val="18"/>
      <w:szCs w:val="18"/>
      <w:lang w:val="uk-UA" w:eastAsia="zh-CN"/>
    </w:rPr>
  </w:style>
  <w:style w:type="character" w:styleId="apple-style-span" w:customStyle="1">
    <w:name w:val="apple-style-span"/>
    <w:basedOn w:val="DefaultParagraphFont"/>
    <w:qFormat/>
    <w:rPr/>
  </w:style>
  <w:style w:type="character" w:styleId="HTML" w:customStyle="1">
    <w:name w:val="Стандартний HTML Знак"/>
    <w:basedOn w:val="DefaultParagraphFont"/>
    <w:qFormat/>
    <w:rPr>
      <w:rFonts w:ascii="Courier New" w:hAnsi="Courier New"/>
      <w:sz w:val="20"/>
      <w:szCs w:val="20"/>
    </w:rPr>
  </w:style>
  <w:style w:type="character" w:styleId="Style12" w:customStyle="1">
    <w:name w:val="Верхній колонтитул Знак"/>
    <w:basedOn w:val="DefaultParagraphFont"/>
    <w:qFormat/>
    <w:rPr>
      <w:rFonts w:ascii="Times New Roman" w:hAnsi="Times New Roman"/>
      <w:bCs/>
      <w:sz w:val="28"/>
      <w:szCs w:val="24"/>
      <w:lang w:val="uk-UA" w:eastAsia="zh-CN"/>
    </w:rPr>
  </w:style>
  <w:style w:type="character" w:styleId="Style13" w:customStyle="1">
    <w:name w:val="Нижній колонтитул Знак"/>
    <w:basedOn w:val="DefaultParagraphFont"/>
    <w:qFormat/>
    <w:rPr>
      <w:rFonts w:ascii="Times New Roman" w:hAnsi="Times New Roman"/>
      <w:bCs/>
      <w:sz w:val="28"/>
      <w:szCs w:val="24"/>
      <w:lang w:val="uk-UA" w:eastAsia="zh-CN"/>
    </w:rPr>
  </w:style>
  <w:style w:type="character" w:styleId="rvts0" w:customStyle="1">
    <w:name w:val="rvts0"/>
    <w:basedOn w:val="DefaultParagraphFont"/>
    <w:qFormat/>
    <w:rPr/>
  </w:style>
  <w:style w:type="character" w:styleId="Style14" w:customStyle="1">
    <w:name w:val="Верхний колонтитул Знак"/>
    <w:basedOn w:val="DefaultParagraphFont"/>
    <w:qFormat/>
    <w:rPr>
      <w:rFonts w:ascii="Times New Roman" w:hAnsi="Times New Roman"/>
      <w:bCs/>
      <w:sz w:val="28"/>
      <w:szCs w:val="24"/>
      <w:lang w:val="uk-UA" w:eastAsia="zh-CN"/>
    </w:rPr>
  </w:style>
  <w:style w:type="character" w:styleId="rvts23" w:customStyle="1">
    <w:name w:val="rvts23"/>
    <w:basedOn w:val="DefaultParagraphFont"/>
    <w:qFormat/>
    <w:rPr/>
  </w:style>
  <w:style w:type="character" w:styleId="HTML1" w:customStyle="1">
    <w:name w:val="Стандартный HTML Знак"/>
    <w:qFormat/>
    <w:rPr>
      <w:rFonts w:ascii="Courier New" w:hAnsi="Courier New"/>
      <w:sz w:val="20"/>
      <w:szCs w:val="20"/>
    </w:rPr>
  </w:style>
  <w:style w:type="character" w:styleId="rvts9" w:customStyle="1">
    <w:name w:val="rvts9"/>
    <w:basedOn w:val="DefaultParagraphFont"/>
    <w:qFormat/>
    <w:rPr/>
  </w:style>
  <w:style w:type="character" w:styleId="rvts46" w:customStyle="1">
    <w:name w:val="rvts46"/>
    <w:basedOn w:val="DefaultParagraphFont"/>
    <w:qFormat/>
    <w:rPr/>
  </w:style>
  <w:style w:type="character" w:styleId="rvts15" w:customStyle="1">
    <w:name w:val="rvts15"/>
    <w:basedOn w:val="DefaultParagraphFont"/>
    <w:qFormat/>
    <w:rPr/>
  </w:style>
  <w:style w:type="character" w:styleId="2" w:customStyle="1">
    <w:name w:val="Шрифт абзацу за промовчанням2"/>
    <w:qFormat/>
    <w:rPr/>
  </w:style>
  <w:style w:type="character" w:styleId="11" w:customStyle="1">
    <w:name w:val="Виділення1"/>
    <w:basedOn w:val="DefaultParagraphFont"/>
    <w:qFormat/>
    <w:rPr>
      <w:i/>
      <w:iCs/>
    </w:rPr>
  </w:style>
  <w:style w:type="character" w:styleId="field-content" w:customStyle="1">
    <w:name w:val="field-content"/>
    <w:qFormat/>
    <w:rPr/>
  </w:style>
  <w:style w:type="character" w:styleId="Style15" w:customStyle="1">
    <w:name w:val="Символи виноски"/>
    <w:qFormat/>
    <w:rPr>
      <w:vertAlign w:val="superscript"/>
    </w:rPr>
  </w:style>
  <w:style w:type="character" w:styleId="FootnoteReference" w:customStyle="1">
    <w:name w:val="footnote reference"/>
    <w:qFormat/>
    <w:rPr>
      <w:vertAlign w:val="superscript"/>
    </w:rPr>
  </w:style>
  <w:style w:type="character" w:styleId="FootnoteCharacters" w:customStyle="1">
    <w:name w:val="Footnote Characters"/>
    <w:qFormat/>
    <w:rPr>
      <w:vertAlign w:val="superscript"/>
    </w:rPr>
  </w:style>
  <w:style w:type="character" w:styleId="FootnoteTextChar" w:customStyle="1">
    <w:name w:val="Footnote Text Char"/>
    <w:qFormat/>
    <w:rPr>
      <w:sz w:val="20"/>
      <w:szCs w:val="20"/>
    </w:rPr>
  </w:style>
  <w:style w:type="character" w:styleId="Style16" w:customStyle="1">
    <w:name w:val="Символи кінцевої виноски"/>
    <w:qFormat/>
    <w:rPr>
      <w:vertAlign w:val="superscript"/>
    </w:rPr>
  </w:style>
  <w:style w:type="character" w:styleId="EndnoteReference" w:customStyle="1">
    <w:name w:val="endnote reference"/>
    <w:qFormat/>
    <w:rPr>
      <w:vertAlign w:val="superscript"/>
    </w:rPr>
  </w:style>
  <w:style w:type="character" w:styleId="EndnoteCharacters" w:customStyle="1">
    <w:name w:val="Endnote Characters"/>
    <w:qFormat/>
    <w:rPr>
      <w:vertAlign w:val="superscript"/>
    </w:rPr>
  </w:style>
  <w:style w:type="character" w:styleId="EndnoteTextChar" w:customStyle="1">
    <w:name w:val="Endnote Text Char"/>
    <w:qFormat/>
    <w:rPr>
      <w:sz w:val="20"/>
      <w:szCs w:val="20"/>
    </w:rPr>
  </w:style>
  <w:style w:type="character" w:styleId="Style17" w:customStyle="1">
    <w:name w:val="Маркери"/>
    <w:qFormat/>
    <w:rPr>
      <w:rFonts w:ascii="OpenSymbol" w:hAnsi="OpenSymbol" w:eastAsia="OpenSymbol" w:cs="OpenSymbol"/>
    </w:rPr>
  </w:style>
  <w:style w:type="character" w:styleId="xfm95731216" w:customStyle="1">
    <w:name w:val="xfm_95731216"/>
    <w:basedOn w:val="DefaultParagraphFont"/>
    <w:qFormat/>
    <w:rPr/>
  </w:style>
  <w:style w:type="character" w:styleId="WW8Num4z1">
    <w:name w:val="WW8Num4z1"/>
    <w:qFormat/>
    <w:rPr>
      <w:rFonts w:cs="Times New Roman"/>
    </w:rPr>
  </w:style>
  <w:style w:type="character" w:styleId="WW8Num4z0">
    <w:name w:val="WW8Num4z0"/>
    <w:qFormat/>
    <w:rPr>
      <w:rFonts w:cs="Times New Roman"/>
    </w:rPr>
  </w:style>
  <w:style w:type="character" w:styleId="WW8Num3z8">
    <w:name w:val="WW8Num3z8"/>
    <w:qFormat/>
    <w:rPr/>
  </w:style>
  <w:style w:type="character" w:styleId="WW8Num3z7">
    <w:name w:val="WW8Num3z7"/>
    <w:qFormat/>
    <w:rPr/>
  </w:style>
  <w:style w:type="character" w:styleId="WW8Num3z6">
    <w:name w:val="WW8Num3z6"/>
    <w:qFormat/>
    <w:rPr/>
  </w:style>
  <w:style w:type="character" w:styleId="WW8Num3z5">
    <w:name w:val="WW8Num3z5"/>
    <w:qFormat/>
    <w:rPr/>
  </w:style>
  <w:style w:type="character" w:styleId="WW8Num3z4">
    <w:name w:val="WW8Num3z4"/>
    <w:qFormat/>
    <w:rPr/>
  </w:style>
  <w:style w:type="character" w:styleId="WW8Num3z3">
    <w:name w:val="WW8Num3z3"/>
    <w:qFormat/>
    <w:rPr/>
  </w:style>
  <w:style w:type="character" w:styleId="WW8Num3z2">
    <w:name w:val="WW8Num3z2"/>
    <w:qFormat/>
    <w:rPr/>
  </w:style>
  <w:style w:type="character" w:styleId="WW8Num3z1">
    <w:name w:val="WW8Num3z1"/>
    <w:qFormat/>
    <w:rPr/>
  </w:style>
  <w:style w:type="character" w:styleId="WW8Num3z0">
    <w:name w:val="WW8Num3z0"/>
    <w:qFormat/>
    <w:rPr/>
  </w:style>
  <w:style w:type="character" w:styleId="WW8Num2z8">
    <w:name w:val="WW8Num2z8"/>
    <w:qFormat/>
    <w:rPr/>
  </w:style>
  <w:style w:type="character" w:styleId="WW8Num2z7">
    <w:name w:val="WW8Num2z7"/>
    <w:qFormat/>
    <w:rPr/>
  </w:style>
  <w:style w:type="character" w:styleId="WW8Num2z6">
    <w:name w:val="WW8Num2z6"/>
    <w:qFormat/>
    <w:rPr/>
  </w:style>
  <w:style w:type="character" w:styleId="WW8Num2z5">
    <w:name w:val="WW8Num2z5"/>
    <w:qFormat/>
    <w:rPr/>
  </w:style>
  <w:style w:type="character" w:styleId="WW8Num2z4">
    <w:name w:val="WW8Num2z4"/>
    <w:qFormat/>
    <w:rPr/>
  </w:style>
  <w:style w:type="character" w:styleId="WW8Num2z3">
    <w:name w:val="WW8Num2z3"/>
    <w:qFormat/>
    <w:rPr/>
  </w:style>
  <w:style w:type="character" w:styleId="WW8Num2z2">
    <w:name w:val="WW8Num2z2"/>
    <w:qFormat/>
    <w:rPr/>
  </w:style>
  <w:style w:type="character" w:styleId="WW8Num2z1">
    <w:name w:val="WW8Num2z1"/>
    <w:qFormat/>
    <w:rPr/>
  </w:style>
  <w:style w:type="character" w:styleId="WW8Num2z0">
    <w:name w:val="WW8Num2z0"/>
    <w:qFormat/>
    <w:rPr/>
  </w:style>
  <w:style w:type="character" w:styleId="WW8Num1z8">
    <w:name w:val="WW8Num1z8"/>
    <w:qFormat/>
    <w:rPr/>
  </w:style>
  <w:style w:type="character" w:styleId="WW8Num1z7">
    <w:name w:val="WW8Num1z7"/>
    <w:qFormat/>
    <w:rPr/>
  </w:style>
  <w:style w:type="character" w:styleId="WW8Num1z6">
    <w:name w:val="WW8Num1z6"/>
    <w:qFormat/>
    <w:rPr/>
  </w:style>
  <w:style w:type="character" w:styleId="WW8Num1z5">
    <w:name w:val="WW8Num1z5"/>
    <w:qFormat/>
    <w:rPr/>
  </w:style>
  <w:style w:type="character" w:styleId="WW8Num1z4">
    <w:name w:val="WW8Num1z4"/>
    <w:qFormat/>
    <w:rPr/>
  </w:style>
  <w:style w:type="character" w:styleId="WW8Num1z3">
    <w:name w:val="WW8Num1z3"/>
    <w:qFormat/>
    <w:rPr/>
  </w:style>
  <w:style w:type="character" w:styleId="WW8Num1z2">
    <w:name w:val="WW8Num1z2"/>
    <w:qFormat/>
    <w:rPr/>
  </w:style>
  <w:style w:type="character" w:styleId="WW8Num1z1">
    <w:name w:val="WW8Num1z1"/>
    <w:qFormat/>
    <w:rPr/>
  </w:style>
  <w:style w:type="character" w:styleId="WW8Num1z0">
    <w:name w:val="WW8Num1z0"/>
    <w:qFormat/>
    <w:rPr>
      <w:rFonts w:ascii="Times New Roman" w:hAnsi="Times New Roman" w:cs="Times New Roman"/>
      <w:color w:val="000000"/>
      <w:spacing w:val="0"/>
      <w:w w:val="100"/>
      <w:position w:val="0"/>
      <w:sz w:val="26"/>
      <w:szCs w:val="26"/>
      <w:u w:val="none"/>
      <w:vertAlign w:val="baseline"/>
    </w:rPr>
  </w:style>
  <w:style w:type="character" w:styleId="12">
    <w:name w:val="Основной шрифт абзаца1"/>
    <w:qFormat/>
    <w:rPr/>
  </w:style>
  <w:style w:type="character" w:styleId="PageNumber">
    <w:name w:val="page number"/>
    <w:basedOn w:val="12"/>
    <w:rPr/>
  </w:style>
  <w:style w:type="paragraph" w:styleId="Style18" w:customStyle="1">
    <w:name w:val="Заголовок"/>
    <w:basedOn w:val="Normal"/>
    <w:next w:val="BodyText"/>
    <w:qFormat/>
    <w:pPr>
      <w:keepNext w:val="true"/>
      <w:spacing w:before="240" w:after="120"/>
    </w:pPr>
    <w:rPr>
      <w:rFonts w:eastAsia="Microsoft YaHei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</w:rPr>
  </w:style>
  <w:style w:type="paragraph" w:styleId="Style19" w:customStyle="1">
    <w:name w:val="Покажчик"/>
    <w:basedOn w:val="Normal"/>
    <w:qFormat/>
    <w:pPr>
      <w:suppressLineNumbers/>
    </w:pPr>
    <w:rPr/>
  </w:style>
  <w:style w:type="paragraph" w:styleId="user">
    <w:name w:val="Заголовок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user1">
    <w:name w:val="Покажчик (user)"/>
    <w:basedOn w:val="Normal"/>
    <w:qFormat/>
    <w:pPr>
      <w:suppressLineNumbers/>
    </w:pPr>
    <w:rPr>
      <w:rFonts w:cs="Arial"/>
    </w:rPr>
  </w:style>
  <w:style w:type="paragraph" w:styleId="caption1" w:customStyle="1">
    <w:name w:val="caption1"/>
    <w:basedOn w:val="Normal"/>
    <w:qFormat/>
    <w:pPr>
      <w:suppressLineNumbers/>
      <w:spacing w:before="120" w:after="120"/>
    </w:pPr>
    <w:rPr>
      <w:i/>
      <w:iCs/>
      <w:sz w:val="24"/>
    </w:rPr>
  </w:style>
  <w:style w:type="paragraph" w:styleId="13" w:customStyle="1">
    <w:name w:val="Заголовок1"/>
    <w:basedOn w:val="Normal"/>
    <w:next w:val="BodyText"/>
    <w:qFormat/>
    <w:pPr>
      <w:keepNext w:val="true"/>
      <w:spacing w:before="240" w:after="120"/>
    </w:pPr>
    <w:rPr>
      <w:rFonts w:ascii="Liberation Sans" w:hAnsi="Liberation Sans"/>
      <w:szCs w:val="28"/>
    </w:rPr>
  </w:style>
  <w:style w:type="paragraph" w:styleId="Standard" w:customStyle="1">
    <w:name w:val="Standard"/>
    <w:qFormat/>
    <w:pPr>
      <w:widowControl w:val="false"/>
      <w:suppressAutoHyphens w:val="true"/>
      <w:bidi w:val="0"/>
      <w:spacing w:before="0" w:after="0"/>
      <w:jc w:val="start"/>
    </w:pPr>
    <w:rPr>
      <w:rFonts w:ascii="Times New Roman" w:hAnsi="Times New Roman" w:eastAsia="NSimSun" w:cs="Arial"/>
      <w:color w:val="auto"/>
      <w:kern w:val="2"/>
      <w:sz w:val="24"/>
      <w:szCs w:val="24"/>
      <w:lang w:val="uk-UA" w:eastAsia="zh-CN" w:bidi="hi-IN"/>
    </w:rPr>
  </w:style>
  <w:style w:type="paragraph" w:styleId="BalloonText">
    <w:name w:val="Balloon Text"/>
    <w:basedOn w:val="Normal"/>
    <w:qFormat/>
    <w:pPr/>
    <w:rPr>
      <w:rFonts w:ascii="Segoe UI" w:hAnsi="Segoe UI"/>
      <w:sz w:val="18"/>
      <w:szCs w:val="18"/>
    </w:rPr>
  </w:style>
  <w:style w:type="paragraph" w:styleId="NormalWeb">
    <w:name w:val="Normal (Web)"/>
    <w:basedOn w:val="Normal"/>
    <w:qFormat/>
    <w:pPr>
      <w:spacing w:before="150" w:after="150"/>
    </w:pPr>
    <w:rPr>
      <w:bCs w:val="false"/>
      <w:sz w:val="24"/>
      <w:lang w:val="ru-RU"/>
    </w:rPr>
  </w:style>
  <w:style w:type="paragraph" w:styleId="HTMLPreformatted">
    <w:name w:val="HTML Preformatted"/>
    <w:basedOn w:val="Normal"/>
    <w:qFormat/>
    <w:pPr>
      <w:tabs>
        <w:tab w:val="clear" w:pos="720"/>
        <w:tab w:val="left" w:pos="916" w:leader="none"/>
        <w:tab w:val="left" w:pos="1832" w:leader="none"/>
        <w:tab w:val="left" w:pos="2748" w:leader="none"/>
        <w:tab w:val="left" w:pos="3664" w:leader="none"/>
        <w:tab w:val="left" w:pos="4580" w:leader="none"/>
        <w:tab w:val="left" w:pos="5496" w:leader="none"/>
        <w:tab w:val="left" w:pos="6412" w:leader="none"/>
        <w:tab w:val="left" w:pos="7328" w:leader="none"/>
        <w:tab w:val="left" w:pos="8244" w:leader="none"/>
        <w:tab w:val="left" w:pos="9160" w:leader="none"/>
        <w:tab w:val="left" w:pos="10076" w:leader="none"/>
        <w:tab w:val="left" w:pos="10992" w:leader="none"/>
        <w:tab w:val="left" w:pos="11908" w:leader="none"/>
        <w:tab w:val="left" w:pos="12824" w:leader="none"/>
        <w:tab w:val="left" w:pos="13740" w:leader="none"/>
        <w:tab w:val="left" w:pos="14656" w:leader="none"/>
      </w:tabs>
      <w:suppressAutoHyphens w:val="false"/>
    </w:pPr>
    <w:rPr>
      <w:rFonts w:ascii="Courier New" w:hAnsi="Courier New"/>
      <w:bCs w:val="false"/>
      <w:sz w:val="20"/>
      <w:szCs w:val="20"/>
    </w:rPr>
  </w:style>
  <w:style w:type="paragraph" w:styleId="ListParagraph">
    <w:name w:val="List Paragraph"/>
    <w:basedOn w:val="Normal"/>
    <w:qFormat/>
    <w:pPr>
      <w:spacing w:before="0" w:after="0"/>
      <w:ind w:start="720"/>
      <w:contextualSpacing/>
    </w:pPr>
    <w:rPr/>
  </w:style>
  <w:style w:type="paragraph" w:styleId="Style20" w:customStyle="1">
    <w:name w:val="Верхній і нижній колонтитули"/>
    <w:basedOn w:val="Normal"/>
    <w:qFormat/>
    <w:pPr/>
    <w:rPr/>
  </w:style>
  <w:style w:type="paragraph" w:styleId="user2">
    <w:name w:val="Верхній і нижній колонтитули (user)"/>
    <w:basedOn w:val="Normal"/>
    <w:qFormat/>
    <w:pPr/>
    <w:rPr/>
  </w:style>
  <w:style w:type="paragraph" w:styleId="Header">
    <w:name w:val="header"/>
    <w:basedOn w:val="Normal"/>
    <w:pPr>
      <w:tabs>
        <w:tab w:val="clear" w:pos="720"/>
        <w:tab w:val="center" w:pos="4844" w:leader="none"/>
        <w:tab w:val="right" w:pos="9689" w:leader="none"/>
      </w:tabs>
    </w:pPr>
    <w:rPr/>
  </w:style>
  <w:style w:type="paragraph" w:styleId="Footer">
    <w:name w:val="footer"/>
    <w:basedOn w:val="Normal"/>
    <w:pPr>
      <w:tabs>
        <w:tab w:val="clear" w:pos="720"/>
        <w:tab w:val="center" w:pos="4844" w:leader="none"/>
        <w:tab w:val="right" w:pos="9689" w:leader="none"/>
      </w:tabs>
    </w:pPr>
    <w:rPr/>
  </w:style>
  <w:style w:type="paragraph" w:styleId="Style21" w:customStyle="1">
    <w:name w:val="Вміст таблиці"/>
    <w:basedOn w:val="Normal"/>
    <w:qFormat/>
    <w:pPr>
      <w:widowControl w:val="false"/>
      <w:suppressLineNumbers/>
    </w:pPr>
    <w:rPr/>
  </w:style>
  <w:style w:type="paragraph" w:styleId="Style22" w:customStyle="1">
    <w:name w:val="Заголовок таблиці"/>
    <w:basedOn w:val="Style21"/>
    <w:qFormat/>
    <w:pPr>
      <w:jc w:val="center"/>
    </w:pPr>
    <w:rPr>
      <w:b/>
    </w:rPr>
  </w:style>
  <w:style w:type="paragraph" w:styleId="NoSpacing">
    <w:name w:val="No Spacing"/>
    <w:qFormat/>
    <w:pPr>
      <w:widowControl/>
      <w:suppressAutoHyphens w:val="true"/>
      <w:bidi w:val="0"/>
      <w:spacing w:before="0" w:after="0"/>
      <w:jc w:val="start"/>
    </w:pPr>
    <w:rPr>
      <w:rFonts w:ascii="Times New Roman" w:hAnsi="Times New Roman" w:eastAsia="NSimSun" w:cs="Arial"/>
      <w:bCs/>
      <w:color w:val="auto"/>
      <w:kern w:val="0"/>
      <w:sz w:val="28"/>
      <w:szCs w:val="24"/>
      <w:lang w:val="uk-UA" w:eastAsia="zh-CN" w:bidi="ar-SA"/>
    </w:rPr>
  </w:style>
  <w:style w:type="paragraph" w:styleId="FootnoteText">
    <w:name w:val="footnote text"/>
    <w:pPr>
      <w:widowControl/>
      <w:suppressAutoHyphens w:val="true"/>
      <w:bidi w:val="0"/>
      <w:spacing w:before="0" w:after="0"/>
      <w:jc w:val="start"/>
    </w:pPr>
    <w:rPr>
      <w:rFonts w:ascii="Calibri" w:hAnsi="Calibri" w:eastAsia="NSimSun" w:cs="Arial"/>
      <w:color w:val="auto"/>
      <w:kern w:val="0"/>
      <w:sz w:val="20"/>
      <w:szCs w:val="20"/>
      <w:lang w:val="en-US" w:eastAsia="en-US" w:bidi="ar-SA"/>
    </w:rPr>
  </w:style>
  <w:style w:type="paragraph" w:styleId="EndnoteText">
    <w:name w:val="endnote text"/>
    <w:pPr>
      <w:widowControl/>
      <w:suppressAutoHyphens w:val="true"/>
      <w:bidi w:val="0"/>
      <w:spacing w:before="0" w:after="0"/>
      <w:jc w:val="start"/>
    </w:pPr>
    <w:rPr>
      <w:rFonts w:ascii="Calibri" w:hAnsi="Calibri" w:eastAsia="NSimSun" w:cs="Arial"/>
      <w:color w:val="auto"/>
      <w:kern w:val="0"/>
      <w:sz w:val="20"/>
      <w:szCs w:val="20"/>
      <w:lang w:val="en-US" w:eastAsia="en-US" w:bidi="ar-SA"/>
    </w:rPr>
  </w:style>
  <w:style w:type="paragraph" w:styleId="TableParagraph" w:customStyle="1">
    <w:name w:val="Table Paragraph"/>
    <w:basedOn w:val="Normal"/>
    <w:qFormat/>
    <w:pPr/>
    <w:rPr>
      <w:rFonts w:ascii="Calibri" w:hAnsi="Calibri" w:eastAsia="Calibri" w:cs="Calibri"/>
    </w:rPr>
  </w:style>
  <w:style w:type="paragraph" w:styleId="xfmc1" w:customStyle="1">
    <w:name w:val="xfmc1"/>
    <w:basedOn w:val="Normal"/>
    <w:qFormat/>
    <w:pPr>
      <w:spacing w:before="280" w:after="280"/>
    </w:pPr>
    <w:rPr>
      <w:rFonts w:eastAsia="Times New Roman" w:cs="Times New Roman"/>
      <w:lang w:val="ru-RU" w:eastAsia="ru-RU"/>
    </w:rPr>
  </w:style>
  <w:style w:type="paragraph" w:styleId="normal1" w:customStyle="1">
    <w:name w:val="normal1"/>
    <w:qFormat/>
    <w:pPr>
      <w:widowControl/>
      <w:suppressAutoHyphens w:val="true"/>
      <w:bidi w:val="0"/>
      <w:spacing w:before="0" w:after="0"/>
      <w:jc w:val="start"/>
    </w:pPr>
    <w:rPr>
      <w:rFonts w:ascii="Calibri" w:hAnsi="Calibri" w:eastAsia="NSimSun" w:cs="Arial"/>
      <w:color w:val="auto"/>
      <w:kern w:val="0"/>
      <w:sz w:val="22"/>
      <w:szCs w:val="22"/>
      <w:lang w:val="en-US" w:eastAsia="en-US" w:bidi="ar-SA"/>
    </w:rPr>
  </w:style>
  <w:style w:type="paragraph" w:styleId="Style23" w:customStyle="1">
    <w:name w:val="Обычный (веб)"/>
    <w:basedOn w:val="Normal"/>
    <w:qFormat/>
    <w:pPr>
      <w:spacing w:before="280" w:after="280"/>
    </w:pPr>
    <w:rPr>
      <w:bCs w:val="false"/>
      <w:sz w:val="24"/>
      <w:lang w:val="ru-RU"/>
    </w:rPr>
  </w:style>
  <w:style w:type="paragraph" w:styleId="Style24">
    <w:name w:val="Заголовок таблицы"/>
    <w:basedOn w:val="Style25"/>
    <w:qFormat/>
    <w:pPr>
      <w:jc w:val="center"/>
    </w:pPr>
    <w:rPr>
      <w:b/>
    </w:rPr>
  </w:style>
  <w:style w:type="paragraph" w:styleId="Style25">
    <w:name w:val="Содержимое таблицы"/>
    <w:basedOn w:val="Normal"/>
    <w:qFormat/>
    <w:pPr>
      <w:suppressLineNumbers/>
    </w:pPr>
    <w:rPr/>
  </w:style>
  <w:style w:type="paragraph" w:styleId="Style26">
    <w:name w:val="Содержимое врезки"/>
    <w:basedOn w:val="BodyText"/>
    <w:qFormat/>
    <w:pPr/>
    <w:rPr/>
  </w:style>
  <w:style w:type="paragraph" w:styleId="14">
    <w:name w:val="Указатель1"/>
    <w:basedOn w:val="Normal"/>
    <w:qFormat/>
    <w:pPr>
      <w:suppressLineNumbers/>
    </w:pPr>
    <w:rPr>
      <w:rFonts w:cs="Mangal"/>
    </w:rPr>
  </w:style>
  <w:style w:type="paragraph" w:styleId="15">
    <w:name w:val="Название1"/>
    <w:basedOn w:val="Normal"/>
    <w:qFormat/>
    <w:pPr>
      <w:suppressLineNumbers/>
      <w:spacing w:before="120" w:after="120"/>
    </w:pPr>
    <w:rPr>
      <w:rFonts w:cs="Mangal"/>
      <w:i/>
      <w:iCs/>
      <w:sz w:val="24"/>
    </w:rPr>
  </w:style>
  <w:style w:type="numbering" w:styleId="user3" w:default="1">
    <w:name w:val="Без маркерів (user)"/>
    <w:uiPriority w:val="99"/>
    <w:semiHidden/>
    <w:unhideWhenUsed/>
    <w:qFormat/>
  </w:style>
  <w:style w:type="numbering" w:styleId="Style27" w:customStyle="1">
    <w:name w:val="Без маркерів"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header" Target="header4.xml"/><Relationship Id="rId6" Type="http://schemas.openxmlformats.org/officeDocument/2006/relationships/header" Target="header5.xml"/><Relationship Id="rId7" Type="http://schemas.openxmlformats.org/officeDocument/2006/relationships/header" Target="header6.xml"/><Relationship Id="rId8" Type="http://schemas.openxmlformats.org/officeDocument/2006/relationships/header" Target="header7.xml"/><Relationship Id="rId9" Type="http://schemas.openxmlformats.org/officeDocument/2006/relationships/header" Target="header8.xml"/><Relationship Id="rId10" Type="http://schemas.openxmlformats.org/officeDocument/2006/relationships/header" Target="header9.xml"/><Relationship Id="rId11" Type="http://schemas.openxmlformats.org/officeDocument/2006/relationships/numbering" Target="numbering.xml"/><Relationship Id="rId12" Type="http://schemas.openxmlformats.org/officeDocument/2006/relationships/fontTable" Target="fontTable.xml"/><Relationship Id="rId13" Type="http://schemas.openxmlformats.org/officeDocument/2006/relationships/settings" Target="settings.xml"/><Relationship Id="rId1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Application>LibreOffice/25.8.5.2$Windows_X86_64 LibreOffice_project/9c8b85f387cc00a89945a79c9e6239f32e450ac2</Application>
  <AppVersion>15.0000</AppVersion>
  <Pages>18</Pages>
  <Words>3296</Words>
  <Characters>21991</Characters>
  <CharactersWithSpaces>24751</CharactersWithSpaces>
  <Paragraphs>680</Paragraphs>
  <Company>SPecialiST RePack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2026-03-12T14:23:00Z</dcterms:created>
  <dc:creator>Пользователь Windows</dc:creator>
  <dc:description/>
  <dc:language>uk-UA</dc:language>
  <cp:lastModifiedBy/>
  <cp:lastPrinted>2024-10-31T10:54:00Z</cp:lastPrinted>
  <dcterms:modified xsi:type="dcterms:W3CDTF">2026-03-27T11:28:07Z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