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Додаток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 рішення міської ради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від ___________ № _____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Комплексна програма охорони довкілля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Луцької міської територіальної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громади на 2022</w:t>
      </w:r>
      <w:r>
        <w:rPr>
          <w:color w:val="000000"/>
          <w:sz w:val="28"/>
          <w:szCs w:val="28"/>
        </w:rPr>
        <w:t>–</w:t>
      </w:r>
      <w:r>
        <w:rPr>
          <w:rFonts w:cs="Times New Roman" w:ascii="Times New Roman" w:hAnsi="Times New Roman"/>
          <w:color w:val="000000"/>
          <w:sz w:val="28"/>
          <w:szCs w:val="28"/>
        </w:rPr>
        <w:t>2028 роки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Паспорт Програми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tbl>
      <w:tblPr>
        <w:tblW w:w="9488" w:type="dxa"/>
        <w:jc w:val="left"/>
        <w:tblInd w:w="-23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9"/>
        <w:gridCol w:w="3815"/>
        <w:gridCol w:w="4954"/>
      </w:tblGrid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Ініціатор розроблення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Луцька міська рада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Розробник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Співрозробники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2"/>
              <w:snapToGrid w:val="false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716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ради, департамент житлово-комунального господарства, підприємства, установи, організації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Учасники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2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327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2022–2028 роки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Загальний обсяг фінансових ресурсів, необхідних для реалізації програми,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всього, у тому числі: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  <w:color w:val="000000"/>
              </w:rPr>
            </w:pPr>
            <w:r>
              <w:rPr>
                <w:b w:val="false"/>
                <w:bCs w:val="false"/>
                <w:color w:val="000000"/>
              </w:rPr>
            </w:r>
          </w:p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124 784,0  млн. грн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bookmarkStart w:id="0" w:name="__DdeLink__2398_3872334024"/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>62 295,0</w:t>
            </w:r>
            <w:bookmarkEnd w:id="0"/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  млн. грн</w:t>
            </w:r>
          </w:p>
        </w:tc>
      </w:tr>
      <w:tr>
        <w:trPr>
          <w:trHeight w:val="481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9.2.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color w:val="00A933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62 489,0 млн. грн</w:t>
            </w:r>
          </w:p>
        </w:tc>
      </w:tr>
    </w:tbl>
    <w:p>
      <w:pPr>
        <w:pStyle w:val="Normal"/>
        <w:spacing w:before="0" w:after="200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0" w:after="20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</w:t>
        <w:tab/>
        <w:tab/>
        <w:tab/>
        <w:tab/>
        <w:tab/>
        <w:tab/>
        <w:tab/>
        <w:tab/>
        <w:tab/>
        <w:tab/>
        <w:tab/>
        <w:tab/>
      </w:r>
      <w:r>
        <w:rPr>
          <w:rFonts w:cs="Times New Roman" w:ascii="Times New Roman" w:hAnsi="Times New Roman"/>
          <w:color w:val="000000"/>
          <w:sz w:val="28"/>
          <w:szCs w:val="28"/>
        </w:rPr>
        <w:t>Катерина ШКЛЬОДА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sectPr>
          <w:headerReference w:type="default" r:id="rId2"/>
          <w:type w:val="nextPage"/>
          <w:pgSz w:w="11906" w:h="16838"/>
          <w:pgMar w:left="1985" w:right="567" w:header="709" w:top="766" w:footer="0" w:bottom="1134" w:gutter="0"/>
          <w:pgNumType w:start="2" w:fmt="decimal"/>
          <w:formProt w:val="false"/>
          <w:textDirection w:val="lrTb"/>
          <w:docGrid w:type="default" w:linePitch="100" w:charSpace="8192"/>
        </w:sect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</w:t>
      </w:r>
      <w:bookmarkStart w:id="1" w:name="__DdeLink__2216_591011220"/>
      <w:bookmarkEnd w:id="1"/>
      <w:r>
        <w:rPr>
          <w:rFonts w:cs="Times New Roman" w:ascii="Times New Roman" w:hAnsi="Times New Roman"/>
          <w:color w:val="000000"/>
          <w:sz w:val="24"/>
        </w:rPr>
        <w:t>сак 724 160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left="4876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Комплексної програми охорони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довкілля Луцької міської 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на 2022</w:t>
      </w:r>
      <w:r>
        <w:rPr>
          <w:color w:val="000000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  <w:lang w:val="en-US"/>
        </w:rPr>
        <w:t>8</w:t>
      </w:r>
      <w:r>
        <w:rPr>
          <w:rFonts w:ascii="Times New Roman" w:hAnsi="Times New Roman"/>
          <w:sz w:val="28"/>
          <w:szCs w:val="28"/>
        </w:rPr>
        <w:t xml:space="preserve"> роки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11"/>
        <w:numPr>
          <w:ilvl w:val="0"/>
          <w:numId w:val="1"/>
        </w:numPr>
        <w:rPr>
          <w:rFonts w:ascii="Times New Roman" w:hAnsi="Times New Roman" w:cs="Times New Roman"/>
          <w:b w:val="false"/>
          <w:b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Луцької міської територіальної громади на 2022–202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>8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роки</w:t>
      </w:r>
    </w:p>
    <w:tbl>
      <w:tblPr>
        <w:tblW w:w="15687" w:type="dxa"/>
        <w:jc w:val="left"/>
        <w:tblInd w:w="-5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43"/>
        <w:gridCol w:w="1339"/>
        <w:gridCol w:w="1387"/>
        <w:gridCol w:w="1324"/>
        <w:gridCol w:w="1385"/>
        <w:gridCol w:w="1563"/>
        <w:gridCol w:w="1430"/>
        <w:gridCol w:w="1442"/>
        <w:gridCol w:w="1972"/>
      </w:tblGrid>
      <w:tr>
        <w:trPr>
          <w:trHeight w:val="364" w:hRule="atLeast"/>
          <w:cantSplit w:val="true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numPr>
                <w:ilvl w:val="1"/>
                <w:numId w:val="1"/>
              </w:numPr>
              <w:spacing w:before="240" w:after="60"/>
              <w:jc w:val="center"/>
              <w:rPr>
                <w:rFonts w:ascii="Times New Roman" w:hAnsi="Times New Roman"/>
                <w:sz w:val="28"/>
              </w:rPr>
            </w:pPr>
            <w:bookmarkStart w:id="2" w:name="_GoBack"/>
            <w:bookmarkEnd w:id="2"/>
            <w:r>
              <w:rPr>
                <w:rFonts w:cs="Times New Roman" w:ascii="Times New Roman" w:hAnsi="Times New Roman"/>
                <w:b w:val="false"/>
                <w:i w:val="false"/>
                <w:color w:val="000000"/>
                <w:sz w:val="28"/>
              </w:rPr>
              <w:t>Обсяг коштів, які планується залучити на виконання Програми за джерелами фінансування, тис. грн</w:t>
            </w:r>
          </w:p>
        </w:tc>
        <w:tc>
          <w:tcPr>
            <w:tcW w:w="98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Роки</w:t>
            </w:r>
          </w:p>
        </w:tc>
        <w:tc>
          <w:tcPr>
            <w:tcW w:w="1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ind w:left="-81" w:right="-81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trHeight w:val="886" w:hRule="atLeast"/>
          <w:cantSplit w:val="true"/>
        </w:trPr>
        <w:tc>
          <w:tcPr>
            <w:tcW w:w="38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2026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2027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2028</w:t>
            </w:r>
          </w:p>
        </w:tc>
        <w:tc>
          <w:tcPr>
            <w:tcW w:w="19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784" w:hRule="atLeast"/>
          <w:cantSplit w:val="true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Обсяг фінансових ресурсів всього,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20341,0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3</w:t>
            </w:r>
            <w:r>
              <w:rPr>
                <w:rFonts w:cs="Times New Roman" w:ascii="Times New Roman" w:hAnsi="Times New Roman"/>
                <w:color w:val="000000"/>
                <w:sz w:val="24"/>
                <w:lang w:val="en-US"/>
              </w:rPr>
              <w:t>4 496,0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20896,0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lang w:val="en-US"/>
              </w:rPr>
              <w:t>21031,0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13 860,0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7210,0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6950,0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124 784,0</w:t>
            </w:r>
          </w:p>
        </w:tc>
      </w:tr>
      <w:tr>
        <w:trPr>
          <w:trHeight w:val="1238" w:hRule="atLeast"/>
          <w:cantSplit w:val="true"/>
        </w:trPr>
        <w:tc>
          <w:tcPr>
            <w:tcW w:w="38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громади/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 т.ч. спецфонд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3760,0</w:t>
            </w: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12075,0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9030,0</w:t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lang w:val="en-US"/>
              </w:rPr>
              <w:t>9410,0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13 860,0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7210,0</w:t>
            </w: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6950,0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62 295,0</w:t>
            </w:r>
          </w:p>
        </w:tc>
      </w:tr>
      <w:tr>
        <w:trPr>
          <w:trHeight w:val="300" w:hRule="atLeast"/>
          <w:cantSplit w:val="true"/>
        </w:trPr>
        <w:tc>
          <w:tcPr>
            <w:tcW w:w="38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1912,0</w:t>
            </w: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4265,0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2100,0</w:t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6510,0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9 860,0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4660,0</w:t>
            </w: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4700,0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</w:rPr>
              <w:t>34 007,0</w:t>
            </w:r>
          </w:p>
        </w:tc>
      </w:tr>
      <w:tr>
        <w:trPr>
          <w:trHeight w:val="680" w:hRule="atLeast"/>
          <w:cantSplit w:val="true"/>
        </w:trPr>
        <w:tc>
          <w:tcPr>
            <w:tcW w:w="38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обласного бюджету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565,0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1065,0</w:t>
            </w:r>
          </w:p>
        </w:tc>
      </w:tr>
      <w:tr>
        <w:trPr>
          <w:trHeight w:val="665" w:hRule="atLeast"/>
          <w:cantSplit w:val="true"/>
        </w:trPr>
        <w:tc>
          <w:tcPr>
            <w:tcW w:w="38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державного бюджету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</w:tr>
      <w:tr>
        <w:trPr>
          <w:trHeight w:val="332" w:hRule="atLeast"/>
          <w:cantSplit w:val="true"/>
        </w:trPr>
        <w:tc>
          <w:tcPr>
            <w:tcW w:w="38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16081,0</w:t>
            </w: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21856,0</w:t>
            </w:r>
          </w:p>
        </w:tc>
        <w:tc>
          <w:tcPr>
            <w:tcW w:w="132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11866,0</w:t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11621,0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---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61424,0</w:t>
            </w:r>
          </w:p>
        </w:tc>
      </w:tr>
    </w:tbl>
    <w:p>
      <w:pPr>
        <w:pStyle w:val="Normal"/>
        <w:rPr>
          <w:rFonts w:ascii="Times New Roman" w:hAnsi="Times New Roman" w:cs="Times New Roman"/>
          <w:color w:val="000000"/>
          <w:sz w:val="24"/>
        </w:rPr>
      </w:pPr>
      <w:r>
        <w:rPr>
          <w:rFonts w:cs="Times New Roman" w:ascii="Times New Roman" w:hAnsi="Times New Roman"/>
          <w:color w:val="000000"/>
          <w:sz w:val="24"/>
        </w:rPr>
      </w:r>
    </w:p>
    <w:p>
      <w:pPr>
        <w:sectPr>
          <w:headerReference w:type="default" r:id="rId3"/>
          <w:type w:val="nextPage"/>
          <w:pgSz w:orient="landscape" w:w="16838" w:h="11906"/>
          <w:pgMar w:left="850" w:right="850" w:header="709" w:top="1219" w:footer="0" w:bottom="227" w:gutter="0"/>
          <w:pgNumType w:start="2" w:fmt="decimal"/>
          <w:formProt w:val="false"/>
          <w:textDirection w:val="lrTb"/>
          <w:docGrid w:type="default" w:linePitch="100" w:charSpace="8192"/>
        </w:sect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pStyle w:val="Normal"/>
        <w:tabs>
          <w:tab w:val="clear" w:pos="306"/>
          <w:tab w:val="left" w:pos="4815" w:leader="none"/>
          <w:tab w:val="left" w:pos="9300" w:leader="none"/>
        </w:tabs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ab/>
        <w:t>Додаток 2</w:t>
      </w:r>
    </w:p>
    <w:p>
      <w:pPr>
        <w:pStyle w:val="Normal"/>
        <w:ind w:left="9298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Комплексної програми охорони</w:t>
      </w:r>
    </w:p>
    <w:p>
      <w:pPr>
        <w:pStyle w:val="Normal"/>
        <w:ind w:left="9298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довкілля Луцької міської </w:t>
      </w:r>
    </w:p>
    <w:p>
      <w:pPr>
        <w:pStyle w:val="Normal"/>
        <w:ind w:left="9298" w:hanging="0"/>
        <w:jc w:val="both"/>
        <w:rPr/>
      </w:pPr>
      <w:r>
        <w:rPr>
          <w:rFonts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ind w:left="9241" w:hanging="0"/>
        <w:rPr/>
      </w:pPr>
      <w:r>
        <w:rPr>
          <w:rFonts w:ascii="Times New Roman" w:hAnsi="Times New Roman"/>
          <w:sz w:val="28"/>
          <w:szCs w:val="28"/>
        </w:rPr>
        <w:t>на 2022</w:t>
      </w:r>
      <w:r>
        <w:rPr>
          <w:color w:val="000000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2028 роки</w:t>
      </w:r>
    </w:p>
    <w:p>
      <w:pPr>
        <w:pStyle w:val="Normal"/>
        <w:ind w:left="9072" w:hanging="0"/>
        <w:rPr/>
      </w:pPr>
      <w:r>
        <w:rPr/>
      </w:r>
    </w:p>
    <w:p>
      <w:pPr>
        <w:pStyle w:val="Normal"/>
        <w:widowControl/>
        <w:jc w:val="center"/>
        <w:rPr>
          <w:rFonts w:ascii="Times New Roman" w:hAnsi="Times New Roman" w:eastAsia="SimSun;宋体" w:cs="Times New Roman"/>
          <w:color w:val="000000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Луцької міської територіальної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громади  на 2022–2028 роки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5765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43"/>
        <w:gridCol w:w="4398"/>
        <w:gridCol w:w="2119"/>
        <w:gridCol w:w="1389"/>
        <w:gridCol w:w="1244"/>
        <w:gridCol w:w="1485"/>
        <w:gridCol w:w="2886"/>
      </w:tblGrid>
      <w:tr>
        <w:trPr/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Назва завдання</w:t>
            </w:r>
          </w:p>
        </w:tc>
        <w:tc>
          <w:tcPr>
            <w:tcW w:w="4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Назва заходу</w:t>
            </w:r>
          </w:p>
        </w:tc>
        <w:tc>
          <w:tcPr>
            <w:tcW w:w="2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Виконавці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Терміни виконання</w:t>
            </w:r>
          </w:p>
        </w:tc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Фінансування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Результативні показники</w:t>
            </w:r>
          </w:p>
        </w:tc>
      </w:tr>
      <w:tr>
        <w:trPr/>
        <w:tc>
          <w:tcPr>
            <w:tcW w:w="22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3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Джерела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Обсяги, тис. грн</w:t>
            </w:r>
          </w:p>
        </w:tc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2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І. Охорона і раціональне використання водних ресурсів</w:t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2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Біологічна меліорація водойм (зариблення, в т.ч. розробка наукового обґрунтування)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та примноження  біоресурсів, покращення стану водойм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Заходи щодо відновлення і підтримання сприятливого гідрологічного режиму, санітарного  стану та благоустрою  річок та водойм, створення водоохоронних зон (в т.ч. розробка проектної документації)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Виконавчий комітет, 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виконавчі органи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920,0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3500,0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C9211E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>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C9211E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санітарно-екологічного стану водойм,  встановлення меж природоохоронних територій, забезпечення їх охорони.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3. Утримання в належному стані прибережних захисних смуг та водоохоронних зон річок та водойм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750,0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Попередження заростання та замулення водних об’єктів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>
                <w:rFonts w:ascii="Times New Roman" w:hAnsi="Times New Roman"/>
                <w:color w:val="000000"/>
                <w:spacing w:val="2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C9211E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500,0</w:t>
            </w:r>
          </w:p>
          <w:p>
            <w:pPr>
              <w:pStyle w:val="Normal"/>
              <w:jc w:val="center"/>
              <w:rPr>
                <w:color w:val="C9211E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500,0</w:t>
            </w:r>
          </w:p>
          <w:p>
            <w:pPr>
              <w:pStyle w:val="Normal"/>
              <w:jc w:val="center"/>
              <w:rPr>
                <w:color w:val="C9211E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Санітарне прибирання, покращення рекреаційних можливостей використання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4. Очищення русел річок від повалених дерев, догляд за прибережними захисними смугами та водоохоронними зонами  (видалення аварійних, сухостійних, вітровальних, фаутних дерев) з метою покращення гідрологічного режиму та санітарного стану водних об'єктів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5"/>
              <w:spacing w:before="0" w:after="0"/>
              <w:ind w:left="-57" w:hanging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Покращення гідрологічного режиму та санітарного стану водних об'єктів, відновлення судноплавства на р. Стир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5. Відновлення гідрологічного режиму та санітарного стану заплави р. Стир в районі вул. Гнідавська — вул. Ковельська в м. Луцьку (в т.ч. розробка/коригування проєкту)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ЖКГ/ 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Відповідно до ПКД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Очищення заплави від мулових осадів, поглиблення водойми, відновлення водообміну в гідрологічній системі р. Стир13860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5"/>
              <w:spacing w:before="0" w:after="0"/>
              <w:jc w:val="both"/>
              <w:rPr>
                <w:highlight w:val="yellow"/>
              </w:rPr>
            </w:pPr>
            <w:r>
              <w:rPr>
                <w:rFonts w:cs="Times New Roman" w:ascii="Times New Roman" w:hAnsi="Times New Roman"/>
                <w:color w:val="000000"/>
                <w:spacing w:val="2"/>
                <w:lang w:val="uk-UA"/>
              </w:rPr>
              <w:t>6. Реконструкція та відновлення водойми на території с. Прилуцьке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highlight w:val="yellow"/>
              </w:rPr>
            </w:pPr>
            <w:bookmarkStart w:id="3" w:name="__DdeLink__1797_1591253645"/>
            <w:r>
              <w:rPr>
                <w:rFonts w:ascii="Times New Roman" w:hAnsi="Times New Roman"/>
                <w:color w:val="000000"/>
                <w:sz w:val="24"/>
              </w:rPr>
              <w:t>Відповідно до ПКД</w:t>
            </w:r>
            <w:bookmarkEnd w:id="3"/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Відновлення  водойми, розвиток рекреаційного потенціалу території, адаптація до кліматичних змін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7. Будівництво локальних очисних споруд дощової каналізації на основних скидах у відкриті водойми міста (в т.ч. розробка проєкту)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Відповідно до ПКД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Покращить якість води у поверхневих водних об’єктах, зменшить руйнування  на випусках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highlight w:val="yellow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8. Р</w:t>
            </w:r>
            <w:r>
              <w:rPr>
                <w:rFonts w:ascii="Times New Roman" w:hAnsi="Times New Roman"/>
                <w:color w:val="000000"/>
                <w:sz w:val="24"/>
              </w:rPr>
              <w:t>еконструкція гідротехнічних споруд (дамби, греблі, шлюзи тощо)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Відповідно до ПКД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Забезпечення стійкості штучно створених водних систем, можливість при потребі регулювати рівень води у об’єктах при настанні несприятливих явищ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повені, засухи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9. Роботи, пов'язані з поліпшенням технічного стану та благоустрою водойм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Підвищить рекреаційний потенціал території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10. Паспортизація малих річок і водойм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громади/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передумов для збереження та раціонального використання водних ресурсів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11. Паспортизація гідротехнічних споруд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передумов для збереження, захисту, надання в оренду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12. Реконструкція маслобензовловлювача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“Теремно Хліб”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13. Проведення лабораторного контролю за якісним складом стічних вод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14. Реконструкція радіального відстійника очисних споруд промислової каналізації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“Луцька картонно-паперова фабрика”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15. Встановлення  ротаційного сепаратора для очищення води після установки з виготовлення картону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“Луцька картонно-паперова фабрика”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16. Будівництво локальних очисних споруд стічних вод на дільниці галтування ролика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5500,0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17. Реконструкція системи очищення дощових вод та розробка концепції повторного використання дощових  стоків для технічних потреб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очищення зливових стоків, раціональне використання природних ресурсів</w:t>
            </w:r>
          </w:p>
        </w:tc>
      </w:tr>
      <w:tr>
        <w:trPr>
          <w:trHeight w:val="1146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18. Розчищення русла та укріплення берегів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р. Сапалаївка в місці скиду зливових вод з очисних споруд підприємства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Попередження руйнування берегів річки, замулення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19. Проведення лабораторного контролю за якісним складом стічних вод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20. Реконструкція насосного обладнання на очисних спорудах зливових вод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безперебійної роботи та очищення стоків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2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21. Заходи на проведення очистки меліоративних каналів на території Центрального парку культури і відпочинку ім. Лесі Українки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ЖГК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Обласний бюджет/ 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500,0/500,0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500,0/1500,0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санітарного стану парку та водойм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2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 xml:space="preserve">22. Заходи з охорони підземних вод та ліквідації джерел їх забруднення, а саме </w:t>
            </w:r>
            <w:bookmarkStart w:id="4" w:name="__DdeLink__262_139132664"/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 xml:space="preserve"> розробка проєктно-кошторисної документації встановлення санітарно-захисних зон свердловин питного водопостачання</w:t>
            </w:r>
            <w:bookmarkEnd w:id="4"/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 xml:space="preserve"> та влаштування захисних огорож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КП “Луцькводоканал”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/ в т.ч. спецфонд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850,0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Охорона підземних вод (джерел питного водопостачання)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ІІ. Охорона атмосферного повітря</w:t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Придбання обладнання та обслуговування системи моніторингу атмосферного повітря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доступу громадян до екологічної інформації та оперативного реагування на виклики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Реконструкція вентиляційної системи від деревообробного обладнання столярної майстерні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“Теремно Хліб”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Проведення режимно-налагоджувальних робіт на котлоагрегатах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ДКП “Луцьктепло”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245,0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Проведення лабораторного контролю викидів забруднювальних речовин в атмосферне повітря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 Проведення інвентаризації джерел викидів забруднювальних речовин в атмосферне повітря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6. Організація виробництва для очищення газопилового потоку (реконструкція ПГОУ)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 Організація виробництва для очищення газопилового потоку (реконструкція ПГОУ)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8. Проведення лабораторного контролю викидів забруднюючих речовин в атмосферне повітря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9. Проведення режимно-налагоджувальних робіт на котлоагрегатах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ІІІ. Охорона і раціональне використання земель</w:t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Моніторинг стану забруднення ґрунтів</w:t>
            </w:r>
          </w:p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Луцької міської територіальної громади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Не потребує коштів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за рівнем забруднення, забезпечення доступу до екологічної інформації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ІV. Охорона і раціональне використання </w:t>
              <w:br/>
              <w:t>природних рослинних ресурсів</w:t>
            </w:r>
          </w:p>
        </w:tc>
        <w:tc>
          <w:tcPr>
            <w:tcW w:w="439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1. Заходи з озеленення 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населених пунктів Луцької міської територіальної громади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Виконавчі  органи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900,0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88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Ліквідація наслідків буреломів, сніголомів, вітровалів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комітет/ ДЖКГ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безпеки життя та здоров’я мешканців громади, мінімізація наслідків негативних природних явищ</w:t>
            </w:r>
          </w:p>
        </w:tc>
      </w:tr>
      <w:tr>
        <w:trPr>
          <w:trHeight w:val="1341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Заходи щодо запобігання інтродукції та поширення чужорідних видів рослин, які загрожують природним екосистемам (борщівник, амброзія та ін. 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ДЖКГ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та збереження природних екосистем, захист здоров’я мешканці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Проведення інвентаризації зелених насаджень, виготовлення документації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та збереження природних екосистем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2"/>
              <w:spacing w:lineRule="atLeast" w:line="240"/>
              <w:jc w:val="both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5. Обробка зелених насаджень від кліщів, комарів, білого американського метелика та ін.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та збереження природних екосистем від інвазійних видів, захист здоров’я мешканців, адаптація до змін клімату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6. Заходи з озеленення території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>
          <w:trHeight w:val="1188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 Заходи з озеленення території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Охорона і раціональне використання </w:t>
              <w:br/>
              <w:t>ресурсів тваринного світу</w:t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Будівництво та облаштування притулку для утримання безпритульних тварин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Заходи щодо охорони тваринного світу та боротьби з браконьєрством (придбання матеріально-технічних засобів тощо)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VІ. Збереження природно-заповідного фонду</w:t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Утримання територій та об’єктів природно-заповідного фонду міської громади (знесення аварійних дерев, виготовлення та встановлення інформаційних стендів, виготовлення огородження, відновлення насаджень, косіння трави та чагарників, лікування насаджень)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комітет/ КП “Парки та сквери міста Луцька”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>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біорізноманіття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Розроблення проєктів створення територій і об'єктів природно-заповідного фонду та організації їх територій, наукові дослідження видового складу флори та фауни, екосистемних послуг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ДЖКГ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 територій природо-заповідного фонду, їх раціональне не виснажливе використання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Розроблення документації із землеустрою для територій та об’єктів природно-заповідного фонду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285,0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Захист  територій природо-заповідного фонду</w:t>
            </w:r>
          </w:p>
        </w:tc>
      </w:tr>
      <w:tr>
        <w:trPr>
          <w:trHeight w:val="1090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Діяльність щодо збереження видів тварин, занесених до Червоної книги України (придбання кормів)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Збереження біорізноманіття та тварин занесених до Червоної книги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 Створення Ботанічного саду на вул. Потебні в м. Луцьку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ВНУ ім. Лесі Українки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Інші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Відповідно до проєктної документації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Формування екомережі, збереження біорізноманіття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VІІ. Раціональне використання і зберігання </w:t>
              <w:br/>
              <w:t>відходів виробництва і побутових відходів</w:t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1. Заходи щодо екологічно безпечного збирання, перевезення, зберігання, утилізації і знешкодження відходів (відпрацьовані люмінесцентні лампи, ртутні термометри, хімічні джерела струму, зношені шини та ін.)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Вилучення небезпечних відходів із загального потоку ТПВ, зменшення забруднення довкілля</w:t>
            </w:r>
          </w:p>
        </w:tc>
      </w:tr>
      <w:tr>
        <w:trPr>
          <w:trHeight w:val="1223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Придбання обладнання для роздільного збору відходів (компостери для</w:t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встановлення у ЗДО та ЗЗСО, контейнери для збору різних фракцій відходів у комунальних установах).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Виконавчий комітет, виконавчі органи,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ЛСКАП “Луцькспецкомунтранс”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1150,0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Впровадження  роздільного збору  відходів у громаді за принципом “від дверей до дверей”.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Реконструкція місця зберігання небезпечних відходів (АКБ)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57" w:right="-57" w:hanging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ПрАТ “ТеремноХліб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Проєктування та встановлення системи для утилізації полімерних відходів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ПрАТ “Луцька  КПФ”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Раціональне використання відходів виробництва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 Утилізація промислових відходів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6. Придбання обладнання для тимчасового зберігання небезпечних відходів (відпрацьовані люмінесцентні лампи)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 Реконструкція (модернізація) місця зберігання відходів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8. Р</w:t>
            </w:r>
            <w:r>
              <w:rPr>
                <w:rFonts w:ascii="Times New Roman" w:hAnsi="Times New Roman"/>
                <w:color w:val="000000"/>
                <w:sz w:val="24"/>
              </w:rPr>
              <w:t>озширення та реконструкція споруд, придбання та встановлення обладнання для збору, складування та утилізації промислових відходів виробництва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9. Вдосконалення процесу сортування промислових відходів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Раціональне використання відходів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10. Утилізація промислових відходів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VІІІ. Наука, інформація і освіта, забезпечення участі у діяльності</w:t>
              <w:br/>
              <w:t>міжнародних організацій природоохоронного спрямування</w:t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 xml:space="preserve">1. </w:t>
            </w: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Утримання та оснащення природоохоронних організацій приладами, обладнанням і спеціальними транспортними засобами, зміцнення матеріально-технічної бази територіальних органів 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ресурсів.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Виконавчі органи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2200,0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Організація належного контролю за  порушеннями  природоохоронного законодавства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2. Проведення наукових досліджень (моніторинг якості атмосферного повітря, поверхневих вод тощо)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Обласний бюджет/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Бюджет громади 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65,0/30,0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рівноваги природних систем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 Заходи зі збереження біорізноманіття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умов для збереження біорізноманіття, покращення обізнаності  дітей та молоді  з  питань  біорізноманіття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 Створення та обслуговування  автоматизованих геоінформаційних систем та приладів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громади/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та забезпечення функціювання місцевих екологічних АІС, доступу до екологічної інформації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 Проведення науково-технічних конференцій і семінарів, організація виставок, фестивалів та інших заходів щодо пропаганди охорони навколишнього природного середовища, видання поліграфічної продукції з екологічної тематики, створення бібліотек, відеотек, фонотек тощо(в т.ч. придбання одноразових рукавиць та пакетів для сміття в рамках проведення міських екологічних акцій), розробка СЕО документів державного планування.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Очищення довкілля в ході  загальноміських  акцій, популяризація природоохоронної діяльності</w:t>
            </w:r>
          </w:p>
        </w:tc>
      </w:tr>
      <w:tr>
        <w:trPr>
          <w:trHeight w:val="1020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6. Організація і здійснення робіт з екологічної освіти, підготовки кадрів, підвищення кваліфікації та обміну досвідом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bookmarkStart w:id="5" w:name="__DdeLink__2169_771351238"/>
            <w:r>
              <w:rPr>
                <w:rFonts w:ascii="Times New Roman" w:hAnsi="Times New Roman"/>
                <w:color w:val="000000"/>
                <w:sz w:val="24"/>
              </w:rPr>
              <w:t>П</w:t>
            </w:r>
            <w:bookmarkEnd w:id="5"/>
            <w:r>
              <w:rPr>
                <w:rFonts w:ascii="Times New Roman" w:hAnsi="Times New Roman"/>
                <w:color w:val="000000"/>
                <w:sz w:val="24"/>
              </w:rPr>
              <w:t>ідвищення інституційної спроможності працівників природоохоронної сфери.</w:t>
            </w:r>
          </w:p>
        </w:tc>
      </w:tr>
      <w:tr>
        <w:trPr>
          <w:trHeight w:val="1445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 Проведення семінарів, круглих столів, конференцій з питань сучасних екологічних проблем, видання поліграфічної продукції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ВНУ ім. Лесі Українки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Популяризація природоохоронної діяльності, підвищення поінформованості громади щодо екологічних питань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ПрАТ “СКФ Україна”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Поширення екологічний знань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Поширення екологічний знань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4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10. Атестація лабораторії  підприємства  для здійснення моніторингу атмосферного повітря та стічних вод</w:t>
            </w:r>
          </w:p>
        </w:tc>
        <w:tc>
          <w:tcPr>
            <w:tcW w:w="21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“БАС Моторс”</w:t>
            </w:r>
          </w:p>
        </w:tc>
        <w:tc>
          <w:tcPr>
            <w:tcW w:w="13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35,0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Забезпечення  контролю за станом довкілля</w:t>
            </w:r>
          </w:p>
        </w:tc>
      </w:tr>
      <w:tr>
        <w:trPr>
          <w:trHeight w:val="315" w:hRule="atLeast"/>
        </w:trPr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Всього за роками,в тому числі: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124 784,0</w:t>
            </w:r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20 341,0</w:t>
            </w:r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</w:rPr>
            </w:pPr>
            <w:bookmarkStart w:id="6" w:name="__DdeLink__2853_2295493619"/>
            <w:r>
              <w:rPr>
                <w:rFonts w:cs="Times New Roman" w:ascii="Times New Roman" w:hAnsi="Times New Roman"/>
                <w:color w:val="000000"/>
                <w:sz w:val="24"/>
              </w:rPr>
              <w:t>3</w:t>
            </w:r>
            <w:r>
              <w:rPr>
                <w:rFonts w:cs="Times New Roman" w:ascii="Times New Roman" w:hAnsi="Times New Roman"/>
                <w:color w:val="000000"/>
                <w:sz w:val="24"/>
                <w:lang w:val="en-US"/>
              </w:rPr>
              <w:t>4 496,0</w:t>
            </w:r>
            <w:bookmarkEnd w:id="6"/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20 896,0</w:t>
            </w:r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A933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21031,0</w:t>
            </w:r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2026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</w:rPr>
              <w:t>13 860,0</w:t>
            </w:r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2027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7210,0</w:t>
            </w:r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A933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2028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color w:val="00A933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6950,0</w:t>
            </w:r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Всього за джерелами фінансування, у тому числі: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  <w:t>коштів бюджету громади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62 295,0</w:t>
            </w:r>
          </w:p>
        </w:tc>
      </w:tr>
      <w:tr>
        <w:trPr/>
        <w:tc>
          <w:tcPr>
            <w:tcW w:w="1287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  <w:t>коштів інших джерел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color w:val="00A933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4"/>
              </w:rPr>
              <w:t>61424,0</w:t>
            </w:r>
          </w:p>
        </w:tc>
      </w:tr>
    </w:tbl>
    <w:p>
      <w:pPr>
        <w:pStyle w:val="Normal"/>
        <w:tabs>
          <w:tab w:val="clear" w:pos="306"/>
          <w:tab w:val="left" w:pos="4815" w:leader="none"/>
        </w:tabs>
        <w:jc w:val="both"/>
        <w:rPr/>
      </w:pPr>
      <w:r>
        <w:rPr/>
      </w:r>
    </w:p>
    <w:p>
      <w:pPr>
        <w:pStyle w:val="Normal"/>
        <w:tabs>
          <w:tab w:val="clear" w:pos="306"/>
          <w:tab w:val="left" w:pos="4815" w:leader="none"/>
        </w:tabs>
        <w:jc w:val="both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sectPr>
      <w:headerReference w:type="default" r:id="rId4"/>
      <w:type w:val="nextPage"/>
      <w:pgSz w:orient="landscape" w:w="16838" w:h="11906"/>
      <w:pgMar w:left="567" w:right="567" w:header="1701" w:top="1758" w:footer="0" w:bottom="1701" w:gutter="0"/>
      <w:pgNumType w:start="3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center"/>
      <w:rPr>
        <w:sz w:val="28"/>
        <w:szCs w:val="28"/>
      </w:rPr>
    </w:pPr>
    <w:r>
      <w:rPr>
        <w:sz w:val="28"/>
        <w:szCs w:val="2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7995435"/>
    </w:sdtPr>
    <w:sdtContent>
      <w:p>
        <w:pPr>
          <w:pStyle w:val="Style30"/>
          <w:jc w:val="center"/>
          <w:rPr/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3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  <w:p>
    <w:pPr>
      <w:pStyle w:val="Style3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306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90da3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Mangal;Liberation Mono"/>
      <w:color w:val="auto"/>
      <w:kern w:val="2"/>
      <w:sz w:val="22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11"/>
    <w:uiPriority w:val="9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ing2Char" w:customStyle="1">
    <w:name w:val="Heading 2 Char"/>
    <w:basedOn w:val="DefaultParagraphFont"/>
    <w:link w:val="21"/>
    <w:uiPriority w:val="9"/>
    <w:semiHidden/>
    <w:qFormat/>
    <w:rsid w:val="0041163d"/>
    <w:rPr>
      <w:rFonts w:ascii="Cambria" w:hAnsi="Cambria" w:eastAsia="" w:cs="Mangal" w:asciiTheme="majorHAnsi" w:eastAsiaTheme="majorEastAsia" w:hAnsiTheme="majorHAnsi"/>
      <w:b/>
      <w:bCs/>
      <w:i/>
      <w:iCs/>
      <w:kern w:val="2"/>
      <w:sz w:val="28"/>
      <w:szCs w:val="25"/>
      <w:lang w:eastAsia="zh-CN" w:bidi="hi-IN"/>
    </w:rPr>
  </w:style>
  <w:style w:type="character" w:styleId="WW8Num1z0" w:customStyle="1">
    <w:name w:val="WW8Num1z0"/>
    <w:uiPriority w:val="99"/>
    <w:qFormat/>
    <w:rsid w:val="00190da3"/>
    <w:rPr/>
  </w:style>
  <w:style w:type="character" w:styleId="WW8Num1z1" w:customStyle="1">
    <w:name w:val="WW8Num1z1"/>
    <w:uiPriority w:val="99"/>
    <w:qFormat/>
    <w:rsid w:val="00190da3"/>
    <w:rPr/>
  </w:style>
  <w:style w:type="character" w:styleId="WW8Num1z2" w:customStyle="1">
    <w:name w:val="WW8Num1z2"/>
    <w:uiPriority w:val="99"/>
    <w:qFormat/>
    <w:rsid w:val="00190da3"/>
    <w:rPr/>
  </w:style>
  <w:style w:type="character" w:styleId="WW8Num1z3" w:customStyle="1">
    <w:name w:val="WW8Num1z3"/>
    <w:uiPriority w:val="99"/>
    <w:qFormat/>
    <w:rsid w:val="00190da3"/>
    <w:rPr/>
  </w:style>
  <w:style w:type="character" w:styleId="WW8Num1z4" w:customStyle="1">
    <w:name w:val="WW8Num1z4"/>
    <w:uiPriority w:val="99"/>
    <w:qFormat/>
    <w:rsid w:val="00190da3"/>
    <w:rPr/>
  </w:style>
  <w:style w:type="character" w:styleId="WW8Num1z5" w:customStyle="1">
    <w:name w:val="WW8Num1z5"/>
    <w:uiPriority w:val="99"/>
    <w:qFormat/>
    <w:rsid w:val="00190da3"/>
    <w:rPr/>
  </w:style>
  <w:style w:type="character" w:styleId="WW8Num1z6" w:customStyle="1">
    <w:name w:val="WW8Num1z6"/>
    <w:uiPriority w:val="99"/>
    <w:qFormat/>
    <w:rsid w:val="00190da3"/>
    <w:rPr/>
  </w:style>
  <w:style w:type="character" w:styleId="WW8Num1z7" w:customStyle="1">
    <w:name w:val="WW8Num1z7"/>
    <w:uiPriority w:val="99"/>
    <w:qFormat/>
    <w:rsid w:val="00190da3"/>
    <w:rPr/>
  </w:style>
  <w:style w:type="character" w:styleId="WW8Num1z8" w:customStyle="1">
    <w:name w:val="WW8Num1z8"/>
    <w:uiPriority w:val="99"/>
    <w:qFormat/>
    <w:rsid w:val="00190da3"/>
    <w:rPr/>
  </w:style>
  <w:style w:type="character" w:styleId="2" w:customStyle="1">
    <w:name w:val="Основной шрифт абзаца2"/>
    <w:uiPriority w:val="99"/>
    <w:qFormat/>
    <w:rsid w:val="00190da3"/>
    <w:rPr/>
  </w:style>
  <w:style w:type="character" w:styleId="WW8Num2z0" w:customStyle="1">
    <w:name w:val="WW8Num2z0"/>
    <w:uiPriority w:val="99"/>
    <w:qFormat/>
    <w:rsid w:val="00190da3"/>
    <w:rPr/>
  </w:style>
  <w:style w:type="character" w:styleId="WW8Num2z1" w:customStyle="1">
    <w:name w:val="WW8Num2z1"/>
    <w:uiPriority w:val="99"/>
    <w:qFormat/>
    <w:rsid w:val="00190da3"/>
    <w:rPr/>
  </w:style>
  <w:style w:type="character" w:styleId="WW8Num2z2" w:customStyle="1">
    <w:name w:val="WW8Num2z2"/>
    <w:uiPriority w:val="99"/>
    <w:qFormat/>
    <w:rsid w:val="00190da3"/>
    <w:rPr/>
  </w:style>
  <w:style w:type="character" w:styleId="WW8Num2z3" w:customStyle="1">
    <w:name w:val="WW8Num2z3"/>
    <w:uiPriority w:val="99"/>
    <w:qFormat/>
    <w:rsid w:val="00190da3"/>
    <w:rPr/>
  </w:style>
  <w:style w:type="character" w:styleId="WW8Num2z4" w:customStyle="1">
    <w:name w:val="WW8Num2z4"/>
    <w:uiPriority w:val="99"/>
    <w:qFormat/>
    <w:rsid w:val="00190da3"/>
    <w:rPr/>
  </w:style>
  <w:style w:type="character" w:styleId="WW8Num2z5" w:customStyle="1">
    <w:name w:val="WW8Num2z5"/>
    <w:uiPriority w:val="99"/>
    <w:qFormat/>
    <w:rsid w:val="00190da3"/>
    <w:rPr/>
  </w:style>
  <w:style w:type="character" w:styleId="WW8Num2z6" w:customStyle="1">
    <w:name w:val="WW8Num2z6"/>
    <w:uiPriority w:val="99"/>
    <w:qFormat/>
    <w:rsid w:val="00190da3"/>
    <w:rPr/>
  </w:style>
  <w:style w:type="character" w:styleId="WW8Num2z7" w:customStyle="1">
    <w:name w:val="WW8Num2z7"/>
    <w:uiPriority w:val="99"/>
    <w:qFormat/>
    <w:rsid w:val="00190da3"/>
    <w:rPr/>
  </w:style>
  <w:style w:type="character" w:styleId="WW8Num2z8" w:customStyle="1">
    <w:name w:val="WW8Num2z8"/>
    <w:uiPriority w:val="99"/>
    <w:qFormat/>
    <w:rsid w:val="00190da3"/>
    <w:rPr/>
  </w:style>
  <w:style w:type="character" w:styleId="WW8Num3z0" w:customStyle="1">
    <w:name w:val="WW8Num3z0"/>
    <w:uiPriority w:val="99"/>
    <w:qFormat/>
    <w:rsid w:val="00190da3"/>
    <w:rPr/>
  </w:style>
  <w:style w:type="character" w:styleId="WW8Num3z1" w:customStyle="1">
    <w:name w:val="WW8Num3z1"/>
    <w:uiPriority w:val="99"/>
    <w:qFormat/>
    <w:rsid w:val="00190da3"/>
    <w:rPr/>
  </w:style>
  <w:style w:type="character" w:styleId="WW8Num3z2" w:customStyle="1">
    <w:name w:val="WW8Num3z2"/>
    <w:uiPriority w:val="99"/>
    <w:qFormat/>
    <w:rsid w:val="00190da3"/>
    <w:rPr/>
  </w:style>
  <w:style w:type="character" w:styleId="WW8Num3z3" w:customStyle="1">
    <w:name w:val="WW8Num3z3"/>
    <w:uiPriority w:val="99"/>
    <w:qFormat/>
    <w:rsid w:val="00190da3"/>
    <w:rPr/>
  </w:style>
  <w:style w:type="character" w:styleId="WW8Num3z4" w:customStyle="1">
    <w:name w:val="WW8Num3z4"/>
    <w:uiPriority w:val="99"/>
    <w:qFormat/>
    <w:rsid w:val="00190da3"/>
    <w:rPr/>
  </w:style>
  <w:style w:type="character" w:styleId="WW8Num3z5" w:customStyle="1">
    <w:name w:val="WW8Num3z5"/>
    <w:uiPriority w:val="99"/>
    <w:qFormat/>
    <w:rsid w:val="00190da3"/>
    <w:rPr/>
  </w:style>
  <w:style w:type="character" w:styleId="WW8Num3z6" w:customStyle="1">
    <w:name w:val="WW8Num3z6"/>
    <w:uiPriority w:val="99"/>
    <w:qFormat/>
    <w:rsid w:val="00190da3"/>
    <w:rPr/>
  </w:style>
  <w:style w:type="character" w:styleId="WW8Num3z7" w:customStyle="1">
    <w:name w:val="WW8Num3z7"/>
    <w:uiPriority w:val="99"/>
    <w:qFormat/>
    <w:rsid w:val="00190da3"/>
    <w:rPr/>
  </w:style>
  <w:style w:type="character" w:styleId="WW8Num3z8" w:customStyle="1">
    <w:name w:val="WW8Num3z8"/>
    <w:uiPriority w:val="99"/>
    <w:qFormat/>
    <w:rsid w:val="00190da3"/>
    <w:rPr/>
  </w:style>
  <w:style w:type="character" w:styleId="1" w:customStyle="1">
    <w:name w:val="Основной шрифт абзаца1"/>
    <w:uiPriority w:val="99"/>
    <w:qFormat/>
    <w:rsid w:val="00190da3"/>
    <w:rPr/>
  </w:style>
  <w:style w:type="character" w:styleId="Style14" w:customStyle="1">
    <w:name w:val="Верх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Style15" w:customStyle="1">
    <w:name w:val="Ниж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11" w:customStyle="1">
    <w:name w:val="Заголовок 1 Знак"/>
    <w:uiPriority w:val="99"/>
    <w:qFormat/>
    <w:rsid w:val="00190da3"/>
    <w:rPr>
      <w:rFonts w:ascii="Liberation Serif;Times New Roma" w:hAnsi="Liberation Serif;Times New Roma" w:eastAsia="SimSun;宋体"/>
      <w:b/>
      <w:kern w:val="2"/>
      <w:sz w:val="24"/>
      <w:lang w:eastAsia="zh-CN"/>
    </w:rPr>
  </w:style>
  <w:style w:type="character" w:styleId="21" w:customStyle="1">
    <w:name w:val="Заголовок 2 Знак"/>
    <w:uiPriority w:val="99"/>
    <w:qFormat/>
    <w:rsid w:val="00190da3"/>
    <w:rPr>
      <w:rFonts w:ascii="Arial" w:hAnsi="Arial" w:eastAsia="SimSun;宋体"/>
      <w:b/>
      <w:i/>
      <w:kern w:val="2"/>
      <w:sz w:val="28"/>
      <w:lang w:eastAsia="zh-CN"/>
    </w:rPr>
  </w:style>
  <w:style w:type="character" w:styleId="Style16" w:customStyle="1">
    <w:name w:val="Маркери списку"/>
    <w:uiPriority w:val="99"/>
    <w:qFormat/>
    <w:rsid w:val="00190da3"/>
    <w:rPr>
      <w:rFonts w:ascii="OpenSymbol" w:hAnsi="OpenSymbol" w:eastAsia="Times New Roman"/>
    </w:rPr>
  </w:style>
  <w:style w:type="character" w:styleId="12" w:customStyle="1">
    <w:name w:val="Гіперпосилання1"/>
    <w:uiPriority w:val="99"/>
    <w:qFormat/>
    <w:rsid w:val="00190da3"/>
    <w:rPr>
      <w:color w:val="000080"/>
      <w:u w:val="single"/>
    </w:rPr>
  </w:style>
  <w:style w:type="character" w:styleId="Style17" w:customStyle="1">
    <w:name w:val="Основний текст Знак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Style18" w:customStyle="1">
    <w:name w:val="Назва Знак"/>
    <w:basedOn w:val="DefaultParagraphFont"/>
    <w:uiPriority w:val="10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erChar" w:customStyle="1">
    <w:name w:val="Header Char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FooterChar" w:customStyle="1">
    <w:name w:val="Footer Char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Style19" w:customStyle="1">
    <w:name w:val="Верхній колонтитул Знак"/>
    <w:basedOn w:val="DefaultParagraphFont"/>
    <w:uiPriority w:val="99"/>
    <w:qFormat/>
    <w:rsid w:val="00fb50b0"/>
    <w:rPr>
      <w:rFonts w:ascii="Calibri" w:hAnsi="Calibri" w:cs="Mangal"/>
      <w:kern w:val="2"/>
      <w:sz w:val="22"/>
      <w:szCs w:val="24"/>
      <w:lang w:eastAsia="zh-CN" w:bidi="hi-IN"/>
    </w:rPr>
  </w:style>
  <w:style w:type="character" w:styleId="Style20" w:customStyle="1">
    <w:name w:val="Нижній колонтитул Знак"/>
    <w:basedOn w:val="DefaultParagraphFont"/>
    <w:uiPriority w:val="99"/>
    <w:semiHidden/>
    <w:qFormat/>
    <w:rsid w:val="00fb50b0"/>
    <w:rPr>
      <w:rFonts w:ascii="Calibri" w:hAnsi="Calibri" w:cs="Mangal"/>
      <w:kern w:val="2"/>
      <w:sz w:val="22"/>
      <w:szCs w:val="24"/>
      <w:lang w:eastAsia="zh-CN" w:bidi="hi-IN"/>
    </w:rPr>
  </w:style>
  <w:style w:type="paragraph" w:styleId="Style21" w:customStyle="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uiPriority w:val="99"/>
    <w:rsid w:val="00190da3"/>
    <w:pPr>
      <w:spacing w:lineRule="auto" w:line="276" w:before="0" w:after="140"/>
    </w:pPr>
    <w:rPr/>
  </w:style>
  <w:style w:type="paragraph" w:styleId="Style23">
    <w:name w:val="List"/>
    <w:basedOn w:val="Style22"/>
    <w:uiPriority w:val="99"/>
    <w:rsid w:val="00190da3"/>
    <w:pPr/>
    <w:rPr/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111" w:customStyle="1">
    <w:name w:val="Заголовок 11"/>
    <w:basedOn w:val="Normal"/>
    <w:next w:val="Normal"/>
    <w:link w:val="Heading1Char"/>
    <w:uiPriority w:val="99"/>
    <w:qFormat/>
    <w:rsid w:val="00190da3"/>
    <w:pPr>
      <w:keepNext w:val="true"/>
      <w:widowControl/>
      <w:jc w:val="center"/>
      <w:outlineLvl w:val="0"/>
    </w:pPr>
    <w:rPr>
      <w:rFonts w:ascii="Liberation Serif;Times New Roma" w:hAnsi="Liberation Serif;Times New Roma" w:eastAsia="SimSun;宋体" w:cs="Liberation Serif;Times New Roma"/>
      <w:b/>
      <w:sz w:val="32"/>
    </w:rPr>
  </w:style>
  <w:style w:type="paragraph" w:styleId="211" w:customStyle="1">
    <w:name w:val="Заголовок 21"/>
    <w:basedOn w:val="Normal"/>
    <w:next w:val="Normal"/>
    <w:link w:val="Heading2Char"/>
    <w:uiPriority w:val="99"/>
    <w:qFormat/>
    <w:rsid w:val="00190da3"/>
    <w:pPr>
      <w:keepNext w:val="true"/>
      <w:widowControl/>
      <w:spacing w:before="240" w:after="60"/>
      <w:outlineLvl w:val="1"/>
    </w:pPr>
    <w:rPr>
      <w:rFonts w:ascii="Arial" w:hAnsi="Arial" w:eastAsia="SimSun;宋体" w:cs="Arial"/>
      <w:b/>
      <w:i/>
      <w:iCs/>
      <w:sz w:val="24"/>
      <w:szCs w:val="28"/>
    </w:rPr>
  </w:style>
  <w:style w:type="paragraph" w:styleId="13" w:customStyle="1">
    <w:name w:val="Назва об'єкта1"/>
    <w:basedOn w:val="Normal"/>
    <w:qFormat/>
    <w:rsid w:val="00711691"/>
    <w:pPr>
      <w:suppressLineNumbers/>
      <w:spacing w:before="120" w:after="120"/>
    </w:pPr>
    <w:rPr>
      <w:rFonts w:cs="Arial"/>
      <w:i/>
      <w:iCs/>
      <w:sz w:val="24"/>
    </w:rPr>
  </w:style>
  <w:style w:type="paragraph" w:styleId="Style26">
    <w:name w:val="Title"/>
    <w:basedOn w:val="Normal"/>
    <w:uiPriority w:val="99"/>
    <w:qFormat/>
    <w:rsid w:val="00190da3"/>
    <w:pPr>
      <w:suppressLineNumbers/>
      <w:spacing w:before="120" w:after="120"/>
    </w:pPr>
    <w:rPr>
      <w:rFonts w:cs="Mangal"/>
      <w:i/>
      <w:iCs/>
      <w:sz w:val="24"/>
    </w:rPr>
  </w:style>
  <w:style w:type="paragraph" w:styleId="Index1">
    <w:name w:val="index 1"/>
    <w:basedOn w:val="Normal"/>
    <w:next w:val="Normal"/>
    <w:autoRedefine/>
    <w:uiPriority w:val="99"/>
    <w:semiHidden/>
    <w:qFormat/>
    <w:rsid w:val="00711691"/>
    <w:pPr>
      <w:ind w:left="220" w:hanging="220"/>
    </w:pPr>
    <w:rPr/>
  </w:style>
  <w:style w:type="paragraph" w:styleId="Indexheading">
    <w:name w:val="index heading"/>
    <w:basedOn w:val="Normal"/>
    <w:uiPriority w:val="99"/>
    <w:qFormat/>
    <w:rsid w:val="00190da3"/>
    <w:pPr>
      <w:suppressLineNumbers/>
    </w:pPr>
    <w:rPr>
      <w:rFonts w:cs="Mangal"/>
    </w:rPr>
  </w:style>
  <w:style w:type="paragraph" w:styleId="3" w:customStyle="1">
    <w:name w:val="Указатель3"/>
    <w:basedOn w:val="Normal"/>
    <w:uiPriority w:val="99"/>
    <w:qFormat/>
    <w:rsid w:val="00190da3"/>
    <w:pPr>
      <w:suppressLineNumbers/>
    </w:pPr>
    <w:rPr/>
  </w:style>
  <w:style w:type="paragraph" w:styleId="22" w:customStyle="1">
    <w:name w:val="Название объекта2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23" w:customStyle="1">
    <w:name w:val="Указатель2"/>
    <w:basedOn w:val="Normal"/>
    <w:uiPriority w:val="99"/>
    <w:qFormat/>
    <w:rsid w:val="00190da3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15" w:customStyle="1">
    <w:name w:val="Указатель1"/>
    <w:basedOn w:val="Normal"/>
    <w:uiPriority w:val="99"/>
    <w:qFormat/>
    <w:rsid w:val="00190da3"/>
    <w:pPr>
      <w:suppressLineNumbers/>
    </w:pPr>
    <w:rPr/>
  </w:style>
  <w:style w:type="paragraph" w:styleId="Style27" w:customStyle="1">
    <w:name w:val="Содержимое таблицы"/>
    <w:basedOn w:val="Normal"/>
    <w:uiPriority w:val="99"/>
    <w:qFormat/>
    <w:rsid w:val="00190da3"/>
    <w:pPr>
      <w:suppressLineNumbers/>
    </w:pPr>
    <w:rPr/>
  </w:style>
  <w:style w:type="paragraph" w:styleId="Style28" w:customStyle="1">
    <w:name w:val="Заголовок таблицы"/>
    <w:basedOn w:val="Style27"/>
    <w:uiPriority w:val="99"/>
    <w:qFormat/>
    <w:rsid w:val="00190da3"/>
    <w:pPr>
      <w:jc w:val="center"/>
    </w:pPr>
    <w:rPr>
      <w:b/>
      <w:bCs/>
    </w:rPr>
  </w:style>
  <w:style w:type="paragraph" w:styleId="Style29" w:customStyle="1">
    <w:name w:val="Верхній і нижній колонтитули"/>
    <w:basedOn w:val="Normal"/>
    <w:qFormat/>
    <w:pPr/>
    <w:rPr/>
  </w:style>
  <w:style w:type="paragraph" w:styleId="Style30">
    <w:name w:val="Header"/>
    <w:basedOn w:val="Normal"/>
    <w:uiPriority w:val="99"/>
    <w:unhideWhenUsed/>
    <w:rsid w:val="00fb50b0"/>
    <w:pPr>
      <w:tabs>
        <w:tab w:val="clear" w:pos="306"/>
        <w:tab w:val="center" w:pos="4819" w:leader="none"/>
        <w:tab w:val="right" w:pos="9639" w:leader="none"/>
      </w:tabs>
    </w:pPr>
    <w:rPr>
      <w:rFonts w:cs="Mangal"/>
    </w:rPr>
  </w:style>
  <w:style w:type="paragraph" w:styleId="Style31">
    <w:name w:val="Footer"/>
    <w:basedOn w:val="Normal"/>
    <w:uiPriority w:val="99"/>
    <w:unhideWhenUsed/>
    <w:rsid w:val="00fb50b0"/>
    <w:pPr>
      <w:tabs>
        <w:tab w:val="clear" w:pos="306"/>
        <w:tab w:val="center" w:pos="4819" w:leader="none"/>
        <w:tab w:val="right" w:pos="9639" w:leader="none"/>
      </w:tabs>
    </w:pPr>
    <w:rPr>
      <w:rFonts w:cs="Mangal"/>
    </w:rPr>
  </w:style>
  <w:style w:type="paragraph" w:styleId="Style32" w:customStyle="1">
    <w:name w:val="Вміст таблиці"/>
    <w:basedOn w:val="Normal"/>
    <w:uiPriority w:val="99"/>
    <w:qFormat/>
    <w:rsid w:val="00190da3"/>
    <w:pPr>
      <w:suppressLineNumbers/>
    </w:pPr>
    <w:rPr/>
  </w:style>
  <w:style w:type="paragraph" w:styleId="Style33" w:customStyle="1">
    <w:name w:val="Заголовок таблиці"/>
    <w:basedOn w:val="Style32"/>
    <w:uiPriority w:val="99"/>
    <w:qFormat/>
    <w:rsid w:val="00190da3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190da3"/>
    <w:pPr>
      <w:suppressAutoHyphens w:val="false"/>
      <w:spacing w:before="280" w:after="119"/>
    </w:pPr>
    <w:rPr>
      <w:sz w:val="24"/>
      <w:lang w:val="ru-RU"/>
    </w:rPr>
  </w:style>
  <w:style w:type="paragraph" w:styleId="Style34" w:customStyle="1">
    <w:name w:val="Абзац списка"/>
    <w:basedOn w:val="Normal"/>
    <w:uiPriority w:val="99"/>
    <w:qFormat/>
    <w:rsid w:val="00190da3"/>
    <w:pPr>
      <w:spacing w:before="0" w:after="0"/>
      <w:ind w:left="720" w:hanging="0"/>
      <w:contextualSpacing/>
    </w:pPr>
    <w:rPr/>
  </w:style>
  <w:style w:type="paragraph" w:styleId="Style35" w:customStyle="1">
    <w:name w:val="Обычный (веб)"/>
    <w:basedOn w:val="Normal"/>
    <w:qFormat/>
    <w:rsid w:val="00711691"/>
    <w:pPr>
      <w:suppressAutoHyphens w:val="false"/>
      <w:spacing w:before="280" w:after="119"/>
    </w:pPr>
    <w:rPr>
      <w:sz w:val="24"/>
      <w:lang w:val="ru-RU"/>
    </w:rPr>
  </w:style>
  <w:style w:type="paragraph" w:styleId="31" w:customStyle="1">
    <w:name w:val="Продовження нумерації 3"/>
    <w:basedOn w:val="Style23"/>
    <w:qFormat/>
    <w:rsid w:val="00711691"/>
    <w:pPr>
      <w:spacing w:before="0" w:after="120"/>
      <w:ind w:left="1080" w:hanging="0"/>
    </w:pPr>
    <w:rPr/>
  </w:style>
  <w:style w:type="paragraph" w:styleId="32" w:customStyle="1">
    <w:name w:val="Початок нумерації 3"/>
    <w:basedOn w:val="Style23"/>
    <w:next w:val="ListNumber3"/>
    <w:qFormat/>
    <w:rsid w:val="00711691"/>
    <w:pPr>
      <w:spacing w:before="240" w:after="120"/>
      <w:ind w:left="1080" w:hanging="360"/>
    </w:pPr>
    <w:rPr/>
  </w:style>
  <w:style w:type="paragraph" w:styleId="ListNumber3">
    <w:name w:val="List Number 3"/>
    <w:basedOn w:val="Style23"/>
    <w:qFormat/>
    <w:rsid w:val="00711691"/>
    <w:pPr>
      <w:spacing w:before="0" w:after="120"/>
      <w:ind w:left="1080" w:hanging="36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Style36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2023</TotalTime>
  <Application>LibreOffice/6.3.4.2$Windows_X86_64 LibreOffice_project/60da17e045e08f1793c57c00ba83cdfce946d0aa</Application>
  <Pages>18</Pages>
  <Words>2644</Words>
  <Characters>17307</Characters>
  <CharactersWithSpaces>19542</CharactersWithSpaces>
  <Paragraphs>973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/>
  <dc:description/>
  <dc:language>uk-UA</dc:language>
  <cp:lastModifiedBy/>
  <cp:lastPrinted>2025-09-03T15:36:00Z</cp:lastPrinted>
  <dcterms:modified xsi:type="dcterms:W3CDTF">2026-03-26T13:46:06Z</dcterms:modified>
  <cp:revision>273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