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ind w:left="10772"/>
        <w:rPr>
          <w:lang w:val="ru-RU"/>
        </w:rPr>
      </w:pPr>
      <w:r>
        <w:rPr>
          <w:szCs w:val="28"/>
        </w:rPr>
        <w:t>Додаток 2</w:t>
      </w:r>
      <w:r>
        <w:rPr>
          <w:sz w:val="26"/>
          <w:szCs w:val="26"/>
        </w:rPr>
        <w:br/>
      </w:r>
      <w:r>
        <w:rPr/>
        <w:t>до Програми «Вода для здорового</w:t>
      </w:r>
      <w:r>
        <w:rPr>
          <w:lang w:val="ru-RU"/>
        </w:rPr>
        <w:t xml:space="preserve"> </w:t>
      </w:r>
    </w:p>
    <w:p>
      <w:pPr>
        <w:pStyle w:val="NoSpacing"/>
        <w:ind w:left="10772"/>
        <w:rPr>
          <w:sz w:val="24"/>
        </w:rPr>
      </w:pPr>
      <w:r>
        <w:rPr/>
        <w:t>майбутнього» на 2025–2030 роки</w:t>
      </w:r>
    </w:p>
    <w:p>
      <w:pPr>
        <w:pStyle w:val="NoSpacing"/>
        <w:jc w:val="center"/>
        <w:rPr>
          <w:szCs w:val="28"/>
        </w:rPr>
      </w:pPr>
      <w:r>
        <w:rPr>
          <w:szCs w:val="28"/>
        </w:rPr>
      </w:r>
    </w:p>
    <w:p>
      <w:pPr>
        <w:pStyle w:val="NoSpacing"/>
        <w:jc w:val="center"/>
        <w:rPr>
          <w:szCs w:val="28"/>
        </w:rPr>
      </w:pPr>
      <w:r>
        <w:rPr>
          <w:szCs w:val="28"/>
        </w:rPr>
        <w:t>Перелік завдань, заходів  та результативні показники</w:t>
      </w:r>
    </w:p>
    <w:p>
      <w:pPr>
        <w:pStyle w:val="NoSpacing"/>
        <w:jc w:val="center"/>
        <w:rPr>
          <w:sz w:val="26"/>
          <w:szCs w:val="26"/>
        </w:rPr>
      </w:pPr>
      <w:r>
        <w:rPr>
          <w:szCs w:val="28"/>
        </w:rPr>
        <w:t xml:space="preserve">Програми «Вода для здорового майбутнього» </w:t>
      </w:r>
      <w:r>
        <w:rPr/>
        <w:t>на 202</w:t>
      </w:r>
      <w:r>
        <w:rPr>
          <w:lang w:val="ru-RU"/>
        </w:rPr>
        <w:t>5-</w:t>
      </w:r>
      <w:r>
        <w:rPr/>
        <w:t>20</w:t>
      </w:r>
      <w:r>
        <w:rPr>
          <w:lang w:val="ru-RU"/>
        </w:rPr>
        <w:t>30</w:t>
      </w:r>
      <w:r>
        <w:rPr/>
        <w:t xml:space="preserve"> роки</w:t>
      </w:r>
    </w:p>
    <w:tbl>
      <w:tblPr>
        <w:tblW w:w="15055" w:type="dxa"/>
        <w:jc w:val="left"/>
        <w:tblInd w:w="4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0" w:noVBand="0" w:lastRow="0" w:firstColumn="0" w:lastColumn="0" w:noHBand="0" w:val="0000"/>
      </w:tblPr>
      <w:tblGrid>
        <w:gridCol w:w="451"/>
        <w:gridCol w:w="2370"/>
        <w:gridCol w:w="3015"/>
        <w:gridCol w:w="1593"/>
        <w:gridCol w:w="327"/>
        <w:gridCol w:w="978"/>
        <w:gridCol w:w="1423"/>
        <w:gridCol w:w="1862"/>
        <w:gridCol w:w="3034"/>
      </w:tblGrid>
      <w:tr>
        <w:trPr>
          <w:trHeight w:val="661" w:hRule="atLeast"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</w:t>
            </w:r>
          </w:p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з/п</w:t>
            </w:r>
          </w:p>
        </w:tc>
        <w:tc>
          <w:tcPr>
            <w:tcW w:w="23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завдання</w:t>
            </w:r>
          </w:p>
        </w:tc>
        <w:tc>
          <w:tcPr>
            <w:tcW w:w="30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заходу</w:t>
            </w:r>
          </w:p>
        </w:tc>
        <w:tc>
          <w:tcPr>
            <w:tcW w:w="1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305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виконання</w:t>
            </w:r>
          </w:p>
        </w:tc>
        <w:tc>
          <w:tcPr>
            <w:tcW w:w="32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Фінансування</w:t>
            </w:r>
          </w:p>
        </w:tc>
        <w:tc>
          <w:tcPr>
            <w:tcW w:w="30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Результативні показники</w:t>
            </w:r>
          </w:p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(фактичні/планові)</w:t>
            </w:r>
          </w:p>
        </w:tc>
      </w:tr>
      <w:tr>
        <w:trPr>
          <w:trHeight w:val="30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305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Обсяги, тис. грн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84" w:hRule="atLeast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Cs w:val="28"/>
              </w:rPr>
            </w:pPr>
            <w:r>
              <w:rPr>
                <w:rStyle w:val="rvts46"/>
                <w:iCs/>
                <w:sz w:val="24"/>
              </w:rPr>
              <w:t>Забезпечення соціальних об’єктів (школи, заклади дошкільної освіти, лікарні) системами доочищення питної води</w:t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1.1.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Бюджет Луцької міської територіаль-ної громади (далі – ЛМТГ)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грантові кошти</w:t>
            </w:r>
            <w:r>
              <w:rPr>
                <w:sz w:val="24"/>
                <w:lang w:val="ru-RU"/>
              </w:rPr>
              <w:t xml:space="preserve">, </w:t>
            </w: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1 000,</w:t>
            </w:r>
            <w:r>
              <w:rPr>
                <w:sz w:val="24"/>
                <w:lang w:val="uk-UA"/>
              </w:rPr>
              <w:t>0</w:t>
            </w:r>
            <w:r>
              <w:rPr>
                <w:sz w:val="24"/>
                <w:lang w:val="ru-RU"/>
              </w:rPr>
              <w:t xml:space="preserve"> – бюджет</w:t>
            </w:r>
          </w:p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5</w:t>
            </w:r>
            <w:r>
              <w:rPr>
                <w:sz w:val="24"/>
              </w:rPr>
              <w:t> 000,0</w:t>
            </w:r>
            <w:r>
              <w:rPr>
                <w:sz w:val="24"/>
                <w:lang w:val="ru-RU"/>
              </w:rPr>
              <w:t xml:space="preserve"> – грант</w:t>
            </w:r>
          </w:p>
          <w:p>
            <w:pPr>
              <w:pStyle w:val="user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4 000,0 – інші</w:t>
            </w:r>
          </w:p>
        </w:tc>
        <w:tc>
          <w:tcPr>
            <w:tcW w:w="3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Забезпечення питною водою </w:t>
            </w:r>
            <w:r>
              <w:rPr>
                <w:rStyle w:val="rvts46"/>
                <w:iCs/>
                <w:sz w:val="24"/>
              </w:rPr>
              <w:t>соціальних об’єктів Луцької міської територіальної громади (школи, заклади дошкільної освіти, лікарні)</w:t>
            </w:r>
            <w:r>
              <w:rPr>
                <w:sz w:val="24"/>
              </w:rPr>
              <w:t xml:space="preserve"> з дотриманням вимог </w:t>
            </w:r>
            <w:r>
              <w:fldChar w:fldCharType="begin"/>
            </w:r>
            <w:r>
              <w:rPr>
                <w:rStyle w:val="Style9"/>
                <w:sz w:val="24"/>
              </w:rPr>
              <w:instrText xml:space="preserve"> HYPERLINK "https://zakon.rada.gov.ua/laws/show/z1111-20?find=1&amp;text=%D0%BF%D0%B8%D1%82%D0%BD%D0%BE%D1%97+%D0%B2%D0%BE%D0%B4%D0%B8" \l "n15"</w:instrText>
            </w:r>
            <w:r>
              <w:rPr>
                <w:rStyle w:val="Style9"/>
                <w:sz w:val="24"/>
              </w:rPr>
              <w:fldChar w:fldCharType="separate"/>
            </w:r>
            <w:r>
              <w:rPr>
                <w:rStyle w:val="Style9"/>
                <w:sz w:val="24"/>
              </w:rPr>
              <w:t>Санітарного регламенту для закладів загальної середньої о</w:t>
            </w:r>
            <w:r>
              <w:rPr>
                <w:rStyle w:val="Style9"/>
                <w:sz w:val="24"/>
              </w:rPr>
              <w:fldChar w:fldCharType="end"/>
            </w:r>
            <w:r>
              <w:rPr>
                <w:rStyle w:val="rvts0"/>
                <w:sz w:val="24"/>
              </w:rPr>
              <w:t>світи та інших вимог чинного законодавства, які регламентують вимоги до якості питної води щодо соціальних об’єктів.</w:t>
            </w:r>
          </w:p>
          <w:p>
            <w:pPr>
              <w:pStyle w:val="Normal"/>
              <w:widowControl w:val="false"/>
              <w:jc w:val="center"/>
              <w:rPr>
                <w:sz w:val="24"/>
                <w:highlight w:val="cyan"/>
              </w:rPr>
            </w:pPr>
            <w:r>
              <w:rPr>
                <w:sz w:val="24"/>
                <w:highlight w:val="cyan"/>
              </w:rPr>
            </w:r>
          </w:p>
        </w:tc>
      </w:tr>
      <w:tr>
        <w:trPr>
          <w:trHeight w:val="415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3</w:t>
            </w:r>
            <w:r>
              <w:rPr>
                <w:rFonts w:eastAsia="Calibri"/>
                <w:sz w:val="24"/>
              </w:rPr>
              <w:t> 000,0 </w:t>
            </w:r>
            <w:r>
              <w:rPr>
                <w:sz w:val="24"/>
                <w:lang w:val="ru-RU"/>
              </w:rPr>
              <w:t>– грант</w:t>
            </w:r>
          </w:p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1 000,0 – інші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691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1.2. Виконання монтажних робіт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1 </w:t>
            </w:r>
            <w:r>
              <w:rPr>
                <w:rFonts w:eastAsia="Calibri"/>
                <w:sz w:val="24"/>
                <w:lang w:val="ru-RU"/>
              </w:rPr>
              <w:t>5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1 000,0 – інші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8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 – інші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341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1.3. Поточне обслуговування (у т.ч. придбання розхідних матеріалів)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</w:t>
            </w:r>
            <w:r>
              <w:rPr>
                <w:rFonts w:eastAsia="Calibri"/>
                <w:sz w:val="24"/>
                <w:lang w:val="ru-RU"/>
              </w:rPr>
              <w:t xml:space="preserve"> </w:t>
            </w:r>
            <w:r>
              <w:rPr>
                <w:rFonts w:eastAsia="Calibri"/>
                <w:sz w:val="24"/>
              </w:rPr>
              <w:t>– бюджет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19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 – інші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345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 – бюджет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64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 – бюджет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29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snapToGrid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 – бюджет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847" w:hRule="atLeast"/>
        </w:trPr>
        <w:tc>
          <w:tcPr>
            <w:tcW w:w="4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Cs w:val="28"/>
              </w:rPr>
            </w:pPr>
            <w:r>
              <w:rPr>
                <w:rStyle w:val="rvts0"/>
                <w:bCs w:val="false"/>
                <w:sz w:val="24"/>
              </w:rPr>
              <w:t xml:space="preserve">Впровадження локальних очисних споруд на соціальних об’єктах </w:t>
            </w:r>
            <w:r>
              <w:rPr>
                <w:rStyle w:val="rvts46"/>
                <w:iCs/>
                <w:sz w:val="24"/>
              </w:rPr>
              <w:t>(школи, заклади дошкільної освіти, лікарні)</w:t>
            </w:r>
            <w:r>
              <w:rPr>
                <w:rStyle w:val="rvts46"/>
                <w:iCs/>
                <w:sz w:val="24"/>
                <w:lang w:val="ru-RU"/>
              </w:rPr>
              <w:t>, КП «Луцькводоканал»</w:t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  <w:r>
              <w:rPr>
                <w:sz w:val="24"/>
              </w:rPr>
              <w:t>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грантові кошти, </w:t>
            </w: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4 5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</w:t>
            </w:r>
            <w:r>
              <w:rPr>
                <w:rFonts w:eastAsia="Calibri"/>
                <w:sz w:val="24"/>
              </w:rPr>
              <w:t>5</w:t>
            </w:r>
            <w:r>
              <w:rPr>
                <w:rFonts w:eastAsia="Calibri"/>
                <w:sz w:val="24"/>
                <w:lang w:val="ru-RU"/>
              </w:rPr>
              <w:t> 0</w:t>
            </w:r>
            <w:r>
              <w:rPr>
                <w:rFonts w:eastAsia="Calibri"/>
                <w:sz w:val="24"/>
              </w:rPr>
              <w:t xml:space="preserve">00,0 – </w:t>
            </w:r>
            <w:r>
              <w:rPr>
                <w:rFonts w:eastAsia="Calibri"/>
                <w:sz w:val="24"/>
                <w:lang w:val="ru-RU"/>
              </w:rPr>
              <w:t>грант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4 000,0 – інші</w:t>
            </w:r>
          </w:p>
        </w:tc>
        <w:tc>
          <w:tcPr>
            <w:tcW w:w="3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szCs w:val="28"/>
              </w:rPr>
            </w:pPr>
            <w:r>
              <w:rPr>
                <w:rStyle w:val="rvts0"/>
                <w:sz w:val="24"/>
                <w:lang w:val="ru-RU"/>
              </w:rPr>
              <w:t>С</w:t>
            </w:r>
            <w:r>
              <w:rPr>
                <w:rStyle w:val="rvts0"/>
                <w:sz w:val="24"/>
              </w:rPr>
              <w:t>творення сприятливих умов життєдіяльності людини та захист навколишнього природного середовища від негативного впливу стічних вод</w:t>
            </w:r>
          </w:p>
        </w:tc>
      </w:tr>
      <w:tr>
        <w:trPr>
          <w:trHeight w:val="638" w:hRule="atLeast"/>
        </w:trPr>
        <w:tc>
          <w:tcPr>
            <w:tcW w:w="451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2 5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17 0</w:t>
            </w:r>
            <w:r>
              <w:rPr>
                <w:rFonts w:eastAsia="Calibri"/>
                <w:sz w:val="24"/>
              </w:rPr>
              <w:t xml:space="preserve">00,0 – </w:t>
            </w:r>
            <w:r>
              <w:rPr>
                <w:rFonts w:eastAsia="Calibri"/>
                <w:sz w:val="24"/>
                <w:lang w:val="ru-RU"/>
              </w:rPr>
              <w:t>грант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500,0 – інші</w:t>
            </w:r>
          </w:p>
        </w:tc>
        <w:tc>
          <w:tcPr>
            <w:tcW w:w="3034" w:type="dxa"/>
            <w:vMerge w:val="continue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533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 xml:space="preserve">2.2. </w:t>
            </w:r>
            <w:r>
              <w:rPr>
                <w:rFonts w:eastAsia="Calibri"/>
                <w:sz w:val="24"/>
              </w:rPr>
              <w:t>Нове будівництво (реконструкція) системи водовідведення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2025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500,0 – бюджет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51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3 5</w:t>
            </w:r>
            <w:r>
              <w:rPr>
                <w:rFonts w:eastAsia="Calibri"/>
                <w:sz w:val="24"/>
              </w:rPr>
              <w:t>00,0</w:t>
            </w:r>
            <w:r>
              <w:rPr>
                <w:rFonts w:eastAsia="Calibri"/>
                <w:sz w:val="24"/>
                <w:lang w:val="ru-RU"/>
              </w:rPr>
              <w:t xml:space="preserve"> – бюджет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30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2.3. Поточне обслуговування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</w:t>
            </w:r>
            <w:r>
              <w:rPr>
                <w:rFonts w:eastAsia="Calibri"/>
                <w:sz w:val="24"/>
                <w:lang w:val="ru-RU"/>
              </w:rPr>
              <w:t>5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07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18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750,0 – інші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30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241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10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right="-28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</w:tr>
      <w:tr>
        <w:trPr>
          <w:trHeight w:val="311" w:hRule="atLeast"/>
        </w:trPr>
        <w:tc>
          <w:tcPr>
            <w:tcW w:w="4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3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Впровадження локальних систем доочистки води для населення в спальних мікрорайонах м. Луцька.</w:t>
            </w:r>
          </w:p>
        </w:tc>
        <w:tc>
          <w:tcPr>
            <w:tcW w:w="30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3</w:t>
            </w:r>
            <w:r>
              <w:rPr>
                <w:sz w:val="24"/>
              </w:rPr>
              <w:t>.1. Придбання обладнання та комплектуючих</w:t>
            </w:r>
          </w:p>
        </w:tc>
        <w:tc>
          <w:tcPr>
            <w:tcW w:w="15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202</w:t>
            </w:r>
            <w:r>
              <w:rPr>
                <w:rFonts w:eastAsia="Calibri"/>
                <w:sz w:val="24"/>
                <w:lang w:val="ru-RU"/>
              </w:rPr>
              <w:t>5</w:t>
            </w:r>
          </w:p>
        </w:tc>
        <w:tc>
          <w:tcPr>
            <w:tcW w:w="14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інші джерела</w:t>
            </w:r>
            <w:r>
              <w:rPr>
                <w:sz w:val="24"/>
                <w:lang w:val="ru-RU"/>
              </w:rPr>
              <w:t>, грантові кошти</w:t>
            </w:r>
          </w:p>
        </w:tc>
        <w:tc>
          <w:tcPr>
            <w:tcW w:w="186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5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2 0</w:t>
            </w:r>
            <w:r>
              <w:rPr>
                <w:rFonts w:eastAsia="Calibri"/>
                <w:sz w:val="24"/>
              </w:rPr>
              <w:t>00.0 - інші</w:t>
            </w:r>
          </w:p>
        </w:tc>
        <w:tc>
          <w:tcPr>
            <w:tcW w:w="30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Вирішення питання забезпечення  мешканців багатоквартирних будинків Луцької міської територіальної громади питною водою високої якості</w:t>
            </w:r>
          </w:p>
        </w:tc>
      </w:tr>
      <w:tr>
        <w:trPr>
          <w:trHeight w:val="36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1 0</w:t>
            </w:r>
            <w:r>
              <w:rPr>
                <w:rFonts w:eastAsia="Calibri"/>
                <w:sz w:val="24"/>
              </w:rPr>
              <w:t>00,0 – бюджет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99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1 0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10 0</w:t>
            </w:r>
            <w:r>
              <w:rPr>
                <w:rFonts w:eastAsia="Calibri"/>
                <w:sz w:val="24"/>
              </w:rPr>
              <w:t xml:space="preserve">00,0 – </w:t>
            </w:r>
            <w:r>
              <w:rPr>
                <w:rFonts w:eastAsia="Calibri"/>
                <w:sz w:val="24"/>
                <w:lang w:val="ru-RU"/>
              </w:rPr>
              <w:t>грант</w:t>
            </w:r>
          </w:p>
          <w:p>
            <w:pPr>
              <w:pStyle w:val="Normal"/>
              <w:widowControl w:val="false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750,0 – інші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45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1 0</w:t>
            </w:r>
            <w:r>
              <w:rPr>
                <w:rFonts w:eastAsia="Calibri"/>
                <w:sz w:val="24"/>
              </w:rPr>
              <w:t xml:space="preserve">00.0 - </w:t>
            </w:r>
            <w:r>
              <w:rPr>
                <w:rFonts w:eastAsia="Calibri"/>
                <w:sz w:val="24"/>
                <w:lang w:val="ru-RU"/>
              </w:rPr>
              <w:t>бюджет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1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 xml:space="preserve">1 </w:t>
            </w:r>
            <w:r>
              <w:rPr>
                <w:rFonts w:eastAsia="Calibri"/>
                <w:sz w:val="24"/>
              </w:rPr>
              <w:t>500,0 – бюджет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00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1 0</w:t>
            </w:r>
            <w:r>
              <w:rPr>
                <w:rFonts w:eastAsia="Calibri"/>
                <w:sz w:val="24"/>
              </w:rPr>
              <w:t>00,0 – бюджет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6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  <w:t>3.2. Виконання монтажних робіт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</w:t>
            </w:r>
            <w:r>
              <w:rPr>
                <w:rFonts w:eastAsia="Calibri"/>
                <w:sz w:val="24"/>
                <w:lang w:val="ru-RU"/>
              </w:rPr>
              <w:t>5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  <w:t>Бюджет ЛМТГ,</w:t>
            </w:r>
          </w:p>
          <w:p>
            <w:pPr>
              <w:pStyle w:val="Normal"/>
              <w:widowControl w:val="false"/>
              <w:jc w:val="center"/>
              <w:rPr>
                <w:sz w:val="24"/>
              </w:rPr>
            </w:pPr>
            <w:r>
              <w:rPr>
                <w:sz w:val="24"/>
              </w:rPr>
              <w:t>інші джерела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11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2026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99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2027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500,0 – інші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8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37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8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>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64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ru-RU"/>
              </w:rPr>
              <w:t xml:space="preserve">3.3. </w:t>
            </w:r>
            <w:r>
              <w:rPr>
                <w:rFonts w:eastAsia="Calibri"/>
                <w:sz w:val="24"/>
              </w:rPr>
              <w:t>Поточне обслуговування (у т.ч. придбання розхідних матеріалів)</w:t>
            </w:r>
          </w:p>
        </w:tc>
        <w:tc>
          <w:tcPr>
            <w:tcW w:w="159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КП «Луцьк-водоканал»</w:t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2027</w:t>
            </w:r>
          </w:p>
        </w:tc>
        <w:tc>
          <w:tcPr>
            <w:tcW w:w="1423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Бюджет</w:t>
            </w:r>
          </w:p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ЛМТГ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76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2028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88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2029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196" w:hRule="atLeast"/>
        </w:trPr>
        <w:tc>
          <w:tcPr>
            <w:tcW w:w="45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37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user3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3015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  <w:lang w:val="ru-RU"/>
              </w:rPr>
            </w:pPr>
            <w:r>
              <w:rPr>
                <w:rFonts w:eastAsia="Calibri"/>
                <w:sz w:val="24"/>
                <w:lang w:val="ru-RU"/>
              </w:rPr>
            </w:r>
          </w:p>
        </w:tc>
        <w:tc>
          <w:tcPr>
            <w:tcW w:w="159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305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2030</w:t>
            </w:r>
          </w:p>
        </w:tc>
        <w:tc>
          <w:tcPr>
            <w:tcW w:w="142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</w:r>
          </w:p>
        </w:tc>
        <w:tc>
          <w:tcPr>
            <w:tcW w:w="186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</w:rPr>
              <w:t>500,0</w:t>
            </w:r>
          </w:p>
        </w:tc>
        <w:tc>
          <w:tcPr>
            <w:tcW w:w="303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Всього за роками та джерелами фінансування, тис. грн: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Бюджет громади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Інші джерела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2025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>8</w:t>
            </w:r>
            <w:r>
              <w:rPr>
                <w:b/>
                <w:sz w:val="24"/>
              </w:rPr>
              <w:t xml:space="preserve">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z w:val="24"/>
                <w:lang w:val="ru-RU"/>
              </w:rPr>
              <w:t>1</w:t>
            </w:r>
            <w:r>
              <w:rPr>
                <w:b/>
                <w:sz w:val="24"/>
              </w:rPr>
              <w:t xml:space="preserve"> 000,0 (у т.ч. грант – 20 000,0)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2026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>8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22 000,0(у т.ч. грант – 20 000,0)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2027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12 000,0(у т.ч. грант – 10 000,0)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2028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0,0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2029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0,0</w:t>
            </w:r>
          </w:p>
        </w:tc>
      </w:tr>
      <w:tr>
        <w:trPr>
          <w:trHeight w:val="311" w:hRule="atLeast"/>
        </w:trPr>
        <w:tc>
          <w:tcPr>
            <w:tcW w:w="7756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2030</w:t>
            </w:r>
          </w:p>
        </w:tc>
        <w:tc>
          <w:tcPr>
            <w:tcW w:w="2401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2 000,0</w:t>
            </w:r>
          </w:p>
        </w:tc>
        <w:tc>
          <w:tcPr>
            <w:tcW w:w="4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0,0</w:t>
            </w:r>
          </w:p>
        </w:tc>
      </w:tr>
    </w:tbl>
    <w:p>
      <w:pPr>
        <w:pStyle w:val="NoSpacing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Spacing"/>
        <w:rPr>
          <w:sz w:val="24"/>
        </w:rPr>
      </w:pPr>
      <w:r>
        <w:rPr>
          <w:sz w:val="24"/>
        </w:rPr>
        <w:t>Смаль 777 955</w:t>
      </w:r>
    </w:p>
    <w:sectPr>
      <w:type w:val="nextPage"/>
      <w:pgSz w:orient="landscape" w:w="16838" w:h="11906"/>
      <w:pgMar w:left="1134" w:right="567" w:gutter="0" w:header="0" w:top="1134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Courier New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qFormat/>
    <w:rPr/>
  </w:style>
  <w:style w:type="character" w:styleId="Hyperlink" w:customStyle="1">
    <w:name w:val="Hyperlink"/>
    <w:uiPriority w:val="99"/>
    <w:semiHidden/>
    <w:unhideWhenUsed/>
    <w:qFormat/>
    <w:rsid w:val="000e6d3c"/>
    <w:rPr>
      <w:color w:val="000080"/>
      <w:u w:val="single"/>
    </w:rPr>
  </w:style>
  <w:style w:type="character" w:styleId="Style14" w:customStyle="1">
    <w:name w:val="Текст у виносці Знак"/>
    <w:basedOn w:val="DefaultParagraphFont"/>
    <w:semiHidden/>
    <w:qFormat/>
    <w:rPr>
      <w:rFonts w:ascii="Segoe UI" w:hAnsi="Segoe UI"/>
      <w:bCs/>
      <w:sz w:val="18"/>
      <w:szCs w:val="18"/>
      <w:lang w:val="uk-UA" w:eastAsia="zh-CN"/>
    </w:rPr>
  </w:style>
  <w:style w:type="character" w:styleId="apple-style-span" w:customStyle="1">
    <w:name w:val="apple-style-span"/>
    <w:basedOn w:val="DefaultParagraphFont"/>
    <w:qFormat/>
    <w:rPr/>
  </w:style>
  <w:style w:type="character" w:styleId="HTML" w:customStyle="1">
    <w:name w:val="Стандартний HTML Знак"/>
    <w:basedOn w:val="DefaultParagraphFont"/>
    <w:semiHidden/>
    <w:qFormat/>
    <w:rPr>
      <w:rFonts w:ascii="Courier New" w:hAnsi="Courier New"/>
      <w:sz w:val="20"/>
      <w:szCs w:val="20"/>
    </w:rPr>
  </w:style>
  <w:style w:type="character" w:styleId="Style15" w:customStyle="1">
    <w:name w:val="Верх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Style16" w:customStyle="1">
    <w:name w:val="Нижні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0" w:customStyle="1">
    <w:name w:val="rvts0"/>
    <w:basedOn w:val="DefaultParagraphFont"/>
    <w:qFormat/>
    <w:rPr/>
  </w:style>
  <w:style w:type="character" w:styleId="Style17" w:customStyle="1">
    <w:name w:val="Верхний колонтитул Знак"/>
    <w:basedOn w:val="DefaultParagraphFont"/>
    <w:qFormat/>
    <w:rPr>
      <w:rFonts w:ascii="Times New Roman" w:hAnsi="Times New Roman"/>
      <w:bCs/>
      <w:sz w:val="28"/>
      <w:szCs w:val="24"/>
      <w:lang w:val="uk-UA" w:eastAsia="zh-CN"/>
    </w:rPr>
  </w:style>
  <w:style w:type="character" w:styleId="rvts23" w:customStyle="1">
    <w:name w:val="rvts23"/>
    <w:basedOn w:val="DefaultParagraphFont"/>
    <w:qFormat/>
    <w:rPr/>
  </w:style>
  <w:style w:type="character" w:styleId="HTML1" w:customStyle="1">
    <w:name w:val="Стандартный HTML Знак"/>
    <w:semiHidden/>
    <w:qFormat/>
    <w:rPr>
      <w:rFonts w:ascii="Courier New" w:hAnsi="Courier New"/>
      <w:sz w:val="20"/>
      <w:szCs w:val="20"/>
    </w:rPr>
  </w:style>
  <w:style w:type="character" w:styleId="rvts9" w:customStyle="1">
    <w:name w:val="rvts9"/>
    <w:basedOn w:val="DefaultParagraphFont"/>
    <w:qFormat/>
    <w:rPr/>
  </w:style>
  <w:style w:type="character" w:styleId="rvts46" w:customStyle="1">
    <w:name w:val="rvts46"/>
    <w:basedOn w:val="DefaultParagraphFont"/>
    <w:qFormat/>
    <w:rPr/>
  </w:style>
  <w:style w:type="character" w:styleId="rvts15" w:customStyle="1">
    <w:name w:val="rvts15"/>
    <w:basedOn w:val="DefaultParagraphFont"/>
    <w:qFormat/>
    <w:rPr/>
  </w:style>
  <w:style w:type="character" w:styleId="2" w:customStyle="1">
    <w:name w:val="Шрифт абзацу за промовчанням2"/>
    <w:qFormat/>
    <w:rPr/>
  </w:style>
  <w:style w:type="character" w:styleId="1" w:customStyle="1">
    <w:name w:val="Виділення1"/>
    <w:basedOn w:val="DefaultParagraphFont"/>
    <w:qFormat/>
    <w:rPr>
      <w:i/>
      <w:iCs/>
    </w:rPr>
  </w:style>
  <w:style w:type="character" w:styleId="field-content" w:customStyle="1">
    <w:name w:val="field-content"/>
    <w:qFormat/>
    <w:rPr/>
  </w:style>
  <w:style w:type="character" w:styleId="Style18" w:customStyle="1">
    <w:name w:val="Символи ви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 w:customStyle="1">
    <w:name w:val="Footnote Characters"/>
    <w:semiHidden/>
    <w:qFormat/>
    <w:rPr>
      <w:vertAlign w:val="superscript"/>
    </w:rPr>
  </w:style>
  <w:style w:type="character" w:styleId="FootnoteTextChar" w:customStyle="1">
    <w:name w:val="Footnote Text Char"/>
    <w:semiHidden/>
    <w:qFormat/>
    <w:rPr>
      <w:sz w:val="20"/>
      <w:szCs w:val="20"/>
    </w:rPr>
  </w:style>
  <w:style w:type="character" w:styleId="Style19" w:customStyle="1">
    <w:name w:val="Символи кінцевої ви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EndnoteCharacters" w:customStyle="1">
    <w:name w:val="Endnote Characters"/>
    <w:semiHidden/>
    <w:qFormat/>
    <w:rPr>
      <w:vertAlign w:val="superscript"/>
    </w:rPr>
  </w:style>
  <w:style w:type="character" w:styleId="EndnoteTextChar" w:customStyle="1">
    <w:name w:val="Endnote Text Char"/>
    <w:semiHidden/>
    <w:qFormat/>
    <w:rPr>
      <w:sz w:val="20"/>
      <w:szCs w:val="20"/>
    </w:rPr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styleId="Style21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1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Cs w:val="28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semiHidden/>
    <w:qFormat/>
    <w:pPr/>
    <w:rPr>
      <w:rFonts w:ascii="Segoe UI" w:hAnsi="Segoe UI"/>
      <w:sz w:val="18"/>
      <w:szCs w:val="18"/>
    </w:rPr>
  </w:style>
  <w:style w:type="paragraph" w:styleId="NormalWeb">
    <w:name w:val="Normal (Web)"/>
    <w:basedOn w:val="Normal"/>
    <w:qFormat/>
    <w:pPr>
      <w:spacing w:before="150" w:after="150"/>
    </w:pPr>
    <w:rPr>
      <w:bCs w:val="false"/>
      <w:sz w:val="24"/>
      <w:lang w:val="ru-RU"/>
    </w:rPr>
  </w:style>
  <w:style w:type="paragraph" w:styleId="HTMLPreformatted">
    <w:name w:val="HTML Preformatted"/>
    <w:basedOn w:val="Normal"/>
    <w:semiHidden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/>
      <w:bCs w:val="false"/>
      <w:sz w:val="20"/>
      <w:szCs w:val="2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22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44" w:leader="none"/>
        <w:tab w:val="right" w:pos="9689" w:leader="none"/>
      </w:tabs>
    </w:pPr>
    <w:rPr/>
  </w:style>
  <w:style w:type="paragraph" w:styleId="user3" w:customStyle="1">
    <w:name w:val="Вміст таблиці (user)"/>
    <w:basedOn w:val="Normal"/>
    <w:qFormat/>
    <w:pPr>
      <w:widowControl w:val="false"/>
      <w:suppressLineNumbers/>
    </w:pPr>
    <w:rPr/>
  </w:style>
  <w:style w:type="paragraph" w:styleId="user4" w:customStyle="1">
    <w:name w:val="Заголовок таблиці (user)"/>
    <w:basedOn w:val="user3"/>
    <w:qFormat/>
    <w:pPr>
      <w:jc w:val="center"/>
    </w:pPr>
    <w:rPr>
      <w:b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bCs/>
      <w:color w:val="auto"/>
      <w:kern w:val="0"/>
      <w:sz w:val="28"/>
      <w:szCs w:val="24"/>
      <w:lang w:val="uk-UA" w:eastAsia="zh-CN" w:bidi="ar-SA"/>
    </w:rPr>
  </w:style>
  <w:style w:type="paragraph" w:styleId="FootnoteText">
    <w:name w:val="foot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paragraph" w:styleId="EndnoteText">
    <w:name w:val="endnote text"/>
    <w:semiHidden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Arial"/>
      <w:color w:val="auto"/>
      <w:kern w:val="0"/>
      <w:sz w:val="20"/>
      <w:szCs w:val="20"/>
      <w:lang w:val="en-US" w:eastAsia="en-US" w:bidi="ar-SA"/>
    </w:rPr>
  </w:style>
  <w:style w:type="numbering" w:styleId="Style23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a">
    <w:name w:val="Table Grid"/>
    <w:basedOn w:val="a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mpd="sng" algn="ctr">
          <a:prstDash val="solid"/>
          <a:miter lim="800000"/>
        </a:ln>
        <a:ln w="12700" cmpd="sng" algn="ctr">
          <a:prstDash val="solid"/>
          <a:miter lim="800000"/>
        </a:ln>
        <a:ln w="19050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794BC-BBC1-4DAF-BE82-256118D7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LibreOffice/25.2.7.2$Windows_X86_64 LibreOffice_project/5cbfd1ab6520636bb5f7b99185aa69bd7456825d</Application>
  <AppVersion>15.0000</AppVersion>
  <Pages>3</Pages>
  <Words>453</Words>
  <Characters>2726</Characters>
  <CharactersWithSpaces>3054</CharactersWithSpaces>
  <Paragraphs>163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2026-03-20T08:38:00Z</dcterms:created>
  <dc:creator>Пользователь Windows</dc:creator>
  <dc:description/>
  <dc:language>uk-UA</dc:language>
  <cp:lastModifiedBy/>
  <cp:lastPrinted>2024-10-31T10:54:00Z</cp:lastPrinted>
  <dcterms:modified xsi:type="dcterms:W3CDTF">2026-03-23T16:00:10Z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