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рішення  міської ради </w:t>
      </w:r>
    </w:p>
    <w:p>
      <w:pPr>
        <w:pStyle w:val="Normal"/>
        <w:ind w:firstLine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_______________№___________</w:t>
      </w:r>
    </w:p>
    <w:p>
      <w:pPr>
        <w:pStyle w:val="Normal"/>
        <w:ind w:hanging="567" w:left="567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</w:r>
    </w:p>
    <w:p>
      <w:pPr>
        <w:pStyle w:val="Normal"/>
        <w:ind w:hanging="567" w:left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ind w:hanging="567" w:left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Комплексна програма</w:t>
      </w:r>
    </w:p>
    <w:p>
      <w:pPr>
        <w:pStyle w:val="Normal"/>
        <w:ind w:hanging="567" w:left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розвитку освіти Луцької міської територіальної громади  </w:t>
      </w:r>
    </w:p>
    <w:p>
      <w:pPr>
        <w:pStyle w:val="Normal"/>
        <w:ind w:hanging="567" w:left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2025–2029 роки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ПРОГРАМИ</w:t>
      </w:r>
    </w:p>
    <w:p>
      <w:pPr>
        <w:pStyle w:val="Normal"/>
        <w:ind w:firstLine="360"/>
        <w:jc w:val="center"/>
        <w:rPr>
          <w:rFonts w:ascii="Times New Roman" w:hAnsi="Times New Roman"/>
          <w:b/>
          <w:bCs/>
          <w:color w:val="FF0000"/>
          <w:sz w:val="16"/>
          <w:szCs w:val="16"/>
        </w:rPr>
      </w:pPr>
      <w:r>
        <w:rPr>
          <w:rFonts w:ascii="Times New Roman" w:hAnsi="Times New Roman"/>
          <w:b/>
          <w:bCs/>
          <w:color w:val="FF0000"/>
          <w:sz w:val="16"/>
          <w:szCs w:val="16"/>
        </w:rPr>
      </w:r>
    </w:p>
    <w:tbl>
      <w:tblPr>
        <w:tblW w:w="9570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12"/>
        <w:gridCol w:w="4028"/>
        <w:gridCol w:w="4830"/>
      </w:tblGrid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Департамент освіти Луцької міської ради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Розробник Програми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Департамент освіти Луцької міської ради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Заклади дошкільної, загальної середньої та позашкільної освіти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Департамент освіти Луцької міської ради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Управління капітального будівництва,  департамент молоді та спорту, управління соціальних служб для сім'ї, дітей та молоді, служба у справах дітей, відділ з питань надзвичайних ситуацій та цивільного захисту населення, заклади дошкільної, загальної середньої та позашкільної освіти, департамент економічної політики, вищі навчальні заклади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2025–2029 роки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Етапи виконання Програми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рік – 435 241,6 тис. грн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рік – 170 333,4 тис. грн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 рік – 136 054,3 тис. грн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рік – 112 519,9 тис. грн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2029 рік – 115 352,2 тис. грн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всього, у тому числі: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969 501,4 тис. грн</w:t>
            </w:r>
          </w:p>
        </w:tc>
      </w:tr>
      <w:tr>
        <w:trPr/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громади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504 601,4 тис. грн</w:t>
            </w:r>
          </w:p>
        </w:tc>
      </w:tr>
      <w:tr>
        <w:trPr>
          <w:trHeight w:val="301" w:hRule="atLeast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державного бюджету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309 700,0 тис. грн</w:t>
            </w:r>
          </w:p>
        </w:tc>
      </w:tr>
      <w:tr>
        <w:trPr>
          <w:trHeight w:val="392" w:hRule="atLeast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</w:t>
            </w:r>
          </w:p>
        </w:tc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155 200,00 тис. грн</w:t>
            </w:r>
          </w:p>
        </w:tc>
      </w:tr>
    </w:tbl>
    <w:p>
      <w:pPr>
        <w:pStyle w:val="ListParagraph"/>
        <w:widowControl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widowControl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widowControl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widowControl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ListParagraph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1. Аналіз динаміки змін та поточної ситуації</w:t>
      </w:r>
    </w:p>
    <w:p>
      <w:pPr>
        <w:pStyle w:val="Default"/>
        <w:ind w:firstLine="567"/>
        <w:jc w:val="both"/>
        <w:rPr>
          <w:lang w:val="uk-UA"/>
        </w:rPr>
      </w:pPr>
      <w:r>
        <w:rPr>
          <w:color w:val="auto"/>
          <w:sz w:val="28"/>
          <w:szCs w:val="28"/>
          <w:lang w:val="uk-UA"/>
        </w:rPr>
        <w:t xml:space="preserve">Комплексна програма розвитку освіти Луцької міської територіальної громади на 2025–2029 роки (далі – Програма) є логічним продовженням попередньої програми, яка забезпечує наступність у виконанні завдань, вирішенні важливих питань і передбачає перспективи розвитку закладів дошкільної, загальної середньої, позашкільної, професійно-технічної освіти та суттєве зміцнення матеріально-технічної бази освітніх закладів та установ. 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У закладах освіти громади створюються необхідні умови для здійснення освітнього процесу в різних форматах, зокрема очному, змішаному та з використанням дистанційних технологій. Уживаються заходи щодо створення безпечного освітнього середовища, зокрема приведення найпростіших укриттів закладів освіти в готовність до використання за призначенням. Заклади освіти повинні стати територією безпеки для всіх учасників освітнього процесу.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uk-UA"/>
        </w:rPr>
        <w:t>Після початку повномасштабної війни росії проти України тримати освітній фронт стало вкрай важливим. Навчання – не тільки зміцнює нове покоління, а й допомагає йому адаптуватися до нових реалій. Як проактивні громадяни, педагоги долучаються до волонтерства, захисту країни.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uk-UA"/>
        </w:rPr>
        <w:t>Пріоритети освітньої галузі громади та шляхи їх реалізації визначено в Програмі, реалізацію якої спрямовано на системний динамічний розвиток освітньої галузі громади, її вдосконалення для забезпечення права кожного на якісну освіту. 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uk-UA"/>
        </w:rPr>
        <w:t>Підсумки попередніх років засвідчують, що за активної підтримки Луцької міської ради, депутатського корпусу, департаменту освіти, керівникам закладів освіти у співпраці з батьківською громадськістю вдалося не лише забезпечити стабільну роботу галузі, а й продовжувати реалізовувати освітню реформу.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eastAsia="uk-UA"/>
        </w:rPr>
        <w:t xml:space="preserve">Для гарантування доступності освіти необхідно надати їй достатнє фінансування, відповідну інфраструктуру та обладнання, </w:t>
      </w: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забезпечити освітній процес не лише методичними матеріалами, а й соціальною та емоційною підтримкою, доступом до новітніх технологій, упровадити та дотримуватися заходів, які гарантуватимуть безпеку для всіх учасників освітнього процесу. 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А головне – необхідно забезпечити доступні та рівні можливості для всіх учасників освітнього процесу із метою запобігання дискримінації та нерівності можливостей. 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Соціальна інфраструктура Луцької міської територіальної громади (далі – Луцької МТГ) формується з десятків закладів різного виду та власності, у ній значно переважають державне та комунальне забезпечення над приватним. Освітній потенціал громади нараховує: 38 комунальних закладів загальної середньої освіти, п’ять приватних шкіл, п’ять професійно-технічних закладів, підпорядкованих департаменту освіти. Кількість комунальних закладів дошкільної освіти – 51 одиниця (в т.ч. один у складі гімназії), приватних – чотири.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Діти мають можливість відвідувати позашкільні установи: Палац учнівської молоді Луцької міської ради, Луцький міський Центр науково-технічної творчості учнівської молоді Луцької міської ради, Волинську обласну Малу академія наук.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Мережа закладів дошкільної освіти громади охоплює 9150 дітей, із них 2752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дитини – пільгових категорій. У середньому наповнюваність садочків, відповідно до спискового складу – на 100 місць 123 дитини, показник охоплення дошкільною освітою становить 85%. Станом на жовтень 2024 року у громаді діють 44 інклюзивні групи, у яких виховуються 96 дітей – в ЗДО №№ 5, 6, 7, 9, 16, 17, 20, 21, 27, 29, 38, 40, 42, 45. Усі інклюзивні групи забезпечені асистентами вихователя.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Відповідно до результатів муніципального опитування, понад 65% лучан задоволені послугами, що надаються у комунальних закладах дошкільної освіти. Це найвищий показник зі всіх обласних центрів, які досліджувалися у 2023 році.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 xml:space="preserve">У закладах загальної середньої освіти Луцької МТГ у 2023–2024 роках навчалися 31 452 учні у 1176 класах. Середня наповнюваність класів у громаді у 2024 році становить 26,4 учнів / клас. Функціонувало 113 груп подовженого дня для 3375 вихованців. 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Більшість (66%) жителів громади відзначають високий рівень задоволеності якістю шкільної освіти в громаді (за даними муніципального дослідження).</w:t>
      </w:r>
    </w:p>
    <w:p>
      <w:pPr>
        <w:pStyle w:val="Normal"/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Мережа закладів позашкільної освіти громади складається з двох закладів комунальної форми власності та двох дитячо-юнацьких спортивних шкіл, підпорядкованих департаменту освіти.</w:t>
      </w: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uk-UA"/>
        </w:rPr>
        <w:t xml:space="preserve"> </w:t>
      </w:r>
    </w:p>
    <w:p>
      <w:pPr>
        <w:pStyle w:val="BodyText"/>
        <w:tabs>
          <w:tab w:val="clear" w:pos="709"/>
          <w:tab w:val="left" w:pos="8505" w:leader="none"/>
        </w:tabs>
        <w:ind w:firstLine="567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 w:bidi="hi-IN"/>
        </w:rPr>
        <w:t>За останні роки в громаді створений Центр професійного розвитку педагогічних працівників, Інклюзивно-ресурсний центр, після реорганізації функціонує Міжшкільний ресурсний центр, Будинок учителя.</w:t>
      </w:r>
    </w:p>
    <w:p>
      <w:pPr>
        <w:pStyle w:val="ListParagraph"/>
        <w:ind w:firstLine="567" w:lef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У Палаці учнівської молоді у 2024 році працює 65 гуртків, які охоплюють 3032 вихованці віком від 4 до 18 років за напрямами: художньо-естетичний, туристсько-краєзнавчий, еколого-натуралістичний, фізкультурно-спортивний, гуманітарний, військово-патріотичний. Продовжили працювати гуртки Палацу учнівської молоді на базі</w:t>
      </w:r>
      <w:r>
        <w:rPr>
          <w:rFonts w:cs="Times New Roman" w:ascii="Times New Roman" w:hAnsi="Times New Roman"/>
          <w:kern w:val="2"/>
          <w:sz w:val="28"/>
          <w:szCs w:val="28"/>
        </w:rPr>
        <w:t xml:space="preserve"> ЗЗСО № 2, 9, 10, 11, 12, 16, 17, 19, 20, 23, 25, 27, 29.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pacing w:val="-4"/>
          <w:sz w:val="28"/>
          <w:szCs w:val="28"/>
        </w:rPr>
        <w:t xml:space="preserve">У 2024 році освітній процес у Луцькому міському </w:t>
      </w:r>
      <w:r>
        <w:rPr>
          <w:rFonts w:eastAsia="Times New Roman" w:cs="Times New Roman" w:ascii="Times New Roman" w:hAnsi="Times New Roman"/>
          <w:sz w:val="28"/>
          <w:szCs w:val="28"/>
          <w:lang w:eastAsia="uk-UA"/>
        </w:rPr>
        <w:t>Центрі науково-технічної творчості учнівської молоді Луцької міської ради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відбувається за 24 напрямами, якими було </w:t>
      </w:r>
      <w:r>
        <w:rPr>
          <w:rFonts w:eastAsia="Calibri" w:cs="Times New Roman" w:ascii="Times New Roman" w:hAnsi="Times New Roman"/>
          <w:spacing w:val="-4"/>
          <w:sz w:val="28"/>
          <w:szCs w:val="28"/>
        </w:rPr>
        <w:t>охоплено 720 вихованців.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Із метою </w:t>
      </w:r>
      <w:r>
        <w:rPr>
          <w:rFonts w:eastAsia="Calibri" w:cs="Times New Roman" w:ascii="Times New Roman" w:hAnsi="Times New Roman"/>
          <w:spacing w:val="-4"/>
          <w:sz w:val="28"/>
          <w:szCs w:val="28"/>
        </w:rPr>
        <w:t>створення умов для рівного доступу дітей і молоді до якісної позашкільної освіти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в ряді мікрорайонів міста функціонують філії Центру: </w:t>
      </w:r>
      <w:r>
        <w:rPr>
          <w:rFonts w:cs="Times New Roman" w:ascii="Times New Roman" w:hAnsi="Times New Roman"/>
          <w:spacing w:val="-4"/>
          <w:sz w:val="28"/>
          <w:szCs w:val="28"/>
          <w:shd w:fill="FFFFFF" w:val="clear"/>
        </w:rPr>
        <w:t>ЗЗСО №№ 2, 4, 5, 12, 14, 17, 18, 27, МРЦ, ТСОУ.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КДЮСШ № 1 та ДЮСШ № 2 є закладами спеціалізованої позашкільної освіти спортивного профілю. У КДЮСШ № 1 на п’яти відділеннях спорту (баскетбол, волейбол, плавання, стрільба кульова, стрільба з лука) займається 320 вихованців у 28 групах. Навчально-тренувальними базами є ЗЗСО №№ 9, 10, 11, 18, 19, 25, 26, басейн.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У КЗ «ДЮСШ №2 Луцької міської ради» функціонує 13 відділень. Станом на 21.05.2024 року у школі функціонувало 67 навчально-тренувальних  груп, в яких займалося 735 вихованців Луцької громади.</w:t>
      </w:r>
    </w:p>
    <w:p>
      <w:pPr>
        <w:pStyle w:val="Normal"/>
        <w:tabs>
          <w:tab w:val="clear" w:pos="709"/>
          <w:tab w:val="left" w:pos="1418" w:leader="none"/>
        </w:tabs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spacing w:val="-1"/>
          <w:sz w:val="28"/>
          <w:szCs w:val="28"/>
          <w:lang w:eastAsia="uk-UA"/>
        </w:rPr>
        <w:t>Міжшкільний ресурсний центр (далі – МРЦ) – юридична особа, що здійснює ресурсне забезпечення освітнього процесу в закладах загальної середньої освіти, а також забезпечує поглиблене вивчення окремих предметів інваріантної та варіативної складових освітніх програм. У МРЦ в поточному навчальному році навчаються 183 учні, 70 учнів склали кваліфікаційні екзамени. У 2024–2026 роках на базі міжшкільного ресурсного центру планується впровадження міжнародного проєкту «Розвиваємо STEM-освіту разом: інноваційне навчання в Ліппе та Луцьку», що забезпечить створення додаткових умов для профільного навчання природничо-математичних предметів.</w:t>
      </w:r>
    </w:p>
    <w:p>
      <w:pPr>
        <w:pStyle w:val="Normal"/>
        <w:tabs>
          <w:tab w:val="clear" w:pos="709"/>
          <w:tab w:val="left" w:pos="1418" w:leader="none"/>
        </w:tabs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spacing w:val="-1"/>
          <w:sz w:val="28"/>
          <w:szCs w:val="28"/>
          <w:lang w:eastAsia="uk-UA"/>
        </w:rPr>
        <w:t>У 2024/2025 навчальному році відбудеться пілотування реформи старшої школи, у якій візьмуть участь більше 100 закладів освіти України. Нашої громади цей проєкт не торкнеться, оскільки ще у 2021 році Луцьк  визначився із проєктною мережею академічних ліцеїв, які створюватимуться на базі шкіл з урахуванням наповнюваності закладу, наявності кадрового потенціалу, результативності роботи, обраних профілів навчання (упродовж декількох років), мікрорайонів міста. Таких ліцеїв на цей час 21 (ЗЗСО №№ 1, 2, 4, 5, 8, 9, 10, 11, 14, 15, 18, 21, 22, 23, 24, 25, 26, 27, 28, 32, 34).</w:t>
      </w:r>
    </w:p>
    <w:p>
      <w:pPr>
        <w:pStyle w:val="Normal"/>
        <w:tabs>
          <w:tab w:val="clear" w:pos="709"/>
          <w:tab w:val="left" w:pos="1418" w:leader="none"/>
        </w:tabs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spacing w:val="-1"/>
          <w:sz w:val="28"/>
          <w:szCs w:val="28"/>
          <w:lang w:eastAsia="uk-UA"/>
        </w:rPr>
        <w:t>Продовжуються заходи на виконання рішення міської ради від 03.12.2021 № 22/88 «Про визначення (зміну) типів закладів загальної середньої освіти Луцької міської територіальної громади та затвердження її мережі». Проведено обговорення проєктів рішень Луцької міської ради про зміну типу закладів загальної середньої освіти №№ 29, 30, 31, 37, 38, які розташовані у сільській місцевості, і на 2024/2025 навчальний рік уже не здійснюють набір учнів до 10-их класів. У кінці навчального року установчі документи цих п’яти ЗЗСО будуть приведені у відповідність до чинного законодавства.</w:t>
      </w:r>
    </w:p>
    <w:p>
      <w:pPr>
        <w:pStyle w:val="Normal"/>
        <w:tabs>
          <w:tab w:val="clear" w:pos="709"/>
          <w:tab w:val="left" w:pos="1418" w:leader="none"/>
        </w:tabs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spacing w:val="-1"/>
          <w:sz w:val="28"/>
          <w:szCs w:val="28"/>
          <w:lang w:eastAsia="uk-UA"/>
        </w:rPr>
        <w:t>Традиційно Луцькі заклади загальної середньої освіти входять в ТОП-200 закладів за результатами ЗНО (НМТ). У 2024 році – це ЗЗСО № 9, 14, 18, 21.</w:t>
      </w:r>
    </w:p>
    <w:p>
      <w:pPr>
        <w:pStyle w:val="Normal"/>
        <w:tabs>
          <w:tab w:val="clear" w:pos="709"/>
          <w:tab w:val="left" w:pos="915" w:leader="none"/>
        </w:tabs>
        <w:ind w:firstLine="709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Таблиця результатів НМТ– 2024 за середнім балом м. Луцьк</w:t>
      </w:r>
    </w:p>
    <w:p>
      <w:pPr>
        <w:pStyle w:val="Normal"/>
        <w:tabs>
          <w:tab w:val="clear" w:pos="709"/>
          <w:tab w:val="left" w:pos="915" w:leader="none"/>
        </w:tabs>
        <w:ind w:firstLine="709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(за шкалою 100–200 балів) </w:t>
      </w:r>
    </w:p>
    <w:tbl>
      <w:tblPr>
        <w:tblStyle w:val="af4"/>
        <w:tblW w:w="8931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0"/>
        <w:gridCol w:w="3382"/>
        <w:gridCol w:w="2728"/>
        <w:gridCol w:w="2160"/>
      </w:tblGrid>
      <w:tr>
        <w:trPr>
          <w:trHeight w:val="1155" w:hRule="atLeast"/>
        </w:trPr>
        <w:tc>
          <w:tcPr>
            <w:tcW w:w="660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№</w:t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Предмет НМТ</w:t>
            </w:r>
          </w:p>
        </w:tc>
        <w:tc>
          <w:tcPr>
            <w:tcW w:w="2728" w:type="dxa"/>
            <w:tcBorders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kern w:val="0"/>
                <w:lang w:eastAsia="uk-UA"/>
              </w:rPr>
              <w:t>Середній бал за шкалою 100-200 балів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Cs/>
                <w:lang w:eastAsia="uk-UA"/>
              </w:rPr>
            </w:pPr>
            <w:r>
              <w:rPr>
                <w:rFonts w:cs="Times New Roman" w:ascii="Times New Roman" w:hAnsi="Times New Roman"/>
                <w:bCs/>
                <w:kern w:val="0"/>
                <w:lang w:eastAsia="uk-UA"/>
              </w:rPr>
              <w:t>Кількість учасників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13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Українська мова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152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2954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14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>
              <w:rPr>
                <w:rFonts w:cs="Times New Roman" w:ascii="Times New Roman" w:hAnsi="Times New Roman"/>
                <w:bCs/>
                <w:kern w:val="0"/>
                <w:lang w:eastAsia="uk-UA"/>
              </w:rPr>
              <w:t>Математика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137.7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2954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15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  <w:bCs/>
                <w:lang w:eastAsia="uk-UA"/>
              </w:rPr>
            </w:pPr>
            <w:r>
              <w:rPr>
                <w:rFonts w:cs="Times New Roman" w:ascii="Times New Roman" w:hAnsi="Times New Roman"/>
                <w:bCs/>
                <w:kern w:val="0"/>
                <w:lang w:eastAsia="uk-UA"/>
              </w:rPr>
              <w:t>Історія України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146.9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2954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16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Англійська мова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152.5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1238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17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Географія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144.1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676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18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Українська література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143.5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550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19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kern w:val="0"/>
                <w:lang w:eastAsia="uk-UA"/>
              </w:rPr>
              <w:t>Біологія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154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381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20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Хімія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147.7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47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21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Фізика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151,3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42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22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Німецька мова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153.7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17</w:t>
            </w:r>
          </w:p>
        </w:tc>
      </w:tr>
      <w:tr>
        <w:trPr/>
        <w:tc>
          <w:tcPr>
            <w:tcW w:w="660" w:type="dxa"/>
            <w:tcBorders/>
          </w:tcPr>
          <w:p>
            <w:pPr>
              <w:pStyle w:val="ListParagraph"/>
              <w:numPr>
                <w:ilvl w:val="0"/>
                <w:numId w:val="23"/>
              </w:numPr>
              <w:suppressAutoHyphens w:val="false"/>
              <w:spacing w:lineRule="auto" w:line="276" w:before="0" w:after="0"/>
              <w:ind w:hanging="0" w:left="142"/>
              <w:contextualSpacing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382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kern w:val="0"/>
              </w:rPr>
              <w:t>Французька мова</w:t>
            </w:r>
          </w:p>
        </w:tc>
        <w:tc>
          <w:tcPr>
            <w:tcW w:w="2728" w:type="dxa"/>
            <w:tcBorders/>
            <w:vAlign w:val="center"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151</w:t>
            </w:r>
          </w:p>
        </w:tc>
        <w:tc>
          <w:tcPr>
            <w:tcW w:w="2160" w:type="dxa"/>
            <w:tcBorders/>
          </w:tcPr>
          <w:p>
            <w:pPr>
              <w:pStyle w:val="Normal"/>
              <w:suppressAutoHyphens w:val="true"/>
              <w:spacing w:lineRule="auto" w:line="276" w:before="0" w:after="0"/>
              <w:jc w:val="center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hd w:fill="FFFFFF" w:val="clear"/>
              </w:rPr>
              <w:t>2</w:t>
            </w:r>
          </w:p>
        </w:tc>
      </w:tr>
    </w:tbl>
    <w:p>
      <w:pPr>
        <w:pStyle w:val="Normal"/>
        <w:widowControl/>
        <w:tabs>
          <w:tab w:val="clear" w:pos="709"/>
          <w:tab w:val="left" w:pos="738" w:leader="none"/>
          <w:tab w:val="left" w:pos="8505" w:leader="none"/>
        </w:tabs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uk-U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uk-UA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2. Стратегічні цілі, на виконання яких </w:t>
      </w:r>
    </w:p>
    <w:p>
      <w:pPr>
        <w:pStyle w:val="Normal"/>
        <w:widowControl/>
        <w:tabs>
          <w:tab w:val="clear" w:pos="709"/>
          <w:tab w:val="left" w:pos="720" w:leader="none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спрямовані заходи Програми</w:t>
      </w:r>
    </w:p>
    <w:p>
      <w:pPr>
        <w:pStyle w:val="Normal"/>
        <w:ind w:firstLine="567"/>
        <w:jc w:val="both"/>
        <w:rPr>
          <w:rStyle w:val="apple-style-span"/>
          <w:rFonts w:ascii="Times New Roman" w:hAnsi="Times New Roman"/>
          <w:sz w:val="28"/>
          <w:shd w:fill="FFFFFF" w:val="clear"/>
        </w:rPr>
      </w:pPr>
      <w:r>
        <w:rPr>
          <w:rStyle w:val="apple-style-span"/>
          <w:rFonts w:ascii="Times New Roman" w:hAnsi="Times New Roman"/>
          <w:sz w:val="28"/>
          <w:shd w:fill="FFFFFF" w:val="clear"/>
        </w:rPr>
        <w:t>Сформовані завдання та заходи Програми спрямовані на досягнення оперативних цілей 1.3. «Цифровізація міських сервісів» та 1.4. «Створення в громаді просторів для якісного проведення часу жителями громади» стратегічної цілі № 1 «Луцька молодіжна громада», оперативних цілей 2.1. «Підвищення рівня громадської активності мешканців старостинських округів та м. Луцьк» та 2.3. «Забезпечення доступу та надання сучасних послуг і сервісів у гуманітарній сфері, незалежно від місця проживання» стратегічної цілі № 2 «Нова громада з історичним центром», оперативних цілей 3.1. «Вдосконалення та реалізація транспортної схеми громади» та 3.2. «Забезпечення роздільного збору сміття та екологічного поводження із відходами» стратегічної цілі № 3 «Сучасний екополіс» та оперативної цілі 5.2. «Запуск кластерної моделі розвитку окремих галузей Луцької громади із залученням потенціалу наукових та навчальних закладів» стратегічної цілі № 5 «Громада сучасності та інновацій» Стратегії розвитку Луцької міської територіальної громади до 2030 року.</w:t>
      </w:r>
    </w:p>
    <w:p>
      <w:pPr>
        <w:pStyle w:val="Normal"/>
        <w:widowControl/>
        <w:tabs>
          <w:tab w:val="clear" w:pos="709"/>
          <w:tab w:val="left" w:pos="720" w:leader="none"/>
        </w:tabs>
        <w:ind w:hanging="1135" w:left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ind w:hanging="1135" w:left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3. Визначення мети</w:t>
      </w:r>
    </w:p>
    <w:p>
      <w:pPr>
        <w:pStyle w:val="Normal"/>
        <w:ind w:firstLine="567"/>
        <w:jc w:val="both"/>
        <w:rPr/>
      </w:pPr>
      <w:r>
        <w:rPr>
          <w:rStyle w:val="apple-style-span"/>
          <w:rFonts w:ascii="Times New Roman" w:hAnsi="Times New Roman"/>
          <w:sz w:val="28"/>
          <w:szCs w:val="28"/>
          <w:shd w:fill="FFFFFF" w:val="clear"/>
        </w:rPr>
        <w:t>Метою Програми є з</w:t>
      </w:r>
      <w:r>
        <w:rPr>
          <w:rFonts w:ascii="Times New Roman" w:hAnsi="Times New Roman"/>
          <w:sz w:val="28"/>
          <w:szCs w:val="28"/>
          <w:shd w:fill="FFFFFF" w:val="clear"/>
        </w:rPr>
        <w:t xml:space="preserve">абезпечення рівного доступу до освіти; упровадження її відкритості, нового змісту, заснованого на формуванні ключових компетентностей; інтеграція освіти громади в європейський освітній простір; сприяння інноваційному розвитку галузі через підготовку успішних освітян нової формації, розвиток мотивації досягнення успіху здобувачів освіти та педагогів шляхом матеріального заохочення; зміцнення навчально-матеріальної бази закладів освіти та ефективне використання наявних та залучених ресурсів; модернізація умов, які впливають на якість освітнього процесу, подальше удосконалення форм і методів навчання й виховання з урахуванням перспектив розвитку освіти  Луцької МТГ в реаліях сьогодення, направлених на виконання завдань, що постали в умовах правового режиму воєнного стану. </w:t>
      </w:r>
    </w:p>
    <w:p>
      <w:pPr>
        <w:pStyle w:val="Normal"/>
        <w:ind w:hanging="1135" w:left="709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</w:r>
    </w:p>
    <w:p>
      <w:pPr>
        <w:pStyle w:val="Normal"/>
        <w:ind w:hanging="1135"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>4. 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Засоби розв’язання проблеми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uk-U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>Розв’язання визначених Програмою проблем буде здійснюватися шляхом забезпечення функціонування та розвитку загальної середньої, дошкільної, позашкільної, професійно-технічної освіти відповідно до вимог законів України «Про освіту», «Про повну загальну середню освіту».</w:t>
      </w:r>
    </w:p>
    <w:p>
      <w:pPr>
        <w:pStyle w:val="Normal"/>
        <w:widowControl/>
        <w:tabs>
          <w:tab w:val="clear" w:pos="709"/>
          <w:tab w:val="left" w:pos="1673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fill="FFFFFF" w:val="clear"/>
          <w:lang w:eastAsia="ru-RU"/>
        </w:rPr>
        <w:t>Ресурсне забезпечення Програми наведено в додатку 1 до Програми.</w:t>
      </w:r>
    </w:p>
    <w:p>
      <w:pPr>
        <w:pStyle w:val="Normal"/>
        <w:widowControl/>
        <w:ind w:hanging="1135" w:left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widowControl/>
        <w:ind w:hanging="1135" w:left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5. Перелік завдань та заходів Програми. </w:t>
      </w:r>
    </w:p>
    <w:p>
      <w:pPr>
        <w:pStyle w:val="Normal"/>
        <w:widowControl/>
        <w:ind w:hanging="1135" w:left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Результативні показники</w:t>
      </w:r>
    </w:p>
    <w:p>
      <w:pPr>
        <w:pStyle w:val="NoSpacing"/>
        <w:tabs>
          <w:tab w:val="clear" w:pos="709"/>
          <w:tab w:val="left" w:pos="1673" w:leader="none"/>
        </w:tabs>
        <w:ind w:firstLine="567"/>
        <w:jc w:val="both"/>
        <w:rPr>
          <w:szCs w:val="28"/>
        </w:rPr>
      </w:pPr>
      <w:r>
        <w:rPr>
          <w:color w:val="000000"/>
          <w:szCs w:val="28"/>
          <w:shd w:fill="FFFFFF" w:val="clear"/>
          <w:lang w:eastAsia="ru-RU"/>
        </w:rPr>
        <w:t xml:space="preserve">Основні завдання Програми </w:t>
      </w:r>
      <w:r>
        <w:rPr>
          <w:szCs w:val="28"/>
          <w:shd w:fill="FFFFFF" w:val="clear"/>
          <w:lang w:eastAsia="ru-RU"/>
        </w:rPr>
        <w:t>сформовані за розділами: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>Розділ 1. Дошкільна освіта.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Розділ 2. Загальна середня освіта.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>Розділ 3. Позашкільна освіта.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>Розділ 4. Створення інклюзивного та безбар`єрного освітнього середовища.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Розділ 5. Кадрове забезпечення. Професійний розвиток педагогічних працівників.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>Розділ 6. Формування виховного простору.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>Розділ 7. Соціальний захист здобувачів освіти.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>Розділ 8. Організація і проведення фізкультурно-оздоровчих заходів, ігор, змагань серед здобувачів освіти.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uk-UA"/>
        </w:rPr>
        <w:t xml:space="preserve">Розділ 9. </w:t>
      </w:r>
      <w:r>
        <w:rPr>
          <w:rFonts w:cs="Times New Roman" w:ascii="Times New Roman" w:hAnsi="Times New Roman"/>
          <w:bCs/>
          <w:sz w:val="28"/>
          <w:szCs w:val="28"/>
        </w:rPr>
        <w:t>Організація безпечного освітнього середовища.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 xml:space="preserve">Розділ 10. Професійно-технічна та вища освіта. </w:t>
      </w:r>
    </w:p>
    <w:p>
      <w:pPr>
        <w:pStyle w:val="Normal"/>
        <w:widowControl/>
        <w:tabs>
          <w:tab w:val="clear" w:pos="709"/>
          <w:tab w:val="left" w:pos="1673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Розділ 11. Проведення ремонтних робіт, організація підвезення здобувачів освіти, здійснення заходів з енергозбереження.</w:t>
      </w:r>
    </w:p>
    <w:p>
      <w:pPr>
        <w:pStyle w:val="NoSpacing"/>
        <w:tabs>
          <w:tab w:val="clear" w:pos="709"/>
          <w:tab w:val="left" w:pos="1673" w:leader="none"/>
        </w:tabs>
        <w:ind w:firstLine="567"/>
        <w:jc w:val="both"/>
        <w:rPr>
          <w:szCs w:val="28"/>
        </w:rPr>
      </w:pPr>
      <w:r>
        <w:rPr>
          <w:rFonts w:cs="Times New Roman"/>
          <w:szCs w:val="28"/>
          <w:shd w:fill="FFFFFF" w:val="clear"/>
          <w:lang w:eastAsia="ru-RU"/>
        </w:rPr>
        <w:t>Перелік завдань, заходів та результативні показники Програми наведено у додатку 2 до Програми.</w:t>
      </w:r>
    </w:p>
    <w:p>
      <w:pPr>
        <w:pStyle w:val="Normal"/>
        <w:widowControl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 Координація та контроль за ходом виконання Програми.</w:t>
      </w:r>
    </w:p>
    <w:p>
      <w:pPr>
        <w:pStyle w:val="Normal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Звіт про виконання Програми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  <w:shd w:fill="FFFFFF" w:val="clear"/>
          <w:lang w:eastAsia="ru-RU"/>
        </w:rPr>
        <w:t>Програма є довгостроковою та реалізовуватиметься упродовж 2025–2029 років. У разі потреби до неї вносяться зміни згідно з установленим порядком.</w:t>
      </w:r>
    </w:p>
    <w:p>
      <w:pPr>
        <w:pStyle w:val="Normal"/>
        <w:ind w:firstLine="567"/>
        <w:jc w:val="both"/>
        <w:rPr/>
      </w:pPr>
      <w:r>
        <w:rPr>
          <w:rStyle w:val="field-content"/>
          <w:rFonts w:ascii="Times New Roman" w:hAnsi="Times New Roman"/>
          <w:bCs/>
          <w:sz w:val="28"/>
          <w:szCs w:val="28"/>
          <w:shd w:fill="FFFFFF" w:val="clear"/>
          <w:lang w:eastAsia="uk-UA"/>
        </w:rPr>
        <w:t xml:space="preserve">Контроль за використанням бюджетних коштів, передбачених для здійснення заходів, визначених Програмою, здійснюється у порядку, встановленому законодавством України. </w:t>
      </w:r>
      <w:r>
        <w:rPr>
          <w:rFonts w:ascii="Times New Roman" w:hAnsi="Times New Roman"/>
          <w:bCs/>
          <w:sz w:val="28"/>
          <w:szCs w:val="28"/>
          <w:shd w:fill="FFFFFF" w:val="clear"/>
          <w:lang w:eastAsia="ru-RU"/>
        </w:rPr>
        <w:t xml:space="preserve">Із метою дотримання принципу колегіальності, компетентності та прозорості фінансового забезпечення реалізації Програми функції щодо здійснення системного моніторингу покладається на постійну </w:t>
      </w:r>
      <w:r>
        <w:rPr>
          <w:rFonts w:ascii="Times New Roman" w:hAnsi="Times New Roman"/>
          <w:iCs/>
          <w:sz w:val="28"/>
          <w:szCs w:val="28"/>
          <w:shd w:fill="FFFFFF" w:val="clear"/>
        </w:rPr>
        <w:t>комісію міської ради з питань соціального захисту, охорони здоров’я, материнства та дитинства, освіти, науки, культури, мови.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  <w:sz w:val="28"/>
          <w:szCs w:val="28"/>
          <w:shd w:fill="FFFFFF" w:val="clear"/>
          <w:lang w:eastAsia="ru-RU"/>
        </w:rPr>
        <w:t>Координація та контроль за виконанням Програми покладається на  департамент освіти Луцької міської ради.</w:t>
      </w:r>
    </w:p>
    <w:p>
      <w:pPr>
        <w:pStyle w:val="Normal"/>
        <w:widowControl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  <w:shd w:fill="FFFFFF" w:val="clear"/>
          <w:lang w:eastAsia="ru-RU"/>
        </w:rPr>
        <w:t>Звіт щодо виконання Програми заслуховується на сесії міської ради на вимогу депутатів.</w:t>
      </w:r>
    </w:p>
    <w:p>
      <w:pPr>
        <w:pStyle w:val="Normal"/>
        <w:widowControl/>
        <w:jc w:val="both"/>
        <w:rPr>
          <w:rFonts w:ascii="Times New Roman" w:hAnsi="Times New Roman"/>
          <w:bCs/>
          <w:sz w:val="28"/>
          <w:szCs w:val="28"/>
          <w:shd w:fill="FFFFFF" w:val="clear"/>
          <w:lang w:eastAsia="ru-RU"/>
        </w:rPr>
      </w:pPr>
      <w:r>
        <w:rPr>
          <w:rFonts w:ascii="Times New Roman" w:hAnsi="Times New Roman"/>
          <w:bCs/>
          <w:sz w:val="28"/>
          <w:szCs w:val="28"/>
          <w:shd w:fill="FFFFFF" w:val="clear"/>
          <w:lang w:eastAsia="ru-RU"/>
        </w:rPr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985" w:right="567" w:gutter="0" w:header="0" w:top="851" w:footer="0" w:bottom="1418"/>
          <w:pgNumType w:start="1" w:fmt="decimal"/>
          <w:formProt w:val="false"/>
          <w:titlePg/>
          <w:textDirection w:val="lrTb"/>
          <w:docGrid w:type="default" w:linePitch="360" w:charSpace="0"/>
        </w:sectPr>
        <w:pStyle w:val="Normal"/>
        <w:widowControl/>
        <w:spacing w:before="0" w:after="0"/>
        <w:jc w:val="both"/>
        <w:rPr>
          <w:rFonts w:ascii="Times New Roman" w:hAnsi="Times New Roman"/>
          <w:bCs/>
          <w:sz w:val="28"/>
          <w:szCs w:val="28"/>
          <w:shd w:fill="FFFFFF" w:val="clear"/>
          <w:lang w:eastAsia="ru-RU"/>
        </w:rPr>
      </w:pPr>
      <w:r>
        <w:rPr>
          <w:rFonts w:ascii="Times New Roman" w:hAnsi="Times New Roman"/>
          <w:bCs/>
          <w:sz w:val="28"/>
          <w:szCs w:val="28"/>
          <w:shd w:fill="FFFFFF" w:val="clear"/>
          <w:lang w:eastAsia="ru-RU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firstLine="104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Додаток 1 </w:t>
      </w:r>
    </w:p>
    <w:p>
      <w:pPr>
        <w:pStyle w:val="Normal"/>
        <w:ind w:firstLine="104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до Комплексної програми розвитку освіти </w:t>
      </w:r>
    </w:p>
    <w:p>
      <w:pPr>
        <w:pStyle w:val="Normal"/>
        <w:ind w:firstLine="104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Луцької міської територіальної громади  </w:t>
      </w:r>
    </w:p>
    <w:p>
      <w:pPr>
        <w:pStyle w:val="Normal"/>
        <w:ind w:firstLine="104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2025–2029 роки</w:t>
      </w:r>
    </w:p>
    <w:p>
      <w:pPr>
        <w:pStyle w:val="Heading1"/>
        <w:ind w:hanging="567"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bookmarkStart w:id="0" w:name="_GoBack8"/>
      <w:bookmarkStart w:id="1" w:name="_GoBack8"/>
      <w:bookmarkEnd w:id="1"/>
    </w:p>
    <w:p>
      <w:pPr>
        <w:pStyle w:val="Heading1"/>
        <w:ind w:hanging="567"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Ресурсне забезпечення</w:t>
      </w:r>
    </w:p>
    <w:p>
      <w:pPr>
        <w:pStyle w:val="Normal"/>
        <w:ind w:hanging="567"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Комплексної програми розвитку освіти Луцької міської територіальної громади  </w:t>
      </w:r>
    </w:p>
    <w:p>
      <w:pPr>
        <w:pStyle w:val="Normal"/>
        <w:ind w:hanging="567"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2025–2029 роки</w:t>
      </w:r>
    </w:p>
    <w:p>
      <w:pPr>
        <w:pStyle w:val="Normal"/>
        <w:ind w:hanging="567" w:left="567"/>
        <w:jc w:val="center"/>
        <w:rPr>
          <w:b/>
          <w:bCs/>
        </w:rPr>
      </w:pPr>
      <w:r>
        <w:rPr>
          <w:b/>
          <w:bCs/>
        </w:rPr>
      </w:r>
    </w:p>
    <w:tbl>
      <w:tblPr>
        <w:tblW w:w="15405" w:type="dxa"/>
        <w:jc w:val="left"/>
        <w:tblInd w:w="44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136"/>
        <w:gridCol w:w="1366"/>
        <w:gridCol w:w="1350"/>
        <w:gridCol w:w="1426"/>
        <w:gridCol w:w="1365"/>
        <w:gridCol w:w="1505"/>
        <w:gridCol w:w="4256"/>
      </w:tblGrid>
      <w:tr>
        <w:trPr>
          <w:trHeight w:val="1288" w:hRule="atLeast"/>
          <w:cantSplit w:val="true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</w:rPr>
              <w:t>Обсяг коштів, які планується залучити на виконання Програми,</w:t>
            </w:r>
          </w:p>
          <w:p>
            <w:pPr>
              <w:pStyle w:val="Heading2"/>
              <w:widowControl w:val="false"/>
              <w:suppressAutoHyphens w:val="true"/>
              <w:spacing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iCs w:val="fals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</w:rPr>
              <w:t>тис. грн.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рік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 рік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 рік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 рік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2029 рік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cantSplit w:val="true"/>
        </w:trPr>
        <w:tc>
          <w:tcPr>
            <w:tcW w:w="4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громади,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державного бюджету,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435 241,6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119 841,6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309 700,0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155 200,0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170 333,4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113 333,4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37 000,0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136 054,3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98 804,3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37 250,0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112 519,9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75 019,9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37 500,0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115 352,2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77 602,2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37 750,0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969 501,4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504 601,4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309 700,0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155 200,0</w:t>
            </w:r>
          </w:p>
        </w:tc>
      </w:tr>
    </w:tbl>
    <w:p>
      <w:pPr>
        <w:pStyle w:val="Normal"/>
        <w:widowControl/>
        <w:ind w:hanging="567" w:left="567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>Смаль 777 955</w:t>
      </w:r>
    </w:p>
    <w:p>
      <w:pPr>
        <w:pStyle w:val="Normal"/>
        <w:widowControl/>
        <w:ind w:hanging="567" w:left="567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ind w:hanging="567" w:left="567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ind w:hanging="567" w:left="567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ind w:hanging="567" w:left="567"/>
        <w:rPr>
          <w:rFonts w:ascii="TimesNewRomanPSMT" w:hAnsi="TimesNewRomanPSMT"/>
          <w:sz w:val="28"/>
          <w:szCs w:val="28"/>
          <w:lang w:eastAsia="ru-RU"/>
        </w:rPr>
      </w:pPr>
      <w:r>
        <w:rPr>
          <w:rFonts w:ascii="TimesNewRomanPSMT" w:hAnsi="TimesNewRomanPSMT"/>
          <w:sz w:val="28"/>
          <w:szCs w:val="28"/>
          <w:lang w:eastAsia="ru-RU"/>
        </w:rPr>
      </w:r>
    </w:p>
    <w:p>
      <w:pPr>
        <w:pStyle w:val="Normal"/>
        <w:widowControl/>
        <w:ind w:left="10205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ind w:left="10205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>
        <w:rPr>
          <w:rFonts w:cs="Times New Roman" w:ascii="Times New Roman" w:hAnsi="Times New Roman"/>
          <w:sz w:val="28"/>
          <w:szCs w:val="28"/>
        </w:rPr>
        <w:t xml:space="preserve">Додаток 2 </w:t>
      </w:r>
    </w:p>
    <w:p>
      <w:pPr>
        <w:pStyle w:val="Normal"/>
        <w:tabs>
          <w:tab w:val="clear" w:pos="709"/>
          <w:tab w:val="left" w:pos="10305" w:leader="none"/>
          <w:tab w:val="right" w:pos="15704" w:leader="none"/>
        </w:tabs>
        <w:ind w:firstLine="1020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до </w:t>
      </w:r>
      <w:r>
        <w:rPr>
          <w:rFonts w:cs="Times New Roman" w:ascii="Times New Roman" w:hAnsi="Times New Roman"/>
          <w:sz w:val="28"/>
          <w:szCs w:val="28"/>
        </w:rPr>
        <w:t xml:space="preserve">Комплексної  програми розвитку освіти </w:t>
      </w:r>
    </w:p>
    <w:p>
      <w:pPr>
        <w:pStyle w:val="Normal"/>
        <w:tabs>
          <w:tab w:val="clear" w:pos="709"/>
          <w:tab w:val="left" w:pos="10215" w:leader="none"/>
          <w:tab w:val="right" w:pos="15704" w:leader="none"/>
        </w:tabs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Луцької міської територіальної громади </w:t>
      </w:r>
    </w:p>
    <w:p>
      <w:pPr>
        <w:pStyle w:val="Normal"/>
        <w:tabs>
          <w:tab w:val="clear" w:pos="709"/>
          <w:tab w:val="left" w:pos="10275" w:leader="none"/>
          <w:tab w:val="right" w:pos="15704" w:leader="none"/>
        </w:tabs>
        <w:ind w:firstLine="1020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на 2025–2029 роки</w:t>
      </w:r>
    </w:p>
    <w:p>
      <w:pPr>
        <w:pStyle w:val="Normal"/>
        <w:jc w:val="both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</w:r>
    </w:p>
    <w:p>
      <w:pPr>
        <w:pStyle w:val="Normal"/>
        <w:ind w:firstLine="360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cs="Times New Roman" w:ascii="Times New Roman" w:hAnsi="Times New Roman"/>
          <w:b/>
          <w:sz w:val="28"/>
          <w:szCs w:val="28"/>
          <w:lang w:eastAsia="uk-UA"/>
        </w:rPr>
        <w:t>Перелік завдань, заходів та результативні показники</w:t>
      </w:r>
    </w:p>
    <w:p>
      <w:pPr>
        <w:pStyle w:val="Normal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eastAsia="uk-UA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Комплексної  програми розвитку освіти  Луцької міської територіальної громади </w:t>
      </w:r>
    </w:p>
    <w:p>
      <w:pPr>
        <w:pStyle w:val="Normal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на 2025-2029 роки</w:t>
      </w:r>
    </w:p>
    <w:p>
      <w:pPr>
        <w:pStyle w:val="Normal"/>
        <w:ind w:firstLine="360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cs="Times New Roman" w:ascii="Times New Roman" w:hAnsi="Times New Roman"/>
          <w:sz w:val="16"/>
          <w:szCs w:val="16"/>
          <w:lang w:eastAsia="ru-RU"/>
        </w:rPr>
      </w:r>
    </w:p>
    <w:tbl>
      <w:tblPr>
        <w:tblW w:w="1586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1" w:val="06a0"/>
      </w:tblPr>
      <w:tblGrid>
        <w:gridCol w:w="707"/>
        <w:gridCol w:w="65"/>
        <w:gridCol w:w="2047"/>
        <w:gridCol w:w="13"/>
        <w:gridCol w:w="4692"/>
        <w:gridCol w:w="1842"/>
        <w:gridCol w:w="100"/>
        <w:gridCol w:w="13"/>
        <w:gridCol w:w="1163"/>
        <w:gridCol w:w="49"/>
        <w:gridCol w:w="16"/>
        <w:gridCol w:w="1355"/>
        <w:gridCol w:w="100"/>
        <w:gridCol w:w="8"/>
        <w:gridCol w:w="1121"/>
        <w:gridCol w:w="437"/>
        <w:gridCol w:w="21"/>
        <w:gridCol w:w="91"/>
        <w:gridCol w:w="19"/>
        <w:gridCol w:w="1985"/>
        <w:gridCol w:w="12"/>
        <w:gridCol w:w="10"/>
      </w:tblGrid>
      <w:tr>
        <w:trPr>
          <w:trHeight w:val="517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з/п</w:t>
            </w:r>
          </w:p>
        </w:tc>
        <w:tc>
          <w:tcPr>
            <w:tcW w:w="2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Назва завдання</w:t>
            </w:r>
          </w:p>
        </w:tc>
        <w:tc>
          <w:tcPr>
            <w:tcW w:w="47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Назва заходу</w:t>
            </w:r>
          </w:p>
        </w:tc>
        <w:tc>
          <w:tcPr>
            <w:tcW w:w="19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Виконавці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Термін викона-ння</w:t>
            </w:r>
          </w:p>
        </w:tc>
        <w:tc>
          <w:tcPr>
            <w:tcW w:w="314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Джерела та обсяги фінансування, тис. грн</w:t>
            </w:r>
          </w:p>
        </w:tc>
        <w:tc>
          <w:tcPr>
            <w:tcW w:w="201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Результативні показники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17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70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4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3149" w:type="dxa"/>
            <w:gridSpan w:val="8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1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5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70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4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Державний бюджет</w:t>
            </w:r>
          </w:p>
        </w:tc>
        <w:tc>
          <w:tcPr>
            <w:tcW w:w="1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Бюджет громади</w:t>
            </w:r>
          </w:p>
        </w:tc>
        <w:tc>
          <w:tcPr>
            <w:tcW w:w="201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  <w:t>Розділ 1. Дошкільна освіта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704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Розвиток мережі закладів дошкільної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1.1. Охоплення дітей дошкільного віку різними організаційними  формами здобуття дошкільної освіти (педагогічний патронаж, сімейна, індивідуальна, приватна  тощо)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Запровадження альтернативних форм здобуття освіти, збільшення охоплення дітей дошкільною освітою. Підвищення педагогічної та психологічної грамотності батьків</w:t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40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135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1.2. Створення вікових груп з короткотривалим перебуванням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1.3. Забезпечення  роботи консультативних центрів для педагогічної підтримки батьків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9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45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1.4. Зарахування дітей у заклади дошкільної освіти  із врахуванням електронної  реєстрації  та територіальної доступності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71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11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Формування інклюзивного безпечного, розвиваючого освітнього простору для дітей з особливими потребами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2.1. Відкриття інклюзивних груп відповідно до потреб батьків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Забезпечення якісної інклюзивної освіти для дітей з особливими потребами</w:t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5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49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2.2. Створення ресурсних кімнат, медіатек для проведення корекційно-розвиткових занять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7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2.3. Налагодження співпраці з інклюзивно-ресурсним центром та іншими закладами щодо супроводу та підтримки здобувачів дошкільної освіти з особливими освітніми потребами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42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452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Організація освітнього процесу з дотримання вимог Базового компонента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3.1.</w:t>
            </w: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Реалізація варіативної складової Базового компонента, впровадження додаткових організаційних форм освітнього процесу (гуртки, студії, секції ) за згодою батьків з урахуванням індивідуальних особливостей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ЗДО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Розвиток творчих здібностей дітей, формування базових компетентностей, зміцнення та збереження здоров’я дітей</w:t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8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3.2. Проведення конкурсів з різних видів діяльності за участі  здобувачів освіти («Музична скарбничка», «Танцювальна веселка», «Юні читці», «Юний художник», фестиваль «Ми діти твої, Україно!» та інші)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3.3. Упровадження інноваційних технологій, сучасних методик,  освітніх проєктів. Забезпечення відповідними методичними, дидактичними ресурсами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28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1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24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3.4. Створення безпечного, здорового, освітнього, інклюзивного, розвиваючого середовища для реалізації освітніх завдань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9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1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3.5. Проведення спортивних змагань, спартакіад серед вихованців закладів дошкільної освіти («Спортивна зима», «Повір у себе» та інші)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3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25,0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3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25,0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</w:tr>
      <w:tr>
        <w:trPr>
          <w:trHeight w:val="51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Модернізація змісту діяльності закладів дошкільної освіти та надання якісних освітніх послуг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4.1. Удосконалення  внутрішньої системи забезпечення якості дошкільної освіти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ЗДО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Підвищення якості надання освітніх послуг зі здобуття дошкільної освіти</w:t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2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76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76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 Забезпечення ЗДО сучасною комп’ютерною технікою, обладнанням для спортивних кімнат  та майданчиків, підключення до мережі Інтернет. Зміцнення матеріально-технічної бази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463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3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4.3. Розвиток пріоритетних напрямів освітньої діяльності. Упровадження програм: «Афлатот», «STREAM-освіта,  парціальних програм та ін.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5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28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9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1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4.4. Покращення іміджу закладів дошкільної освіти. Проведення конкурсів «Заклад року», «Молода надія дошкілля»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75,0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1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75,0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75,0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75,0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75,0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4.5. </w:t>
            </w:r>
            <w:r>
              <w:rPr>
                <w:rFonts w:cs="Times New Roman" w:ascii="Times New Roman" w:hAnsi="Times New Roman"/>
                <w:color w:val="000000"/>
              </w:rPr>
              <w:t>Поглиблення міжнародної співпраці з  питань дошкільної освіти із закладами дошкільної освіти інших країн та громадською організацією ОМЕП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9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33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3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65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Психологічний супровід учасників освітнього процесу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реалізації психопрофілактичної  програми «Цілющий ліс».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Здійснення профілактичної роботи шляхом упровадження програм: «Карта цінностей для серця і розуму», «Навчіть дітей захищатися».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Проведення тренінгів для батьків «Без ляпасу: як з любов’ю та повагою визначити кордони дитини»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ЗДО, НМК ПС</w:t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Надання  якісних послуг з психічного здоров’я та психосоціальної підтримки, формування життєстійкості та почуття  безпеки у дітей</w:t>
            </w:r>
          </w:p>
        </w:tc>
      </w:tr>
      <w:tr>
        <w:trPr>
          <w:trHeight w:val="5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6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8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5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2117" w:type="dxa"/>
            <w:gridSpan w:val="5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555" w:hRule="atLeast"/>
        </w:trPr>
        <w:tc>
          <w:tcPr>
            <w:tcW w:w="1069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bCs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val="en-US" w:eastAsia="uk-UA" w:bidi="ar-SA"/>
              </w:rPr>
              <w:t>775</w:t>
            </w: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,</w:t>
            </w:r>
            <w:r>
              <w:rPr>
                <w:rFonts w:eastAsia="Times New Roman" w:cs="Times New Roman" w:ascii="Times New Roman" w:hAnsi="Times New Roman"/>
                <w:b/>
                <w:bCs/>
                <w:lang w:val="en-US" w:eastAsia="uk-UA" w:bidi="ar-SA"/>
              </w:rPr>
              <w:t>0</w:t>
            </w:r>
          </w:p>
        </w:tc>
        <w:tc>
          <w:tcPr>
            <w:tcW w:w="21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  <w:color w:val="000000"/>
              </w:rPr>
              <w:t>Розділ 2. Загальна середня освіта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Приведення мережі ЗЗСО у відповідність до чинного законодавства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Закінчення процесу реорганізації ЗЗСО відповідно до потреб громади з урахуванням проєктної потужності, кадрово-методичного забезпечення тощо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Створення мережі гімназій, академічних ліцеїв, шкіл І ступеня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Охоплення здобувачів освіти різними формами здобуття 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Забезпечення умов у ЗЗСО для навчання за індивідуальною формою (екстернат, сімейна (домашня), педагогічний патронаж).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Створення дистанційних класів на базі ЗЗСО № 8 та спеціальних класів на базі ЗЗСО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Виконання норми законодавства щодо обов’язкової повної  загальної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9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Забезпечення мережевого навчання на базі МРЦ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Обладнання  закладу STEM лабораторіями, тирами, обладнанням, дидактичними та методичними матеріалами з предмета «Захист України»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Створення сучасного закладу мережевої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6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Забезпечення високого матеріально-технічного оснащення закладів освіти, придбання кабінетів природничого спрямування з акцентом на розвиток STEAM-освіти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rPr>
                <w:rFonts w:ascii="Times New Roman" w:hAnsi="Times New Roman" w:eastAsia="Times New Roman" w:cs="Times New Roman"/>
                <w:lang w:eastAsia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Із урахуванням засад НУШ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Поетапне оснащення кабінетів, починаючи з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8-го класу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i/>
                <w:i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i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Упровадження єдиної системи електронного документообігу в освітній системі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Забезпечення ліцензованого доступу до інформаційних систем ІСУО, АІКОМ, ЄДЕБО тощо Обслуговування та оновлення програмного забезпечення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Забезпечення цифровізації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7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8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highlight w:val="yellow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highlight w:val="yellow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highlight w:val="yellow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highlight w:val="yellow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cs="Times New Roman" w:ascii="Times New Roman" w:hAnsi="Times New Roman"/>
                <w:b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Розробка комунікаційної стратегії закладів освіти громади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Підвищення компетенції команд закладів  освіти в галузі проєктного та грантового менеджменту, цифрової грамотності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Запровадження шкільного громадського бюджету, участь у проєктній діяльності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06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Розширення мережі експериментальних ЗЗСО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Розширення мережі експериментальних ЗЗСО, учасників Всеукраїнських та регіональних рівнів щодо апробації та впровадження інноваційних освітніх технологій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w w:val="105"/>
              </w:rPr>
              <w:t>Буде задіяний освітній та академічний потенціал; успішна наукова діяльність двох місцевих національних університетів та релокованих закладів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w w:val="105"/>
              </w:rPr>
            </w:pPr>
            <w:r>
              <w:rPr>
                <w:rFonts w:cs="Times New Roman" w:ascii="Times New Roman" w:hAnsi="Times New Roman"/>
                <w:w w:val="105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w w:val="105"/>
              </w:rPr>
            </w:pPr>
            <w:r>
              <w:rPr>
                <w:rFonts w:cs="Times New Roman" w:ascii="Times New Roman" w:hAnsi="Times New Roman"/>
                <w:w w:val="105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w w:val="105"/>
              </w:rPr>
            </w:pPr>
            <w:r>
              <w:rPr>
                <w:rFonts w:cs="Times New Roman" w:ascii="Times New Roman" w:hAnsi="Times New Roman"/>
                <w:w w:val="105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4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w w:val="105"/>
              </w:rPr>
            </w:pPr>
            <w:r>
              <w:rPr>
                <w:rFonts w:cs="Times New Roman" w:ascii="Times New Roman" w:hAnsi="Times New Roman"/>
                <w:w w:val="105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8.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  <w:t>Робота з обдарованою учнівською молоддю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  <w:t>8.1. Проведення учнівських предметних олімпіад; турнірів, малих предметних олімпіад; конкурсу-захисту; виставок, конкурсів; огляду творчих колективів; забезпечення участі в Інтернет-олімпіадах тощо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освіти, керівники закладів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40,0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Удосконалення системи роботи із  здобувачами освіти та вихованцями. </w:t>
            </w:r>
            <w:r>
              <w:rPr>
                <w:rFonts w:eastAsia="Calibri" w:cs="Times New Roman" w:ascii="Times New Roman" w:hAnsi="Times New Roman" w:eastAsiaTheme="minorHAnsi"/>
                <w:lang w:eastAsia="en-US" w:bidi="ar-SA"/>
              </w:rPr>
              <w:t>Сприяння виявленню обдарованих дітей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65,0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  <w:t>8.2. Організація  міського конкурсу «Учень року» та проведення свята відзначення переможців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Пропагування найкращих здобутків школярів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highlight w:val="green"/>
              </w:rPr>
            </w:pPr>
            <w:r>
              <w:rPr>
                <w:rFonts w:cs="Times New Roman" w:ascii="Times New Roman" w:hAnsi="Times New Roman"/>
                <w:color w:val="000000"/>
                <w:highlight w:val="gree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Calibri" w:cs="Times New Roman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lang w:eastAsia="en-US" w:bidi="ar-SA"/>
              </w:rPr>
              <w:t>8.3. Виплата стипендій міської ради переможцям конкурсу «Кращий учень» (22 стипендії)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220,0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Матеріальне стимулювання творчо обдарованої молоді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220,0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220,0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highlight w:val="green"/>
              </w:rPr>
            </w:pPr>
            <w:r>
              <w:rPr>
                <w:rFonts w:cs="Times New Roman" w:ascii="Times New Roman" w:hAnsi="Times New Roman"/>
                <w:color w:val="000000"/>
                <w:highlight w:val="gree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220,0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220,0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8.4. Залучення учнівської молоді до </w:t>
            </w:r>
            <w:r>
              <w:rPr>
                <w:rFonts w:cs="Times New Roman" w:ascii="Times New Roman" w:hAnsi="Times New Roman"/>
                <w:color w:val="000000"/>
              </w:rPr>
              <w:t>участі у різноманітних пізнавально-активних, науково-практичних заходах та інших освітніх проєктах, організованих  громадськими об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>’</w:t>
            </w:r>
            <w:r>
              <w:rPr>
                <w:rFonts w:cs="Times New Roman" w:ascii="Times New Roman" w:hAnsi="Times New Roman"/>
                <w:color w:val="000000"/>
              </w:rPr>
              <w:t>єднаннями,</w:t>
            </w:r>
            <w:r>
              <w:rPr>
                <w:rFonts w:cs="Times New Roman" w:ascii="Times New Roman" w:hAnsi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</w:rPr>
              <w:t>науковими установами та іншими організаціями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Підвищення мотивації</w:t>
            </w:r>
            <w:r>
              <w:rPr>
                <w:rFonts w:cs="Times New Roman" w:ascii="Times New Roman" w:hAnsi="Times New Roman"/>
                <w:shd w:fill="FFFFFF" w:val="clear"/>
              </w:rPr>
              <w:t xml:space="preserve"> до творчого самовдосконалення учнівської молоді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8.5. Проведення міського свята вшанування випускників-медалістів закладів загальної середньої освіти за участі міського голови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Підвищення статусу здобувачів освіти та їх стимулювання до навчання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10,0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9.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Відзначення педагогів за високу результативність виступів  здобувачів освіти та вихованців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Продовження впровадження системи морального та матеріального стимулювання педагогічних та науково-педагогічних працівників, учні яких стали переможцями Всеукраїнських етапів олімпіад, турнірів, конкурсів-захистів, призерів та учасників Міжнародних учнівських олімпіад, Міжнародного конкурсу з української мови ім. Петра Яцика, Міжнародного мовно-літературного конкурсу учнівської та студентської молоді ім. Тараса Шевченка, Всеукраїнського конкурсу учнівської творчості «Об’єднаймося, брати мої…»; вручення стипендій міського голови педагогам, керівникам гуртків, які результативно працюють з обдарованою молоддю</w:t>
            </w:r>
          </w:p>
          <w:p>
            <w:pPr>
              <w:pStyle w:val="Normal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Пропагування найкращих здобутків педагогів у роботі з обдарованою молоддю. </w:t>
            </w:r>
            <w:r>
              <w:rPr>
                <w:rFonts w:eastAsia="Times New Roman" w:cs="Times New Roman" w:ascii="Times New Roman" w:hAnsi="Times New Roman"/>
              </w:rPr>
              <w:t>Стимулювання мотивації педагогів та підвищення ефективності роботи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10.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Відзначення кращих закладів загальної середньої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Відзначення закладів освіти: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 результатами їх діяльності («Заклад року»);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 результатами НМТ (ЗНО);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 нагоди пам’ятних та ювілейних дат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Пропагування найкращих здобутків закладів освіти та </w:t>
            </w:r>
            <w:r>
              <w:rPr>
                <w:rFonts w:eastAsia="Calibri" w:cs="Times New Roman" w:ascii="Times New Roman" w:hAnsi="Times New Roman" w:eastAsiaTheme="minorHAnsi"/>
                <w:lang w:eastAsia="en-US" w:bidi="ar-SA"/>
              </w:rPr>
              <w:t>підвищення їх іміджу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70,0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Підготовка аналітичних матеріалів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Видавництво збірки за результатами участі учнів та вихованців загальноосвітніх та позашкільних закладів освіти у змаганнях, конкурсах, турнірах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Пропагування найкращих здобутків здобувачів освіти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2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2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2015,0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  <w:t>Розділ 3. Позашкільна освіта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Формування виховного простору в ЗПО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1.1. Проведення масових заходів конкурсів та фестивалів: «Ми Волиняни», «Ми діти твої Україно», «Танцювальна скарбничка», свято до Дня Миколая, Новорічні свята, звітні концерти колективів ПУМу. Всеукраїнський відкритий фото-</w:t>
            </w:r>
            <w:r>
              <w:rPr>
                <w:rFonts w:eastAsia="Times New Roman" w:cs="Times New Roman" w:ascii="Times New Roman" w:hAnsi="Times New Roman"/>
                <w:lang w:val="en-US" w:eastAsia="uk-UA" w:bidi="ar-SA"/>
              </w:rPr>
              <w:t>fest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. Всеукраїнські змагання з автомодельного спорту (трасові моделі)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Підвищення якості та доступності позашкільної освіти, охоплення позашкільною освітою якомога більшої кількості дітей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1.2. Організація виступів гуртківців ЗПО в ЗЗСО Луцької МТГ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Проведення дня відкритих дверей на площі перед ПУМом.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Проведення тижневого марафону виступів ЗПО на площі перед ПУМом</w:t>
            </w: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  <w:t>.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Презентація виставок творчих робіт гуртківців ПУМу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Проведення дня відкритих дверей на площі Центрального парку культури та відпочинку ім. Лесі Українки. Популяризація  надбань українського народного мистецтва, творів патріотичного змісту засобами концертно-просвітницької діяльності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Організація міжнародного співробітництва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Участь у Програмі транскордонного співробітництва для Жешува Івано-Франківська та Луцька.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Організація та проведення науково-практичних конференцій, семінарів-практикумів, виставок тощо.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Обмін делегаціями.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Удосконалення системи інформаційного забезпечення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позашкільної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Втілення кращого міжнародного досвіду в систему позашкільної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Розбудова мережі гуртків та студій в ЗПО, використання співпраці з ЗЗСО МТГ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3.1. Створення мережі гуртків ЗПО на базі ЗЗСО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Підвищення якості та доступності позашкільної освіти, охоплення позашкільною освітою якомога більшої кількості дітей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3.2. Відкриття мережі гуртків з авіамодельного спорту на базі ЦНТТУМ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3.3. Розширення репертуарного плану танцювальних колективів ПУМу з метою забезпечення творчого хореографічного супроводу вокальних та музичних номерів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позашкільної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Військово-патріотичне виховання молоді в ЗПО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4.1. Розширення мережі та сприяння  розвитку гуртків військово-патріотичного напрямку в ЗПО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Вільний розвиток особистості та формування її соціально-громадського досвіду.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Виховання у гуртківців, патріотизму, любові до України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4.2. Підвищення ефективності роботи патріотичного осередку в ПУМі, проведення масових заходів військово-патріотичного напряму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Комп’ютеризація освітнього середовища ЗПО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5.1. Придбання ноутбуків для потреб працівників ПУМу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позашкільної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Створення простору інформаційної комунікації, широке застосування інформаційно-комунікаційних технологій Якісне висвітлення  інформації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5.2. Створення прес-центру при ПУМі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5.3. Облаштування студії для створення відеороликів, музичних кліпів тощо в ПУМі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позашкільної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5.4. Розвиток туристичної принади «Луцька обсерваторія»</w:t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 умов для пошуку та підтримки талановитих і обдарованих дітей.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Організація та проведення масових заходів із учнями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 xml:space="preserve">Проведення </w:t>
            </w:r>
            <w:r>
              <w:rPr>
                <w:rFonts w:cs="Times New Roman" w:ascii="Times New Roman" w:hAnsi="Times New Roman"/>
              </w:rPr>
              <w:t>моніторингу потреб школярів і молоді у додатковій освіті з метою надання та наближення послуг до потреб дітей.</w:t>
            </w:r>
          </w:p>
          <w:p>
            <w:pPr>
              <w:pStyle w:val="Normal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Удосконалення роботи із обдарованими дітьми, забезпечення їх участі у обласних, всеукраїнських масових заходах.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 умов для збільшення варіативності напрямів роботи та збільшення кількості гуртків краєзнавчого, технічного, патріотичного та інформаційного напряму.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Проведення заходів із дітьми та молоддю за різними напрямами позашкільної освіти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Департамент освіти, керівники закладів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Задоволення потреб учнівської молоді в позашкільній освіті.</w:t>
            </w:r>
          </w:p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 xml:space="preserve"> </w:t>
            </w:r>
            <w:r>
              <w:rPr>
                <w:rFonts w:eastAsia="Droid Sans Fallback" w:cs="Times New Roman" w:ascii="Times New Roman" w:hAnsi="Times New Roman"/>
              </w:rPr>
              <w:t>Збільшення кількості дітей, охоплених позашкільною освітою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Упровадження інноваційних технологій організації освітнього процесу в систему позашкільної освіти.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Підвищення варіативності, якості і доступності сучасних позашкільних освітніх послуг (IT, лего, VR (віртуальна реальність),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дизайн-студії, медіа-школи, гуртки авіа робототехніки тощо)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Департамент освіти, керівники закладів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8.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Сприяння підвищенню рівня громадянської свідомості вихованців закладів позашкільної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Проводення гендерного аудиту освітніх послуг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Департамент освіти, керівники закладів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  <w:t>Розділ 4.   Створення інклюзивного та безбар`єрного освітнього середовища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  <w:t>Освіта дітей з особливими освітніми потребами, в тому числі з інвалідністю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1.1. Проведення комплексної оцінки розвитку дитини у КЗ «Інклюзивно-ресурсний центр» для </w:t>
            </w:r>
            <w:r>
              <w:rPr>
                <w:rFonts w:cs="Times New Roman" w:ascii="Times New Roman" w:hAnsi="Times New Roman"/>
                <w:shd w:fill="FFFFFF" w:val="clear"/>
                <w:lang w:eastAsia="uk-UA"/>
              </w:rPr>
              <w:t>забезпечення прав дітей з особливими освітніми потребами на здобуття дошкільної, загальної середньої, професійно-технічної освіти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освіти, ІРЦ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Проведення комплексної оцінки з метою визначення особливих освітніх потреб дитини, в тому числі коефіцієнта її інтелекту, розроблення рекомендацій щодо програми навчання, особливостей організації психолого-педагогічної допомоги відповідно до потенційних можливостей психофізичного розвитку дитини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1.2. Збільшення у м. Луцьку закладів дошкільної,  загальної середньої, професійно-технічної освіти з інклюзивною формою навчання та забезпечення належних умов для навчання дітей з особливими освітніми потребами, в тому числі з інвалідністю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навчання дітей з особливими освітніми потребами. Покращення матеріально-технічної, методичної та дидактичної бази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1.3. Охоплення дітей вказаної категорії різними формами навчання, позашкільною освітою, мистецькою освітою відповідно до стану здоров’я, їх можливостей та здібностей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Залучення дітей вказаної категорії в систему позашкільної та мистецької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1.4. Створення та оснащення сучасним обладнанням  ресурсних кімнат у закладах дошкільної,  загальної середньої та професійно-технічної освіти міста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lang w:eastAsia="uk-UA"/>
              </w:rPr>
            </w:pPr>
            <w:r>
              <w:rPr>
                <w:rFonts w:cs="Times New Roman" w:ascii="Times New Roman" w:hAnsi="Times New Roman"/>
                <w:lang w:eastAsia="uk-UA"/>
              </w:rPr>
              <w:t>Створення комфортного простору для соціалізації та адаптації дитини до освітнього процесу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1.5. Сприяння забезпеченню  закладів загальної середньої освіти з інклюзивною формою навчання спеціалістами з психологічною, дефектологічною освітою, спеціальних педагогів, реабілітологів відповідно до потреби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використання кадрового потенціалу спеціальних закладів освіти для розвитку інклюзивного навчання. З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апровадження механізму забезпечення закладів освіти фахівцями за спеціальністю 016 «Спеціальна освіта»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1.6. Координація взаємодії ІРЦ, НМК психологічної служби з управліннями охорони здоров’я, управліннями   соціального захисту населення, службами у справах дітей, громадськими організаціями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служби, ІРЦ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Здійснення комплексного підходу до вирішення проблем дітей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1.7. Співпраця КЗ «Інклюзивно-ресурсний центр Луцької міської ради» з управлінням соціальних служб для сім’ї, дітей та молоді Луцької міської ради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ІРЦ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Надання комплексної психолого-педагогічної допомоги родинам, які виховують дітей з інвалідністю та особливими освітніми потребами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1.8. Забезпечення системного кваліфікованого психолого-медико-педагогічного та методичного супроводу  організації освітнього та корекційно-реабілітаційного процесів для дітей з особливими освітніми потребами, в тому числі тих, які навчаються в закладах освіти  з інклюзивними групами/класами, їх сімей, педагогів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служби, ІРЦ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Покращення психофізичного стану, соціальної адаптації дітей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1.9. Проведення у закладах освіти профорієнтаційної роботи з метою створення можливості здобуття особами з інвалідністю професійно-технічної та вищої освіти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служби, центр зайнятості, заклади вищої та професійно-технічної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Створення можливостей для здобуття професії дітьми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1.10. Організація семінарів-практикумів, інтерактивних діалогів, тренінгів, майстер-класів, супервізій для педагогічних працівників, які працюють в системі інклюзивної освіти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служби, ІРЦ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Підвищення професійного рівня фахівців, які працюють з дітьми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1.11. Пріоритетне фінансування, навчально-методичне та матеріально-технічне забезпечення закладів, що надають освітні послуги дітям  з особливими освітніми потребами, забезпечення архітектурної, транспортної та інформаційної доступності таких закладів для цієї категорії осіб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Системне забезпечення доступності закладів освіти, створення безпечного безперешкодно-го доступу до освіти дітей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1.12. Організація інтерактивних діалогів для батьківської громадськості з вузькими спеціалістами в галузі інклюзивної освіти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Удосконалення</w:t>
            </w:r>
          </w:p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комунікаційної стратегії щодо інклюзивного навчання з урахуванням суспільного діалогу і широкого залучення громадськості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1.13.</w:t>
            </w:r>
            <w:r>
              <w:rPr>
                <w:rFonts w:eastAsia="Times New Roman" w:cs="Times New Roman" w:ascii="Times New Roman" w:hAnsi="Times New Roman"/>
                <w:color w:val="333333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Випуск інформаційно-ресурсного конструктора «Інклюзивні орієнтири» – платформи для працівників та закладів освіти з питань багатоманітності людини та інклюзивності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Підвищення обізнаності педагогів ЗЗСО щодо особливостей роботи, категорій освітніх труднощів та рівнів підтримки для дітей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1.14.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Наповнення статистичної бази даних про дітей з ООП (з розподілом за статтю і віковими групами), заклади та фахівців, які надають послуги дітям та їх сім’ям на всіх рівнях освіти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служби, ІРЦ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Формування сітки класів, учнів з інклюзивною формою навчання з урахуванням рівнів підтримки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pacing w:beforeAutospacing="1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1.15.Забезпечення здобувачів освіти підручниками, посібниками, навчальними та дидактичними матеріалами відповідно до їх потреб, зокрема надрукованими шрифтом Брайля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Здійснення  забезпечення навчально-методичної бази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1.16. Забезпечення взаємодії методистів ресурсних центрів підтримки інклюзивної освіти, педагогічних працівників ІРЦ із закладами освіти щодо організації інклюзивного навчання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НМК психологічної служби, ІРЦ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Створення спільного освітнього інформаційного простору з питань інклюзії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hd w:val="clear" w:color="auto" w:fill="FFFFFF"/>
              <w:suppressAutoHyphens w:val="false"/>
              <w:spacing w:beforeAutospacing="1" w:after="0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  <w:t>Діяльність навчально-реабілітаційного центру, співпраця із громадськими організаціями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2.1. Забезпечення належних умов для перебування дітей, організації освітньої, корекційно-розвиткової та лікувально-профілактичної роботи в  умовах навчально-реабілітаційного центру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</w:t>
            </w:r>
            <w:r>
              <w:rPr>
                <w:rFonts w:cs="Times New Roman" w:ascii="Times New Roman" w:hAnsi="Times New Roman"/>
              </w:rPr>
              <w:t>, НМК психологічної служби,  ІРЦ, НРЦ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Покращення психофізичного стану, соціальної адаптації дітей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2.2. Функціонування на базі навчально-реабілітаційного центру (договори про співпрацю ЗЗСО, ЗПО+ІРЦ+НРЦ)  постійно діючого ресурсного центру консультативної допомоги дітям з особливими освітніми потребами, їх батькам, педагогам ЗЗСО.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Координація взаємодії ІРЦ, НМК психологічної служби з управліннями охорони здоров’я, управліннями   соціального захисту населення, службами у справах дітей, громадськими організаціями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Департамент освіти, </w:t>
            </w:r>
            <w:r>
              <w:rPr>
                <w:rFonts w:cs="Times New Roman" w:ascii="Times New Roman" w:hAnsi="Times New Roman"/>
              </w:rPr>
              <w:t>НМК психологічної служби, ІРЦ, НРЦ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Фахова та методична допомога педагогам та батькам дітей з ООП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cs="Times New Roman" w:ascii="Times New Roman" w:hAnsi="Times New Roman"/>
                <w:bCs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95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Розділ 5. Кадрове забезпечення. Професійний розвиток педагогічних працівників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Розвиток кадрового потенціалу закладів та установ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1.1. Проведення моніторингу потреб закладів освіти в керівних та педагогічних кадрах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Забезпечення закладів освіти керівними та педагогічними кадрами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1.2. Сприяння педагогічним працівникам у проходженні сертифікації, запровадження педагогічної інтернатури та наставництва для педагогічних працівників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Підвищення професійної компетентності педпрацівників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1.3. Забезпечення проведення конкурсних відборів керівних кадрів закладів та установ освіти із залученням громадськості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Формування високопрофесійного складу керівників закладів та установ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1.4. Сприяння проходженню</w:t>
              <w:br/>
              <w:t>практики студентами</w:t>
              <w:br/>
              <w:t>педагогічних ЗВО у закладах</w:t>
              <w:br/>
              <w:t>освіти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Налагодження співпраці з ЗВО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1.5. Щорічне відзначення педагогічних працівників у номінаціях: «Успішний педагог», щорічна іменна премія міського голови, стипендія міського голови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779,3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Мотивація до творчої праці вчителя, підвищення рівня професійної компетентності, створення позитивного іміджу педагогічних працівників, матеріальне стимулювання фахової діяльності освітян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779,3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779,3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779,3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779,3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1.6. Забезпечення реалізації права педагогічних працівників на підвищення кваліфікації за різними формами, видами, напрямками, суб’єктами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Підвищення кваліфікації педагогічних працівників; задоволення професійних запитів та потреб педагогів, створення умов для безперервного фахового росту освітян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1.7. Здійснення контролю та вжиття заходів щодо виявлення та усунення конфлікту інтересів, а також виявлення та усунення сприятливих для вчинення корупційних правопорушень ризиків (призначення на роботу, преміювання тощо)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Реалізація Антикорупційної програми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3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35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Професійний розвиток педагогічних працівників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2.1. Упровадження інноваційної моделі професійного розвитку педагогічних працівників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Підвищення якості професійного розвитку педагогічних працівників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2.2. Сприяння участі колективів закладів та установ освіти у виставках «Творчі сходинки педагогів Луцької міської територіальної громади» та  «Творчі сходинки педагогів Волині»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ЦПРПП, ЗО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Обмін педагогічним досвідом, ознайомлення з новими тенденціями та програмами в галузі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2.3. Сприяння участі педагогічних працівників у фахових конкурсах, конференціях, проектах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ЦПРПП, ЗО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Підвищення рівня професійного розвитку педпрацівників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2.4. Сприяння участі педагогічних працівників у Всеукраїнському конкурсі «Учитель року»; інформаційно-консультативна підтримка педагогів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ЦПРПП, ЗО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2.5. Проведення та участь у тематичних семінарах, тренінгах, майстер-класах з питань організації освітнього процесу, впровадження перспективних освітніх підходів, технологій, методів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ЦПРПП, ЗО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Підвищення кваліфікації педагогічних працівників, розвиток їх професійної компетентності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2.6. Формування та оприлюднення баз даних програм підвищення кваліфікації педагогічних працівників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ЦПРПП, ЗО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Систематичне надання пропозицій педпрацівникам щодо підвищення кваліфікації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2.7. Налагодження співпраці з науковими установами України щодо здійснення інноваційної діяльності на базі закладів освіти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Удосконалення освітнього процесу, реалізація інноваційної діяльності на базі закладів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2.8. Сприяння реалізації засад  Нової української школи, упровадження Державних стандартів.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Забезпечення інформаційної, консультативної, методичної підтримки впровадження професійних стандартів (вчителя, керівника закладу освіти, психолога тощо)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Підготовка і підтримка компетентного педагога, створення умов для безперервного фахового розвитку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2.9. Створення сучасного освітнього Хабу на базі Будинку вчителя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Упровадження інноваційних технологій організації освітнього процесу в систему дошкільної, повної загальної середньої та позашкільної освіти громади. Сприяння підвищенню рівня патріотизму та громадянської свідомості мешканців громади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6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2.10. Видавництво інформаційно-методичного вісника «Освітні горизонти» та збірника «Творчі сходинки педагогів»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ЦПРПП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Поширення перспективного педагогічного досвіду, обмін творчими ініціативами, планування та координація роботи фахових спільнот.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3896,5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  <w:t>Розділ 6.  Формування виховного простору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cs="Times New Roman" w:ascii="Times New Roman" w:hAnsi="Times New Roman"/>
              </w:rPr>
              <w:t xml:space="preserve">Створення середовища з потужним виховним впливом на особистість, що </w:t>
            </w: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ґрунтується  на загальнолюдських та культурних  цінностях українського народу, цінностях громадянського (вільного  демократичного) суспільства, принципах  дотримання прав та свобод людини і громадянина, нормах, визначених</w:t>
            </w:r>
            <w:r>
              <w:rPr>
                <w:rFonts w:cs="Times New Roman" w:ascii="Times New Roman" w:hAnsi="Times New Roman"/>
                <w:shd w:fill="FFFFFF" w:val="clear"/>
              </w:rPr>
              <w:t> </w:t>
            </w:r>
            <w:hyperlink r:id="rId5">
              <w:r>
                <w:rPr>
                  <w:rStyle w:val="Style7"/>
                  <w:rFonts w:cs="Times New Roman" w:ascii="Times New Roman" w:hAnsi="Times New Roman"/>
                  <w:color w:val="000000"/>
                  <w:shd w:fill="FFFFFF" w:val="clear"/>
                </w:rPr>
                <w:t>Законом України «Про освіту»</w:t>
              </w:r>
            </w:hyperlink>
            <w:r>
              <w:rPr>
                <w:rFonts w:cs="Times New Roman" w:ascii="Times New Roman" w:hAnsi="Times New Roman"/>
              </w:rPr>
              <w:t>.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1.1. Проведення заходів, які спрямовані на формування життєвих компетентностей особистості, створення середовища успіху й життєтворчості та заборона будь-яких форм дискримінації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Використання інноваційних форм та методів виховання забезпечить якісний та системний вплив на формування активно свідомої позиції у поглядах здобувачів освіти, що базуватимуться на національних цінностях й переконаннях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1.2. Організація та проведення різнопланових заходів щодо утвердження людської гідності та доброчесності, зокрема академічної, через виховання чесності, відваги, наполегливості, милосердя, доброти, справедливості, поваги до прав людини.</w:t>
            </w:r>
          </w:p>
          <w:p>
            <w:pPr>
              <w:pStyle w:val="Normal"/>
              <w:ind w:firstLine="17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Упровадження курсів духовно-морального спрямування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1.3. Проведення конкурсів та фестивалів: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«Патріоти Волині»;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дитячого малюнка та фотографії «До дня Матері»;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«За нашу свободу»;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«Без сім’ї і свого роду – нема нації, народу»;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екскурсоводів музеїв закладів освіти;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«Молодь обирає здоров’я»;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творчих робіт «Моральний вчинок»;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 дитячих малюнків;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хореографічних колективів;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читців;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вокальних ансамблів;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колядок і щедрівок;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«Сонце України в наших руках»;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гумористів;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«Великодні писанки»;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«Військові обереги від Святого Миколая»;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екологічного напрямку;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 на написання есе «Війна за свій шлях»;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Фестиваль шкільних творчих колективів;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Новорічні заходи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350,0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1.4. Участь у міжнародних проєктах, акціях, спрямованих на роботу з молоддю, яка залучена до активної громадської діяльності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1.5. Заходи з формування лідерських навичок та свідомої громадянської позиції.</w:t>
            </w:r>
          </w:p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Модернізація шкільного самоврядування, урізноманітнення механізмів співпраці з батьками здобувачів освіти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1.6. Уведення в освітні програми закладів освіти факультативного курсу (спецкурсу)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луцькознавства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1.7. Проведення просвітницької роботи із дотримання  ПДР у школах, курсах водіїв та ін. із використання велотранспорту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Військово-патріотичне виховання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Реалізація системного підходу до військово-патріотичної підготовки учнівської молоді (військові вишколи, спартакіади, навчально-польові збори, таборування, перша медична допомога тощо)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Виховання патріотично свідомої учнівської молоді, підвищення престижу військової служби, сучасної професійної орієнтації здобувачів освіти.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Формування мотивації, спрямованої на підготовку до захисту Вітчизни та служби у Збройних силах України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Виховання патріотичної свідомості учнів. Створення умов для підвищення престижу військової служби, професійної орієнтації молоді, формування і розвитку мотивації, спрямованої на підготовку до захисту Вітчизни та служби в Збройних силах України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Організація придбання макетів стрілецької зброї, гранат тощо для забезпечення виконання програми предмета «Захист України».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Проведення: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навчально-методичних зборів із викладачами предмета «Захист України»;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pacing w:val="-8"/>
                <w:sz w:val="24"/>
              </w:rPr>
              <w:t>навчально-польових зборів для учнів відповідно до програми «Захист України»;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стрільби із автомата (малокаліберної гвинтівки) бойовими патронами під час навчально-польових зборів учнів;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заходів військово-патріотичного виховання до Дня Захисника України, Дня Збройних сил України;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Спартакіади допризовної молоді;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військово-патріотичної спортивної гри «Джура» («Сокіл»);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Козацького гарту;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Фестивалю «Нащадки козацької слави».</w:t>
            </w:r>
          </w:p>
          <w:p>
            <w:pPr>
              <w:pStyle w:val="14"/>
              <w:widowControl w:val="false"/>
              <w:tabs>
                <w:tab w:val="clear" w:pos="709"/>
                <w:tab w:val="left" w:pos="223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Проведення зустрічі із військовослужбовцями – учасниками бойових дій, ветеранами війни та військової служби, учасниками національно-визвольної боротьби українського народу, міжнародних миротворчих та рятувальних операцій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Департамент освіти, керівники закладів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Викладання предмета згідно з вимогами програмового матеріалу. Популяризація військової служби, відбір кандидатів для вступу до ВНЗ системи ЗСУ. Популяризація героїчних подвигів захисників України, жителів міста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23" w:leader="none"/>
              </w:tabs>
              <w:ind w:hanging="0" w:left="0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23" w:leader="none"/>
              </w:tabs>
              <w:ind w:hanging="0" w:left="0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23" w:leader="none"/>
              </w:tabs>
              <w:ind w:hanging="0" w:left="0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23" w:leader="none"/>
              </w:tabs>
              <w:ind w:hanging="0" w:left="0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 умов для викладання предмета «Захист України»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 у ліцеях та МРЦ осередків викладання предмета «Захист України»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Департамент освіти, керівники закладів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Формування первинних загально військових знань і спеціальних компетентностей щодо оборонної свідомості.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Ознайомлення громадян з місцем і роллю громадянина у зв’язку з усвідомленням свого конституційного обов’язку щодо захисту Вітчизни, незалежності та територіальної цілісності України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Національно-патріотичне виховання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5.1. Проведення заходів щодо формування в учнів почуття особистої гідності, усвідомлення національної ідентичності, подолання комплексів меншовартості, виховання шанобливого ставлення до народних традицій та звичаїв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Набуття учнями свідомої громадянської позиції, популяризація національних традицій, високих моральних якостей та духовних цінностей, </w:t>
            </w:r>
            <w:r>
              <w:rPr>
                <w:rFonts w:cs="Times New Roman" w:ascii="Times New Roman" w:hAnsi="Times New Roman"/>
              </w:rPr>
              <w:t>героїчних подвигів захисників та захисниць України, жителів міста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pacing w:val="-8"/>
                <w:sz w:val="24"/>
                <w:szCs w:val="24"/>
              </w:rPr>
              <w:t>5.2. Відзначення національних свят та пам’ятних дат, зокрема Дня Незалежності України, Дня Конституції України, Дня захисників та захисниць України, Дня пам’яті та перемоги над нацизмом у Другій світовій війні, Дня Української Державності, Дня Гідності і Свободи, Дня Збройних сил України, Дня Соборності України, Дня Героїв Небесної Сотні, Дня Державного Прапора України, Дня пам’яті Героїв Крут та інших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5.3. Реалізація проєктів та заходів з популяризації й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uk-UA"/>
              </w:rPr>
              <w:t>збереження національної культурної спадщини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України.</w:t>
            </w:r>
          </w:p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Проведення патріотично-краєзнавчих екскурсій для учасників освітнього процесу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5.4. Підтримка та розвиток учнівських ініціатив щодо реалізації проєктів культурно-мистецького, спортивного, національно-патріотичного спрямування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5.5. Популяризація волонтерства серед учнівської молоді з метою відродження доброчинних традицій, згуртування шкільного колективу, формування в учнів уміння працювати в команді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5.6. Осучаснення програми уроків національно-патріотичного виховання та суміжних предметів відповідно до сучасних геополітичних та мілітарних викликів, залучення до процесу ветеранів та волонтерів ЗСУ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4750,0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  <w:t>Розділ 7. Соціальний захист здобувачів освіти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ind w:right="-108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  <w:t xml:space="preserve">Збереження та </w:t>
            </w:r>
            <w:r>
              <w:rPr>
                <w:rFonts w:cs="Times New Roman" w:ascii="Times New Roman" w:hAnsi="Times New Roman"/>
                <w:shd w:fill="FFFFFF" w:val="clear"/>
              </w:rPr>
              <w:t>зміцнення психічного й соціального здоров’я, сприяння особистісному, інтелектуальному, фізичному і духовному розвитку учасників освітнього процесу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NewRomanPSMT" w:hAnsi="TimesNewRomanPSMT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1.1. Трансформація психологічної служби та формування культури піклування про ментальне здоров’я, надання послуг з</w:t>
            </w:r>
            <w:r>
              <w:rPr>
                <w:rFonts w:eastAsia="Times New Roman" w:cs="Times New Roman" w:ascii="Times New Roman" w:hAnsi="Times New Roman"/>
                <w:bCs/>
                <w:i/>
                <w:lang w:eastAsia="uk-UA" w:bidi="ar-SA"/>
              </w:rPr>
              <w:t xml:space="preserve"> </w:t>
            </w:r>
            <w:r>
              <w:rPr>
                <w:rStyle w:val="Emphasis"/>
                <w:rFonts w:cs="Times New Roman" w:ascii="Times New Roman" w:hAnsi="Times New Roman"/>
                <w:bCs/>
                <w:i w:val="false"/>
                <w:shd w:fill="FFFFFF" w:val="clear"/>
              </w:rPr>
              <w:t xml:space="preserve"> психосоціальної підтримки</w:t>
            </w:r>
            <w:r>
              <w:rPr>
                <w:rStyle w:val="Emphasis"/>
                <w:rFonts w:cs="Times New Roman" w:ascii="Times New Roman" w:hAnsi="Times New Roman"/>
                <w:bCs/>
                <w:shd w:fill="FFFFFF" w:val="clear"/>
              </w:rPr>
              <w:t xml:space="preserve"> </w:t>
            </w:r>
            <w:r>
              <w:rPr>
                <w:rStyle w:val="Emphasis"/>
                <w:rFonts w:cs="Times New Roman" w:ascii="Times New Roman" w:hAnsi="Times New Roman"/>
                <w:bCs/>
              </w:rPr>
              <w:t>(</w:t>
            </w: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ПЗПСП)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Департамент освіти, НМК психологічної служби,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Покращення </w:t>
            </w:r>
            <w:r>
              <w:rPr>
                <w:rFonts w:cs="Times New Roman" w:ascii="Times New Roman" w:hAnsi="Times New Roman"/>
                <w:shd w:fill="FFFFFF" w:val="clear"/>
              </w:rPr>
              <w:t xml:space="preserve">психічного та соціального здоров’я, </w:t>
            </w:r>
            <w:r>
              <w:rPr>
                <w:rFonts w:cs="Times New Roman" w:ascii="Times New Roman" w:hAnsi="Times New Roman"/>
              </w:rPr>
              <w:t xml:space="preserve">адаптації здобувачів освіти  </w:t>
            </w:r>
            <w:r>
              <w:rPr>
                <w:rFonts w:cs="Times New Roman" w:ascii="Times New Roman" w:hAnsi="Times New Roman"/>
                <w:shd w:fill="FFFFFF" w:val="clear"/>
              </w:rPr>
              <w:t>шляхом використання сучасних методів навчання й ефективних психолого-педагогічних технологій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1.2. Визначення стратегії, мети, завдань, планування діяльності психологічної служби та координація взаємодії учасників освітнього процесу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333333"/>
                <w:shd w:fill="FFFFFF" w:val="clear"/>
              </w:rPr>
            </w:pPr>
            <w:r>
              <w:rPr>
                <w:rFonts w:cs="Times New Roman" w:ascii="Times New Roman" w:hAnsi="Times New Roman"/>
                <w:color w:val="333333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1.3. Організація та проведення психолого-педагогічних заходів з метою усунення відхилень у психофізичному та інтелектуальному розвитку і поведінці здобувачів освіти, подолання різних форм девіантної поведінки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1.4. Консультативна допомога у вирішенні проблем щодо розвитку, виховання, навчання та формування психологічної і соціальної компетентності учасників освітнього процесу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Департамент освіти, НМК психологічної служби,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1.5. Попередження в освітньому середовищі небезпечних ситуацій, що негативно впливають на  здоров’я та розвиток дитини, виявлення фактів порушення прав здобувачів освіти, організація заходів щодо їх усунення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1.6. Здійснення соціального супроводу та захист прав учасників освітнього процесу, які опинилися у складних життєвих обставинах, перебувають у кризових ситуаціях (родини військовослужбовців, внутрішньо переміщені сім’ї та інші категорії)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Протидія та попередження булінгу (цькування) у закладах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2.1. Упровадження в освітній процес факультативних курсів, занять з елементами тренінгу щодо протидії та попередження булінгу (цькування) в учнівських колективах; зміцнення їх ментального здоров’я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Департамент освіти, НМК психологічної служби,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Покращення рівня соціальних умінь та навичок щодо ненасильницької поведінки, побудови здорового спілкування з однолітками. Уміння керувати емоціями, розвивати емпатію й співчуття, відстоювати себе й протистояти тиску інших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2.2. Проведення та аналіз щорічного  моніторингового дослідження «Життєві цінності старшокласників. Безпека освітнього середовища»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2.3. Налагодження співпраці з державними установами, громадськими та благодійними організаціями в напрямку збереження й зміцнення ментального здоров’я, запобігання домашнього насильства, булінгу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2.4. Упровадження відновних практик</w:t>
            </w:r>
            <w:r>
              <w:rPr>
                <w:rFonts w:cs="Times New Roman" w:ascii="Times New Roman" w:hAnsi="Times New Roman"/>
                <w:color w:val="1F1F1F"/>
                <w:shd w:fill="FFFFFF" w:val="clear"/>
              </w:rPr>
              <w:t xml:space="preserve"> щодо попередження та розв'язання конфліктів, </w:t>
            </w:r>
            <w:r>
              <w:rPr>
                <w:rFonts w:eastAsia="Times New Roman" w:cs="Times New Roman" w:ascii="Times New Roman" w:hAnsi="Times New Roman"/>
                <w:lang w:eastAsia="uk-UA" w:bidi="ar-SA"/>
              </w:rPr>
              <w:t>створення в закладах освіти Шкільних служб порозуміння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Удосконалення та оновлення системи профорієнтаційної роботи в закладах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3.1. Упровадження програм і спецкурсів профорієнтаційного спрямування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Департамент освіти, НМК психологічної служби,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Збільшення обсягу профорієнтаційних знань завдяки спілкуванню із представниками різних рівнів професійних груп. Уміння орієнтуватися в сучасному профорієнтаційному просторі, здійснювати пошук, критично оцінювати інформацію та оперувати нею, враховуючи алгоритм «хочу – можу  – потрібно»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3.2. Організація та проведення для дітей-сиріт, дітей, позбавлених батьківського піклування, дітей з ООП профорієнтаційних заходів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Підвищення рівня професійного розвитку фахівців  психологічних служб закладів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4.1. Організація та проведення першого етапу Всеукраїнського конкурсу авторських програм «Нові технології у новій школі»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Департамент освіти, НМК психологічної служби,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Підвищення фахового рівня, зростання психологічної та соціальної культури, розвиток творчого потенціалу, самоствердження фахівців психологічних служб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4.2. Проведення супервізій, тренінгів, семінарів соціально-психологічного спрямування для фахівців ПС із залученням тренерів Всеукраїнського рівня, викладачів закладів вищої освіти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70,0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належного рівня організації і проведення оздоровлення та відпочинку дітей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5.1. Забезпечення роботи дитячого закладу оздоровлення та відпочинку «Ровесник»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Департамент освіти,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Створення належних умов для організації якісного оздоровлення дітей пільгових категорій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5.2. Зміцнення матеріально-технічної бази дитячого закладу оздоровлення та відпочинку «Ровесник»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5.3. Організація роботи таборів із денним перебуванням у закладах освіти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4003,3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5147,1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5719,0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6005,0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6290,9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 xml:space="preserve">5.4. Співпраця з громадськими організаціями, благодійними фондами </w:t>
            </w:r>
            <w:r>
              <w:rPr>
                <w:rFonts w:cs="Times New Roman" w:ascii="Times New Roman" w:hAnsi="Times New Roman"/>
              </w:rPr>
              <w:t>щодо організації літнього оздоровлення та відпочинку дітей, які потребують особливої соціальної уваги та підтримки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Droid Sans Fallback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5.5. Проведення тендерної закупівлі путівок за кошти міського бюджету та обласного бюджету на оздоровлення дітей пільгових категорій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1100,0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1200,0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1300,0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1400,0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1500,0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6.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Організаційна робота щодо створення умов для забезпечення повноцінного, якісного та безпечного харчування дітей у закладах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6.1. Забезпечення харчуванням дітей пільгових категорій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uk-UA" w:bidi="ar-SA"/>
              </w:rPr>
              <w:t>Департамент освіти Луцької міської ради, заклади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 належних умов для організації та здійснення безпечного та якісного харчування здобувачів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color w:val="FF0000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color w:val="FF0000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6.2. Проведення інформаційно-роз’яснювальної роботи щодо формування культури здорового харчування дітей, дотримання режиму харчування, контролю за щоденним харчовим раціоном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6.3. Здійснення аналізу стану впровадження системи НАССР на харчоблоках закладів освіти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6.4. Організація роботи щодо створення умов для забезпечення повноцінного, якісного та безпечного харчування дітей у закладах освіти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  <w:t>6.5. Проведення заходів з модернізації харчоблоків у закладах освіти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shd w:fill="FFFFFF" w:val="clear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b/>
                <w:bCs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34615,3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Розділ 8.  Організація і проведення фізкультурно-оздоровчих занять, ігор, змагань серед здобувачів освіти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1.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Створення належних умов, сприятливих для збереження та зміцнення фізичного здоров’я здобувачів освіти засобами фізичної культури та спорту.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Популяризація видів спорту. Покращення фізичного розвитку учнівської молоді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left="0"/>
              <w:rPr>
                <w:sz w:val="24"/>
              </w:rPr>
            </w:pPr>
            <w:r>
              <w:rPr>
                <w:sz w:val="24"/>
              </w:rPr>
              <w:t>Забезпечення функціонування у закладах освіти міста спеціальних медичних груп для занять  фізичною культурою (за результатами щорічного поглибленого медичного огляду школярів), уроків з лікувальної фізичної культури.</w:t>
            </w:r>
          </w:p>
          <w:p>
            <w:pPr>
              <w:pStyle w:val="14"/>
              <w:widowControl w:val="false"/>
              <w:tabs>
                <w:tab w:val="clear" w:pos="709"/>
                <w:tab w:val="left" w:pos="-107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Проведення динамічного медичного спостереження за дітьми та підлітками під час занять з фізичною культурою та спортом.</w:t>
            </w:r>
          </w:p>
          <w:p>
            <w:pPr>
              <w:pStyle w:val="14"/>
              <w:widowControl w:val="false"/>
              <w:ind w:left="0"/>
              <w:rPr>
                <w:sz w:val="24"/>
              </w:rPr>
            </w:pPr>
            <w:r>
              <w:rPr>
                <w:sz w:val="24"/>
              </w:rPr>
              <w:t>Забезпечення пропаганди здорового способу життя серед учнів, батьків та учителів через проведення спортивно-масових заходів у закладах освіти.</w:t>
            </w:r>
          </w:p>
          <w:p>
            <w:pPr>
              <w:pStyle w:val="14"/>
              <w:widowControl w:val="false"/>
              <w:tabs>
                <w:tab w:val="clear" w:pos="709"/>
                <w:tab w:val="left" w:pos="-107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Проведення змагань серед команд учнів закладів освіти міста.</w:t>
            </w:r>
          </w:p>
          <w:p>
            <w:pPr>
              <w:pStyle w:val="14"/>
              <w:widowControl w:val="false"/>
              <w:ind w:left="0"/>
              <w:rPr>
                <w:sz w:val="24"/>
              </w:rPr>
            </w:pPr>
            <w:r>
              <w:rPr>
                <w:sz w:val="24"/>
              </w:rPr>
              <w:t>Забезпечення участі закладів освіти міста у спортивно-масових заходах, які проводяться управлінням освіти і науки Волинської ОДА, департаментом сім’ї, молоді та спорту.</w:t>
            </w:r>
          </w:p>
          <w:p>
            <w:pPr>
              <w:pStyle w:val="14"/>
              <w:widowControl w:val="false"/>
              <w:tabs>
                <w:tab w:val="clear" w:pos="709"/>
                <w:tab w:val="left" w:pos="-107" w:leader="none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Участь збірних команд громади у обласних, Всеукраїнських та міжнародних спортивно-масових заходах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Департамент освіти, керівники закладів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Масове залучення учнівської молоді до занять фізичною культурою та спортом.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Покращення фізичного розвитку та здоров’я школярів.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Виховання морально-вольових якостей.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Формування навичок командної роботи</w:t>
            </w:r>
            <w:bookmarkStart w:id="3" w:name="_GoBack2"/>
            <w:bookmarkEnd w:id="3"/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-10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Розвиток якісної інфраструктури фізичної культури та спорту серед мешканців різних вікових категорій, соціальних груп та територій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-10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Розширення співпраці ЗЗСО та ДЮСШ із федераціями із видів спорту, спортивними клубами, профільними ЗВО.</w:t>
            </w:r>
          </w:p>
          <w:p>
            <w:pPr>
              <w:pStyle w:val="Normal"/>
              <w:tabs>
                <w:tab w:val="clear" w:pos="709"/>
                <w:tab w:val="left" w:pos="-107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Підвищення ефективності використання спортивної інфраструктури закладів освіти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Droid Sans Fallback" w:cs="Times New Roman" w:ascii="Times New Roman" w:hAnsi="Times New Roman"/>
              </w:rPr>
              <w:t>Департамент освіти, керівники закладів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Пропаганда видів спорту та залучення учнів до систематичних занять у спортивних секціях ДЮСШ та інших спортивних організаціях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7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both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06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hd w:fill="FFFFFF" w:val="clear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widowControl w:val="false"/>
              <w:ind w:firstLine="467" w:left="-107"/>
              <w:jc w:val="both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2900,0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Розділ 9. Організація безпечного освітнього середовища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64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 безпечного освітнього середовища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Проведення: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Тижня безпеки життєдіяльності;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Місячника безпеки життєдіяльності;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Конкурсу до Дня охорони праці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ЗЗСО, ЗДО, ЗПО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Формування у здобувачів освіти свідомого ставлення до свого життя і здоров’я, оволодіння основами здорового способу життя, життєвими навичками безпечної для життя і здоров’я поведінки у повсякденному житті та при виникненні надзвичайних ситуацій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92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0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04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04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безпечного ведення робіт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Навчання з питань охорони праці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ЗЗСО, ЗДО, ЗПО,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72,0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184,0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73,6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260,0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Створення умов для забезпечення пожежної безпеки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Влаштування пожежної сигналізації в закладах освіти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Департамент освіти, ЗЗСО, ЗДО, ЗПО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2000,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2500,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2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3000,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2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3500,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2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5000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Організація та здійснення заходів цивільного захисту, пов’язаних із запобіганням і реагуванням на надзвичайні ситуації техногенного, природного, соціального, воєнного характеру та захисту від їх факторів ураження учасників освітнього процесу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Функціональне навчання відповідальних осіб у сфері цивільного захисту.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Проведення навчання та тренування учасників освітнього процесу.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Функціонування методичних кабінетів цивільного захисту (ЗДО № 31, ЗЗСО № 9)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навчально-методичний центр ЦЗ та БЖ Волинської області, директори закладів та установ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Готовність об’єктових формувань для проведення допоміжних робіт із запобігання або ліквідації наслідків НС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Здійснення заходів щодо укриття працівників та учасників освітнього процесу закладів та установ освіти у захисних спорудах цивільного захисту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5.1. Покращення технічного стану захисних споруд цивільного захисту об'єктів комунальної форми власності.</w:t>
            </w:r>
          </w:p>
          <w:p>
            <w:pPr>
              <w:pStyle w:val="Normal"/>
              <w:tabs>
                <w:tab w:val="clear" w:pos="709"/>
                <w:tab w:val="left" w:pos="6954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Облаштування найпростіших укриттів (подвійного призначення) в ЗДО № 8, 15, 49, ЗЗСО №№ 29, 35, 39.</w:t>
            </w:r>
          </w:p>
          <w:p>
            <w:pPr>
              <w:pStyle w:val="Normal"/>
              <w:tabs>
                <w:tab w:val="clear" w:pos="709"/>
                <w:tab w:val="left" w:pos="6954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Здійснення заходів цивільного захисту у закладах та установах галузі.</w:t>
            </w:r>
          </w:p>
          <w:p>
            <w:pPr>
              <w:pStyle w:val="Normal"/>
              <w:tabs>
                <w:tab w:val="clear" w:pos="709"/>
                <w:tab w:val="left" w:pos="6954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Створення, раціональне збереження і використання резерву матеріальних ресурсів, необхідних для запобігання і реагування на надзвичайні ситуації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відділ з питань надзвичайних ситуацій та цивільного захисту населення, директори закладів та установ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Готовність захисних споруд до використання за призначенням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560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5.2. Створення класів безпеки на базі: ЗЗСО №№ 18, 25</w:t>
            </w:r>
          </w:p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ЗЗСО №№ 23, 31</w:t>
            </w:r>
          </w:p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ЗЗСО №№ 2, 14</w:t>
            </w:r>
          </w:p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ЗЗСО №№ 32, 15</w:t>
            </w:r>
          </w:p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ЗЗСО №№ 28, 9</w:t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9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9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9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89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6954" w:leader="none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роботи Пунктів Незламності та Пунктів обігріву на базах укриттів закладів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Створення, раціональне збереження і використання резерву матеріальних ресурсів, необхідних для функціонування Пунктів на випадок «блекауту»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відділ з питань надзвичайних ситуацій та цивільного захисту населення, структурні підрозділи ЛМР, директори закладів та установ освіти.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Готовність Пунктів Незламності та обігріву забезпечити населення м. Луцька мінімальними необхідними ресурсами на випадок «блекауту» (обігрів, гарячий чай, заряджання гаджетів)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29349,6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 xml:space="preserve">Розділ 10. Професійно-технічна </w:t>
            </w:r>
            <w:r>
              <w:rPr>
                <w:rFonts w:cs="Times New Roman" w:ascii="Times New Roman" w:hAnsi="Times New Roman"/>
                <w:b/>
              </w:rPr>
              <w:t xml:space="preserve">та вища </w:t>
            </w:r>
            <w:r>
              <w:rPr>
                <w:rFonts w:cs="Times New Roman" w:ascii="Times New Roman" w:hAnsi="Times New Roman"/>
                <w:b/>
              </w:rPr>
              <w:t>освіта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Організація роботи закладів професійно-технічної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Розширення переліку надання освітніх послуг ЗПТО з питань підготовки, перепідготовки та підвищення кваліфікації фахівців відповідно до ринку праці.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Організація стажування педагогічних працівників на базах створених НПЦ ЗПТО та підприємств, які використовують прогресивні технології.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Формування регіонального замовлення на підготовку робітничих спеціальностей.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Розширювати співпрацю ЗЗСО та ЗПТО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Директори закладів освіти, департамент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3000,0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Підвищення рівня та якості надання освітніх послуг, збільшення надходжень до спеціального фонду бюджету.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Зростання педагогічної майстерності педагогічних працівників.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Покращення навчально-матеріальної бази ЗПТО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3000,0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3000,0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3000,0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900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3000,0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Розвиток професійно-технічної освіти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Залучення інвестиційних фондів, грантів, можливостей міжнародних проєктів, коштів соціальних проєктів для оновлення матеріально-технічних баз закладів ПТО.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Участь у співфінансуванні створення навчально-практичних центрів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Луцька міська рада, директори закладів освіти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6000,0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Удосконалення навчально-матеріальних баз.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Підвищення інтересу абітурієнтів до вступу у заклади.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Покращення рівня підготовки за спеціальностями учнів / студентів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cs="Times New Roman" w:ascii="Times New Roman" w:hAnsi="Times New Roman"/>
                <w:color w:val="FF0000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2125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Розвиток науково-освітньої інфраструктури та партнерство із закладами вищої освіти у сфері науки та інновацій</w:t>
            </w:r>
          </w:p>
        </w:tc>
        <w:tc>
          <w:tcPr>
            <w:tcW w:w="469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Розширення партнерства з закладами вищої освіти щодо впровадження інноваційних форм популяризації науки і техніки, розвитку STEM-освіти та створення інтерактивних науково-освітніх просторів, у тому числі у міському публічному середовищі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освіти,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департамент економічної політики, вищі навчальні заклади</w:t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2025</w:t>
            </w:r>
          </w:p>
        </w:tc>
        <w:tc>
          <w:tcPr>
            <w:tcW w:w="14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HTMLPreformatted"/>
              <w:suppressAutoHyphens w:val="true"/>
              <w:ind w:hanging="0" w:left="0"/>
              <w:jc w:val="both"/>
              <w:rPr/>
            </w:pPr>
            <w:r>
              <w:rPr>
                <w:rStyle w:val="apple-style-span"/>
                <w:rFonts w:eastAsia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eastAsia="zh-CN"/>
              </w:rPr>
              <w:t>П</w:t>
            </w:r>
            <w:r>
              <w:rPr>
                <w:rStyle w:val="apple-style-span"/>
                <w:rFonts w:eastAsia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FFFFFF" w:val="clear"/>
                <w:lang w:val="uk-UA" w:eastAsia="zh-CN"/>
              </w:rPr>
              <w:t>роведення р</w:t>
            </w:r>
            <w:r>
              <w:rPr>
                <w:rStyle w:val="apple-style-span"/>
                <w:rFonts w:eastAsia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eastAsia="zh-CN"/>
              </w:rPr>
              <w:t>еставрації</w:t>
            </w:r>
            <w:r>
              <w:rPr>
                <w:rStyle w:val="apple-style-span"/>
                <w:rFonts w:eastAsia="Times New Roman" w:ascii="Times New Roman" w:hAnsi="Times New Roman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eastAsia="zh-CN"/>
              </w:rPr>
              <w:t xml:space="preserve"> Будинку офіцерів з пристосуванням під інтерактивний простір освіти і науки «Музей науки» на вул.Винниченка, 8 у м. Луцьку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2026</w:t>
            </w:r>
          </w:p>
        </w:tc>
        <w:tc>
          <w:tcPr>
            <w:tcW w:w="14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20 000,0</w:t>
            </w:r>
          </w:p>
        </w:tc>
        <w:tc>
          <w:tcPr>
            <w:tcW w:w="19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2027</w:t>
            </w:r>
          </w:p>
        </w:tc>
        <w:tc>
          <w:tcPr>
            <w:tcW w:w="14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2028</w:t>
            </w:r>
          </w:p>
        </w:tc>
        <w:tc>
          <w:tcPr>
            <w:tcW w:w="14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469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27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lang w:eastAsia="uk-UA" w:bidi="ar-SA"/>
              </w:rPr>
              <w:t>2029</w:t>
            </w:r>
          </w:p>
        </w:tc>
        <w:tc>
          <w:tcPr>
            <w:tcW w:w="14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06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false"/>
              <w:rPr>
                <w:rFonts w:ascii="Times New Roman" w:hAnsi="Times New Roman" w:eastAsia="Times New Roman" w:cs="Times New Roman"/>
                <w:lang w:eastAsia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uk-UA" w:bidi="ar-SA"/>
              </w:rPr>
              <w:t>Усього по розділу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47 000,0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1585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Розділ 11. Ремонтні роботи, підвезення здобувачів освіти, впровадження заходів з енергозбереження.</w:t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Ремонтні роботи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1.1. Добудова загальноосвітньої школи          І-ІІІ ступенів № 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закладів, управління капітального будівництва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ПРООН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155 200,0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38 800,0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Переведення закладу на однозмінне навчання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1.2. Добудова спортивної зали ЗЗСО №№ 27, 28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закладів, управління капітального будівництва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занять учнів  фізичною культурою та спортом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35 000,0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35 000,0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35 000,0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35 000,0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1.3. Капітальні ремонти та модернізація інженерних мереж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закладів, управління капітального будівництва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Покращення технічного стану мереж.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Виконання енергоефектив-них заходів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1.4. Капітальний ремонт елементів благоустрою (заміна твердого покриття на бруківку)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закладів, управління капітального будівництва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Благоустрій закладів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1.5. Заміна шатрових дахів ЗЗСО №№ 5, 7.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Утеплення фасадів ЗЗСО №№ 5, 7</w:t>
            </w:r>
          </w:p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закладів, управління капітального будівництва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Виконання енергоефективних заходів. Економія бюджетних коштів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1.6. Реконструкція ЗЗСО № 32 на вул. Володимирській, 47 в с. Забороль Луцького району Волинської області (коригування)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закладів, управління капітального будівництва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160 200,0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40 000,0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Підвезення здобувачів освіти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2.1. Закупівля шкільного автобуса для ЗЗСО № 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 закладу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2000,0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Забезпечення територіальної доступності повної загальної середньої освіти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2.2. Закупівля шкільного автобуса для ЗЗСО № 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 закладу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2250,0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2.3. Закупівля шкільного автобуса для ЗЗСО № 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 закладу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2500,0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2.4. Закупівля шкільного автобуса для ЗЗСО № 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 закладу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2750,0</w:t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2750,0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21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Упровадження заходів з енергозбереження</w:t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3.1. Упровадження системи енергоменеджменту в закладах освіти.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Здійснення моніторингу споживання енергоносіїв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Економія бюджетних коштів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3.2. Упровадження заходів з енергозбереження в закладах освіти: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1) утеплення зовнішніх стін та цоколя;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2) заміна вікон та дверей на нові, що відповідають нормативному опору теплопередачі;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3) утеплення даху (суміщеного плоского або горищного перекриття);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4) встановлення ІТП;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5) реконструкція системи опалення (двотрубна система, нові радіатори);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6) встановлення балансувальних клапанів та терморегуляторів;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7) встановлення рекуператорів;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8) упровадження енергоефективних систем внутрішнього та зовнішнього освітлення;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9) заміна старих газових котлів на нові з кращим ККД;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10) встановлення системи автоматичного регулювання теплового потоку на існуючих газових котельнях;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11) заміщення газових котлів на твердопаливні для переходу на відновлювальні типи палива;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12) упровадження системи віддаленого управління та контролю (аналізу) енергоспоживання в будівлях закладів освіти;</w:t>
            </w:r>
          </w:p>
          <w:p>
            <w:pPr>
              <w:pStyle w:val="Normal"/>
              <w:suppressAutoHyphens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13) популяризація енергоощадності через інформаційно-просвітницькі кампанії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Департамент освіти, керівники закладів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2025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2026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2027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2028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25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469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2029</w:t>
            </w:r>
          </w:p>
        </w:tc>
        <w:tc>
          <w:tcPr>
            <w:tcW w:w="1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10 000,0</w:t>
            </w:r>
          </w:p>
        </w:tc>
        <w:tc>
          <w:tcPr>
            <w:tcW w:w="19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AutoHyphens w:val="false"/>
              <w:spacing w:lineRule="auto" w:line="276" w:before="0" w:after="20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9" w:hRule="atLeast"/>
        </w:trPr>
        <w:tc>
          <w:tcPr>
            <w:tcW w:w="7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Всього за роками та джерелами фінансування, тис. грн: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Інші джерела</w:t>
            </w:r>
          </w:p>
        </w:tc>
        <w:tc>
          <w:tcPr>
            <w:tcW w:w="2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Державний бюджет</w:t>
            </w:r>
          </w:p>
        </w:tc>
        <w:tc>
          <w:tcPr>
            <w:tcW w:w="25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Бюджет громади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2025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155 200,00</w:t>
            </w:r>
          </w:p>
        </w:tc>
        <w:tc>
          <w:tcPr>
            <w:tcW w:w="2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160 200,0</w:t>
            </w:r>
          </w:p>
        </w:tc>
        <w:tc>
          <w:tcPr>
            <w:tcW w:w="25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119 841,6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2026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2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37 000,0</w:t>
            </w:r>
          </w:p>
        </w:tc>
        <w:tc>
          <w:tcPr>
            <w:tcW w:w="25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133 333,4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77" w:hRule="atLeast"/>
        </w:trPr>
        <w:tc>
          <w:tcPr>
            <w:tcW w:w="7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2027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2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37 250,0</w:t>
            </w:r>
          </w:p>
        </w:tc>
        <w:tc>
          <w:tcPr>
            <w:tcW w:w="25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98 804,3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2028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2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37 500,0</w:t>
            </w:r>
          </w:p>
        </w:tc>
        <w:tc>
          <w:tcPr>
            <w:tcW w:w="25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75 019,9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53" w:hRule="atLeast"/>
        </w:trPr>
        <w:tc>
          <w:tcPr>
            <w:tcW w:w="75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2029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</w:r>
          </w:p>
        </w:tc>
        <w:tc>
          <w:tcPr>
            <w:tcW w:w="26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37 750,0</w:t>
            </w:r>
          </w:p>
        </w:tc>
        <w:tc>
          <w:tcPr>
            <w:tcW w:w="25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77 602,2</w:t>
            </w:r>
          </w:p>
        </w:tc>
        <w:tc>
          <w:tcPr>
            <w:tcW w:w="12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widowControl/>
        <w:ind w:hanging="567" w:left="567"/>
        <w:jc w:val="righ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</w:rPr>
        <w:t>Смаль 777 955</w:t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type w:val="nextPage"/>
      <w:pgSz w:orient="landscape" w:w="16838" w:h="11906"/>
      <w:pgMar w:left="567" w:right="567" w:gutter="0" w:header="0" w:top="198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  <w:font w:name="Microsoft Sans Serif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swiss"/>
    <w:pitch w:val="variable"/>
  </w:font>
  <w:font w:name="TimesNewRomanPSMT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62109885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3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  <w:p>
        <w:pPr>
          <w:pStyle w:val="Header"/>
          <w:rPr/>
        </w:pPr>
        <w:r>
          <w:rPr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722221719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45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722221719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45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"/>
    <w:lvlOverride w:ilvl="0">
      <w:startOverride w:val="1"/>
    </w:lvlOverride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a51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21"/>
    <w:uiPriority w:val="99"/>
    <w:qFormat/>
    <w:rsid w:val="00956f98"/>
    <w:pPr>
      <w:keepNext w:val="true"/>
      <w:widowControl/>
      <w:suppressAutoHyphens w:val="false"/>
      <w:spacing w:before="240" w:after="60"/>
      <w:outlineLvl w:val="1"/>
    </w:pPr>
    <w:rPr>
      <w:rFonts w:ascii="Arial" w:hAnsi="Arial" w:eastAsia="Times New Roman"/>
      <w:b/>
      <w:bCs/>
      <w:i/>
      <w:iCs/>
      <w:sz w:val="28"/>
      <w:szCs w:val="28"/>
      <w:lang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№1_"/>
    <w:qFormat/>
    <w:rsid w:val="001e13fb"/>
    <w:rPr>
      <w:rFonts w:ascii="Times New Roman" w:hAnsi="Times New Roman" w:cs="Times New Roman"/>
      <w:b/>
      <w:bCs/>
      <w:sz w:val="48"/>
      <w:szCs w:val="48"/>
      <w:u w:val="none"/>
    </w:rPr>
  </w:style>
  <w:style w:type="character" w:styleId="6" w:customStyle="1">
    <w:name w:val="Основной текст (6)"/>
    <w:qFormat/>
    <w:rsid w:val="001e13fb"/>
    <w:rPr>
      <w:rFonts w:ascii="Times New Roman" w:hAnsi="Times New Roman" w:cs="Times New Roman"/>
      <w:sz w:val="36"/>
      <w:szCs w:val="36"/>
      <w:u w:val="none"/>
    </w:rPr>
  </w:style>
  <w:style w:type="character" w:styleId="Style12" w:customStyle="1">
    <w:name w:val="Підпис до таблиці_"/>
    <w:qFormat/>
    <w:locked/>
    <w:rsid w:val="00155d13"/>
    <w:rPr>
      <w:shd w:fill="FFFFFF" w:val="clear"/>
    </w:rPr>
  </w:style>
  <w:style w:type="character" w:styleId="2" w:customStyle="1">
    <w:name w:val="Основний текст (2)"/>
    <w:basedOn w:val="DefaultParagraphFont"/>
    <w:uiPriority w:val="99"/>
    <w:qFormat/>
    <w:rsid w:val="00155d13"/>
    <w:rPr>
      <w:lang w:bidi="ar-SA"/>
    </w:rPr>
  </w:style>
  <w:style w:type="character" w:styleId="Style13" w:customStyle="1">
    <w:name w:val="Текст у виносці Знак"/>
    <w:basedOn w:val="DefaultParagraphFont"/>
    <w:uiPriority w:val="99"/>
    <w:semiHidden/>
    <w:qFormat/>
    <w:rsid w:val="002f2480"/>
    <w:rPr>
      <w:rFonts w:ascii="Tahoma" w:hAnsi="Tahoma" w:eastAsia="NSimSun" w:cs="Mangal"/>
      <w:sz w:val="16"/>
      <w:szCs w:val="14"/>
      <w:lang w:val="uk-UA" w:eastAsia="zh-CN" w:bidi="hi-IN"/>
    </w:rPr>
  </w:style>
  <w:style w:type="character" w:styleId="Style14" w:customStyle="1">
    <w:name w:val="Основний текст Знак"/>
    <w:basedOn w:val="DefaultParagraphFont"/>
    <w:qFormat/>
    <w:rsid w:val="00fa2ce9"/>
    <w:rPr>
      <w:rFonts w:ascii="Microsoft Sans Serif" w:hAnsi="Microsoft Sans Serif" w:eastAsia="Microsoft Sans Serif" w:cs="Microsoft Sans Serif"/>
      <w:lang w:val="uk-UA"/>
    </w:rPr>
  </w:style>
  <w:style w:type="character" w:styleId="21" w:customStyle="1">
    <w:name w:val="Заголовок 2 Знак"/>
    <w:basedOn w:val="DefaultParagraphFont"/>
    <w:uiPriority w:val="99"/>
    <w:qFormat/>
    <w:rsid w:val="00956f98"/>
    <w:rPr>
      <w:rFonts w:ascii="Arial" w:hAnsi="Arial" w:eastAsia="Times New Roman" w:cs="Arial"/>
      <w:b/>
      <w:bCs/>
      <w:i/>
      <w:iCs/>
      <w:sz w:val="28"/>
      <w:szCs w:val="28"/>
      <w:lang w:val="uk-UA" w:eastAsia="ru-RU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1c3bcb"/>
    <w:rPr>
      <w:rFonts w:ascii="Liberation Serif" w:hAnsi="Liberation Serif" w:eastAsia="NSimSun" w:cs="Mangal"/>
      <w:sz w:val="24"/>
      <w:szCs w:val="21"/>
      <w:lang w:val="uk-UA" w:eastAsia="zh-CN" w:bidi="hi-IN"/>
    </w:rPr>
  </w:style>
  <w:style w:type="character" w:styleId="Style16" w:customStyle="1">
    <w:name w:val="Нижній колонтитул Знак"/>
    <w:basedOn w:val="DefaultParagraphFont"/>
    <w:uiPriority w:val="99"/>
    <w:qFormat/>
    <w:rsid w:val="001c3bcb"/>
    <w:rPr>
      <w:rFonts w:ascii="Liberation Serif" w:hAnsi="Liberation Serif" w:eastAsia="NSimSun" w:cs="Mangal"/>
      <w:sz w:val="24"/>
      <w:szCs w:val="21"/>
      <w:lang w:val="uk-UA" w:eastAsia="zh-CN" w:bidi="hi-IN"/>
    </w:rPr>
  </w:style>
  <w:style w:type="character" w:styleId="apple-style-span" w:customStyle="1">
    <w:name w:val="apple-style-span"/>
    <w:basedOn w:val="DefaultParagraphFont"/>
    <w:qFormat/>
    <w:rPr/>
  </w:style>
  <w:style w:type="character" w:styleId="field-content" w:customStyle="1">
    <w:name w:val="field-content"/>
    <w:qFormat/>
    <w:rPr/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fa2ce9"/>
    <w:pPr/>
    <w:rPr>
      <w:rFonts w:ascii="Microsoft Sans Serif" w:hAnsi="Microsoft Sans Serif" w:eastAsia="Microsoft Sans Serif" w:cs="Microsoft Sans Serif"/>
      <w:sz w:val="22"/>
      <w:szCs w:val="22"/>
      <w:lang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12" w:customStyle="1">
    <w:name w:val="Заголовок №1"/>
    <w:basedOn w:val="Normal"/>
    <w:qFormat/>
    <w:rsid w:val="001e13fb"/>
    <w:pPr>
      <w:shd w:val="clear" w:color="auto" w:fill="FFFFFF"/>
      <w:spacing w:lineRule="exact" w:line="1190"/>
      <w:jc w:val="center"/>
    </w:pPr>
    <w:rPr>
      <w:b/>
      <w:bCs/>
      <w:sz w:val="48"/>
      <w:szCs w:val="48"/>
    </w:rPr>
  </w:style>
  <w:style w:type="paragraph" w:styleId="13" w:customStyle="1">
    <w:name w:val="Підпис до таблиці1"/>
    <w:basedOn w:val="Normal"/>
    <w:qFormat/>
    <w:rsid w:val="00155d13"/>
    <w:pPr>
      <w:shd w:val="clear" w:color="auto" w:fill="FFFFFF"/>
      <w:suppressAutoHyphens w:val="false"/>
      <w:spacing w:lineRule="atLeast" w:line="240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572ca6"/>
    <w:pPr>
      <w:spacing w:before="0" w:after="0"/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uiPriority w:val="99"/>
    <w:semiHidden/>
    <w:unhideWhenUsed/>
    <w:qFormat/>
    <w:rsid w:val="002f2480"/>
    <w:pPr/>
    <w:rPr>
      <w:rFonts w:ascii="Tahoma" w:hAnsi="Tahoma" w:cs="Mangal"/>
      <w:sz w:val="16"/>
      <w:szCs w:val="14"/>
    </w:rPr>
  </w:style>
  <w:style w:type="paragraph" w:styleId="Default" w:customStyle="1">
    <w:name w:val="Default"/>
    <w:qFormat/>
    <w:rsid w:val="009b35f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ru-RU" w:bidi="ar-SA"/>
    </w:rPr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1c3bcb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1c3bcb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paragraph" w:styleId="TableParagraph" w:customStyle="1">
    <w:name w:val="Table Paragraph"/>
    <w:basedOn w:val="Normal"/>
    <w:qFormat/>
    <w:pPr/>
    <w:rPr>
      <w:rFonts w:ascii="Calibri" w:hAnsi="Calibri" w:eastAsia="Calibri" w:cs="Calibri"/>
      <w:sz w:val="22"/>
      <w:szCs w:val="22"/>
      <w:lang w:eastAsia="en-US" w:bidi="ar-SA"/>
    </w:rPr>
  </w:style>
  <w:style w:type="paragraph" w:styleId="14" w:customStyle="1">
    <w:name w:val="Абзац списка1"/>
    <w:basedOn w:val="Normal"/>
    <w:qFormat/>
    <w:pPr>
      <w:widowControl/>
      <w:suppressAutoHyphens w:val="false"/>
      <w:spacing w:before="0" w:after="0"/>
      <w:ind w:left="720"/>
      <w:contextualSpacing/>
    </w:pPr>
    <w:rPr>
      <w:rFonts w:ascii="Times New Roman" w:hAnsi="Times New Roman" w:eastAsia="Times New Roman" w:cs="Times New Roman"/>
      <w:bCs/>
      <w:kern w:val="2"/>
      <w:sz w:val="28"/>
      <w:lang w:eastAsia="ru-RU" w:bidi="ar-SA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  <w:spacing w:lineRule="auto" w:line="240" w:before="0" w:after="0"/>
    </w:pPr>
    <w:rPr>
      <w:rFonts w:ascii="Courier New" w:hAnsi="Courier New" w:eastAsia="Times New Roman" w:cs="Times New Roman"/>
      <w:sz w:val="20"/>
      <w:szCs w:val="20"/>
      <w:lang w:eastAsia="zh-CN"/>
    </w:rPr>
  </w:style>
  <w:style w:type="paragraph" w:styleId="user3">
    <w:name w:val="Вміст таблиці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і (user)"/>
    <w:basedOn w:val="user3"/>
    <w:qFormat/>
    <w:pPr>
      <w:suppressLineNumbers/>
      <w:jc w:val="center"/>
    </w:pPr>
    <w:rPr>
      <w:b/>
      <w:bCs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1e219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yperlink" Target="https://osvita.ua/legislation/law/2231/" TargetMode="External"/><Relationship Id="rId6" Type="http://schemas.openxmlformats.org/officeDocument/2006/relationships/header" Target="header4.xml"/><Relationship Id="rId7" Type="http://schemas.openxmlformats.org/officeDocument/2006/relationships/header" Target="header5.xml"/><Relationship Id="rId8" Type="http://schemas.openxmlformats.org/officeDocument/2006/relationships/header" Target="header6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4F621-E90C-406D-A398-1C0112D20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LibreOffice/25.2.7.2$Windows_X86_64 LibreOffice_project/5cbfd1ab6520636bb5f7b99185aa69bd7456825d</Application>
  <AppVersion>15.0000</AppVersion>
  <Pages>49</Pages>
  <Words>8140</Words>
  <Characters>56440</Characters>
  <CharactersWithSpaces>63029</CharactersWithSpaces>
  <Paragraphs>1692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2024-11-20T08:34:00Z</dcterms:created>
  <dc:creator>Алексюк</dc:creator>
  <dc:description/>
  <dc:language>uk-UA</dc:language>
  <cp:lastModifiedBy/>
  <cp:lastPrinted>2024-11-14T13:16:00Z</cp:lastPrinted>
  <dcterms:modified xsi:type="dcterms:W3CDTF">2026-03-27T16:43:22Z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