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6115" cy="6661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40" cy="665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35pt;height:52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47231246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Про  надання  громадянам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Костюкевичу С.І.,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Шкабурі</w:t>
      </w:r>
      <w:r>
        <w:rPr>
          <w:sz w:val="26"/>
          <w:szCs w:val="26"/>
        </w:rPr>
        <w:t xml:space="preserve"> Р.Ю., 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Шкабурі С.Ю.   </w:t>
      </w:r>
      <w:r>
        <w:rPr>
          <w:sz w:val="26"/>
          <w:szCs w:val="26"/>
        </w:rPr>
        <w:t>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розроблення     </w:t>
      </w:r>
      <w:r>
        <w:rPr>
          <w:spacing w:val="-2"/>
          <w:sz w:val="26"/>
          <w:szCs w:val="26"/>
        </w:rPr>
        <w:t xml:space="preserve">технічної     </w:t>
      </w:r>
      <w:r>
        <w:rPr>
          <w:sz w:val="26"/>
          <w:szCs w:val="26"/>
        </w:rPr>
        <w:t>докумен</w:t>
      </w:r>
      <w:r>
        <w:rPr>
          <w:spacing w:val="-10"/>
          <w:sz w:val="26"/>
          <w:szCs w:val="26"/>
        </w:rPr>
        <w:t>тації       із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10"/>
          <w:sz w:val="26"/>
          <w:szCs w:val="26"/>
        </w:rPr>
        <w:t xml:space="preserve">землеустрою щодо встановлення  </w:t>
      </w:r>
      <w:r>
        <w:rPr>
          <w:sz w:val="26"/>
          <w:szCs w:val="26"/>
        </w:rPr>
        <w:t>(відновлення)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меж земельн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ої </w:t>
      </w:r>
      <w:r>
        <w:rPr>
          <w:spacing w:val="-6"/>
          <w:sz w:val="26"/>
          <w:szCs w:val="26"/>
        </w:rPr>
        <w:t>ділянки в натурі (на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на земельну  </w:t>
      </w:r>
      <w:r>
        <w:rPr>
          <w:spacing w:val="-4"/>
          <w:sz w:val="26"/>
          <w:szCs w:val="26"/>
        </w:rPr>
        <w:t>частку  (пай)  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212  </w:t>
      </w:r>
      <w:r>
        <w:rPr>
          <w:spacing w:val="-4"/>
          <w:sz w:val="26"/>
          <w:szCs w:val="26"/>
        </w:rPr>
        <w:t>(багаторічні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насадження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— </w:t>
      </w:r>
      <w:r>
        <w:rPr>
          <w:sz w:val="26"/>
          <w:szCs w:val="26"/>
        </w:rPr>
        <w:t>орієнтовною площ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ею</w:t>
      </w:r>
      <w:r>
        <w:rPr>
          <w:sz w:val="26"/>
          <w:szCs w:val="26"/>
        </w:rPr>
        <w:t xml:space="preserve">  0,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63 </w:t>
      </w:r>
      <w:r>
        <w:rPr>
          <w:sz w:val="26"/>
          <w:szCs w:val="26"/>
        </w:rPr>
        <w:t>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>населених пунктів  Луцької   міської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8"/>
          <w:sz w:val="26"/>
          <w:szCs w:val="26"/>
        </w:rPr>
        <w:t>терито</w:t>
      </w:r>
      <w:r>
        <w:rPr>
          <w:sz w:val="26"/>
          <w:szCs w:val="26"/>
        </w:rPr>
        <w:t>ріаль</w:t>
      </w:r>
      <w:r>
        <w:rPr>
          <w:spacing w:val="6"/>
          <w:sz w:val="26"/>
          <w:szCs w:val="26"/>
        </w:rPr>
        <w:t>ної     громади   (с. Княгининок)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/>
      </w:pPr>
      <w:r>
        <w:rPr>
          <w:color w:val="111111"/>
          <w:spacing w:val="-6"/>
          <w:sz w:val="26"/>
          <w:szCs w:val="26"/>
        </w:rPr>
        <w:t>Розглянувши заяву громадян Костюкевича Степана Івановича (частка 1/3), Шкабури Романа Юхимовича (частка 1/3), Шкабури Сергія Юхимовича (частка 1/3) про надання дозволу на розроблення технічної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ої</w:t>
      </w:r>
      <w:r>
        <w:rPr>
          <w:color w:val="111111"/>
          <w:spacing w:val="-6"/>
          <w:sz w:val="26"/>
          <w:szCs w:val="26"/>
        </w:rPr>
        <w:t xml:space="preserve"> ділян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ки</w:t>
      </w:r>
      <w:r>
        <w:rPr>
          <w:color w:val="111111"/>
          <w:spacing w:val="-6"/>
          <w:sz w:val="26"/>
          <w:szCs w:val="26"/>
        </w:rPr>
        <w:t xml:space="preserve"> в натурі (на місцевості) на земельну частку (пай) </w:t>
      </w:r>
      <w:r>
        <w:rPr>
          <w:color w:val="111111"/>
          <w:spacing w:val="-4"/>
          <w:sz w:val="26"/>
          <w:szCs w:val="26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212 (багаторічні насадження — орієнтовною площею 0,63 га)</w:t>
      </w:r>
      <w:r>
        <w:rPr>
          <w:color w:val="111111"/>
          <w:spacing w:val="-6"/>
          <w:sz w:val="26"/>
          <w:szCs w:val="26"/>
        </w:rPr>
        <w:t xml:space="preserve">                           за межами населених пунктів Луцької міської територіальної громади (с. Княгининок)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, свідоцтва про право на спадщину за законом від 28.03.2025 № 1-509, № 1-510, № 1-511, № 1-512, свідоцтва про право на спадщину за законом від 04.08.2025 № 1413, </w:t>
      </w:r>
      <w:r>
        <w:rPr>
          <w:color w:val="111111"/>
          <w:spacing w:val="-6"/>
          <w:sz w:val="26"/>
          <w:szCs w:val="26"/>
        </w:rPr>
        <w:t>сертифікат на право на земельну частку (пай), яка перебувала у колективній власності колишнього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колективного сільськогосподарського підприємства</w:t>
      </w:r>
      <w:r>
        <w:rPr>
          <w:color w:val="111111"/>
          <w:spacing w:val="-6"/>
          <w:sz w:val="26"/>
          <w:szCs w:val="26"/>
        </w:rPr>
        <w:t xml:space="preserve"> «Агрофірма “Маяк”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»</w:t>
      </w:r>
      <w:r>
        <w:rPr>
          <w:color w:val="111111"/>
          <w:spacing w:val="-6"/>
          <w:sz w:val="26"/>
          <w:szCs w:val="26"/>
        </w:rPr>
        <w:t xml:space="preserve">                                   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від 12.02.2004, </w:t>
      </w:r>
      <w:r>
        <w:rPr>
          <w:color w:val="111111"/>
          <w:spacing w:val="-6"/>
          <w:sz w:val="26"/>
          <w:szCs w:val="26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0254737 — </w:t>
      </w:r>
      <w:r>
        <w:rPr>
          <w:color w:val="111111"/>
          <w:spacing w:val="-6"/>
          <w:sz w:val="26"/>
          <w:szCs w:val="26"/>
        </w:rPr>
        <w:t>виданий на підставі розпорядження голови Луцької районної державної адміністрації від 03.10.1997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365,</w:t>
      </w:r>
      <w:r>
        <w:rPr>
          <w:color w:val="111111"/>
          <w:spacing w:val="-6"/>
          <w:sz w:val="26"/>
          <w:szCs w:val="26"/>
        </w:rPr>
        <w:t xml:space="preserve"> та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04.07.2000 № 274 «Про уточнення грошової оцінки сільськогосподарських угідь земель колективної власності, вартості та розміру земельної частки (паю) в колишньому                                        КСП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ar-SA" w:bidi="ar-SA"/>
        </w:rPr>
        <w:t>«Агрофірма “Маяк”»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,</w:t>
      </w:r>
      <w:r>
        <w:rPr>
          <w:color w:val="111111"/>
          <w:spacing w:val="-6"/>
          <w:sz w:val="26"/>
          <w:szCs w:val="26"/>
        </w:rPr>
        <w:t xml:space="preserve"> зареєстрований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12.02.2004</w:t>
      </w:r>
      <w:r>
        <w:rPr>
          <w:color w:val="111111"/>
          <w:spacing w:val="-6"/>
          <w:sz w:val="26"/>
          <w:szCs w:val="26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720 зі змінами внесеними на підставі свідоцтва про право власності на спадщину за законом від 20.02.2006 серії ВСЕ № 016630 зареєстровано в реєстрі за № 1-439</w:t>
      </w:r>
      <w:r>
        <w:rPr>
          <w:color w:val="111111"/>
          <w:spacing w:val="-6"/>
          <w:sz w:val="26"/>
          <w:szCs w:val="26"/>
        </w:rPr>
        <w:t xml:space="preserve">, рішення Маяківської сільської ради Луцького району Волинської області від 26.12.2001 № 16/17 «Про затвердження проекту організації території земель колективної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колективного сільськогосподарського підприємства</w:t>
      </w:r>
      <w:r>
        <w:rPr>
          <w:color w:val="111111"/>
          <w:spacing w:val="-6"/>
          <w:sz w:val="26"/>
          <w:szCs w:val="26"/>
        </w:rPr>
        <w:t xml:space="preserve"> «Агрофірма “Маяк”», рішення Маяківської сільської ради Луцького району Волинської області від 26.12.2001 № 16/20                                  «Про передачу земельних часток </w:t>
      </w:r>
      <w:r>
        <w:rPr>
          <w:color w:val="111111"/>
          <w:spacing w:val="-6"/>
          <w:sz w:val="26"/>
          <w:szCs w:val="26"/>
          <w:lang w:val="en-US"/>
        </w:rPr>
        <w:t>(</w:t>
      </w:r>
      <w:r>
        <w:rPr>
          <w:i w:val="false"/>
          <w:iCs w:val="false"/>
          <w:color w:val="111111"/>
          <w:spacing w:val="-6"/>
          <w:sz w:val="26"/>
          <w:szCs w:val="26"/>
        </w:rPr>
        <w:t>паїв</w:t>
      </w:r>
      <w:r>
        <w:rPr>
          <w:i w:val="false"/>
          <w:iCs w:val="false"/>
          <w:color w:val="111111"/>
          <w:spacing w:val="-6"/>
          <w:sz w:val="26"/>
          <w:szCs w:val="26"/>
          <w:lang w:val="en-US"/>
        </w:rPr>
        <w:t>)</w:t>
      </w:r>
      <w:r>
        <w:rPr>
          <w:i w:val="false"/>
          <w:iCs w:val="false"/>
          <w:color w:val="111111"/>
          <w:spacing w:val="-6"/>
          <w:sz w:val="26"/>
          <w:szCs w:val="26"/>
        </w:rPr>
        <w:t xml:space="preserve"> в натурі та видачу державних актів                         на право приватної власності на землю</w:t>
      </w:r>
      <w:r>
        <w:rPr>
          <w:color w:val="111111"/>
          <w:spacing w:val="-6"/>
          <w:sz w:val="26"/>
          <w:szCs w:val="26"/>
        </w:rPr>
        <w:t>», довідки старости Княгининівського старостинського округу від 06.04.2026 № 27-18/51/2026, від 20.04.2026                                                                            № 27-18/5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color w:val="111111"/>
          <w:spacing w:val="-6"/>
          <w:sz w:val="26"/>
          <w:szCs w:val="26"/>
        </w:rPr>
        <w:t>/2026, № 27-18/5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8</w:t>
      </w:r>
      <w:r>
        <w:rPr>
          <w:color w:val="111111"/>
          <w:spacing w:val="-6"/>
          <w:sz w:val="26"/>
          <w:szCs w:val="26"/>
        </w:rPr>
        <w:t xml:space="preserve">/2026, враховуючи державний акт на право власності на земельну ділянку від 31.03.2006 серії ВЛ № 056700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на земельні ділянки № 610 (сіножаті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—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площею 0,04 га)</w:t>
      </w:r>
      <w:r>
        <w:rPr>
          <w:color w:val="111111"/>
          <w:spacing w:val="-6"/>
          <w:sz w:val="26"/>
          <w:szCs w:val="26"/>
        </w:rPr>
        <w:t xml:space="preserve">, №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687</w:t>
      </w:r>
      <w:r>
        <w:rPr>
          <w:color w:val="111111"/>
          <w:spacing w:val="-6"/>
          <w:sz w:val="26"/>
          <w:szCs w:val="26"/>
        </w:rPr>
        <w:t xml:space="preserve"> (рілля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—</w:t>
      </w:r>
      <w:r>
        <w:rPr>
          <w:color w:val="111111"/>
          <w:spacing w:val="-6"/>
          <w:sz w:val="26"/>
          <w:szCs w:val="26"/>
        </w:rPr>
        <w:t xml:space="preserve"> площею 1,16 га), </w:t>
      </w:r>
      <w:r>
        <w:rPr>
          <w:color w:val="000000"/>
          <w:spacing w:val="-6"/>
          <w:sz w:val="26"/>
          <w:szCs w:val="26"/>
          <w:u w:val="none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u w:val="none"/>
          <w:shd w:fill="FFFFFF" w:val="clear"/>
        </w:rPr>
        <w:t>к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еруючись статтями 12, 22, 25, 79-1, 81, 86, 96, 118, пунктами 16, 17, Перехідних положень Земельного кодексу України, Законом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розмежування земель державної та комунальної власності», Законом</w:t>
      </w:r>
      <w:r>
        <w:rPr>
          <w:color w:val="111111"/>
          <w:spacing w:val="-6"/>
          <w:kern w:val="2"/>
          <w:sz w:val="28"/>
          <w:szCs w:val="28"/>
          <w:highlight w:val="white"/>
          <w:shd w:fill="FFFFFF" w:val="clear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України «Про Державний земельний кадастр», Законом України «Про землеустрій»,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розпорядженням Кабінету Міністрів України від 12.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en-US"/>
        </w:rPr>
        <w:t>06.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2020 № 708-р «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 xml:space="preserve">»,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 розділу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 Прикінцевих та перехідних положень Закону України «Про місцеве самоврядування в Україні»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8"/>
          <w:sz w:val="26"/>
          <w:szCs w:val="26"/>
        </w:rPr>
        <w:t>1. Надати громадян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ам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Костюкевичу Степану Івановичу (частка 1/3), Шкабурі Роману Юхимовичу (частка 1/3), Шкабурі Сергію Юхимовичу (частка 1/3)</w:t>
      </w:r>
      <w:r>
        <w:rPr>
          <w:spacing w:val="-8"/>
          <w:sz w:val="26"/>
          <w:szCs w:val="26"/>
        </w:rPr>
        <w:t xml:space="preserve"> дозвіл на розроблення технічної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212,</w:t>
      </w:r>
      <w:r>
        <w:rPr>
          <w:spacing w:val="-8"/>
          <w:sz w:val="26"/>
          <w:szCs w:val="26"/>
        </w:rPr>
        <w:t xml:space="preserve"> 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spacing w:val="-8"/>
          <w:sz w:val="26"/>
          <w:szCs w:val="26"/>
        </w:rPr>
        <w:t>«Агрофірма “Маяк”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»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12.02.2004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0254737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зареєстрований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12.02.2004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720</w:t>
      </w:r>
      <w:r>
        <w:rPr>
          <w:spacing w:val="-8"/>
          <w:sz w:val="26"/>
          <w:szCs w:val="26"/>
        </w:rPr>
        <w:t>, орієнтовною площею 0,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63</w:t>
      </w:r>
      <w:r>
        <w:rPr>
          <w:spacing w:val="-8"/>
          <w:sz w:val="26"/>
          <w:szCs w:val="26"/>
        </w:rPr>
        <w:t> га (багаторічні насадження) за межами населених пунктів Луцької міської територіальної громади (с. Княгининок), згідно з додатком.</w:t>
      </w:r>
    </w:p>
    <w:p>
      <w:pPr>
        <w:pStyle w:val="Normal"/>
        <w:ind w:firstLine="567"/>
        <w:jc w:val="both"/>
        <w:rPr/>
      </w:pPr>
      <w:r>
        <w:rPr>
          <w:spacing w:val="-8"/>
          <w:sz w:val="26"/>
          <w:szCs w:val="26"/>
        </w:rPr>
        <w:t xml:space="preserve">2. Зобов’язати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громадян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Костюкевича Степана Івановича (частка 1/3), Шкабуру Романа Юхимовича (частка 1/3), Шкабуру Сергія Юхимовича (частка 1/3)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8"/>
          <w:sz w:val="26"/>
          <w:szCs w:val="26"/>
        </w:rPr>
        <w:t>розробити технічну документацію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212, </w:t>
      </w:r>
      <w:r>
        <w:rPr>
          <w:spacing w:val="-8"/>
          <w:sz w:val="26"/>
          <w:szCs w:val="26"/>
        </w:rPr>
        <w:t xml:space="preserve">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spacing w:val="-8"/>
          <w:sz w:val="26"/>
          <w:szCs w:val="26"/>
        </w:rPr>
        <w:t>«Агрофірма “Маяк”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>»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12.02.2004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0254737</w:t>
      </w:r>
      <w:r>
        <w:rPr>
          <w:spacing w:val="-8"/>
          <w:sz w:val="26"/>
          <w:szCs w:val="26"/>
        </w:rPr>
        <w:t xml:space="preserve"> зареєстрованого у Книзі реєстрації сертифікатів на право на земельну частку (пай)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12.02.2004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720</w:t>
      </w:r>
      <w:r>
        <w:rPr>
          <w:spacing w:val="-8"/>
          <w:sz w:val="26"/>
          <w:szCs w:val="26"/>
        </w:rPr>
        <w:t>, орієнтовною площею 0,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63</w:t>
      </w:r>
      <w:r>
        <w:rPr>
          <w:spacing w:val="-8"/>
          <w:sz w:val="26"/>
          <w:szCs w:val="26"/>
        </w:rPr>
        <w:t> га (багаторічні насадження) за межами населених пунктів Луцької міської територіальної громади (с. Княгининок)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spacing w:val="-8"/>
          <w:sz w:val="26"/>
          <w:szCs w:val="26"/>
          <w:lang w:eastAsia="ar-SA"/>
        </w:rPr>
        <w:t>з питань діяльності виконавчих органів міської ради</w:t>
      </w:r>
      <w:r>
        <w:rPr>
          <w:spacing w:val="-8"/>
          <w:sz w:val="26"/>
          <w:szCs w:val="26"/>
        </w:rPr>
        <w:t> 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/>
      </w:pPr>
      <w:r>
        <w:rPr>
          <w:sz w:val="26"/>
          <w:szCs w:val="26"/>
        </w:rPr>
        <w:t>Секретар міськ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ої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ради</w:t>
      </w:r>
      <w:r>
        <w:rPr>
          <w:sz w:val="26"/>
          <w:szCs w:val="26"/>
        </w:rPr>
        <w:t xml:space="preserve">                                                                 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Катерина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ШКЛЬОДА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b w:val="false"/>
          <w:bCs w:val="false"/>
          <w:color w:val="000000"/>
          <w:sz w:val="24"/>
          <w:szCs w:val="24"/>
          <w:lang w:eastAsia="ar-SA"/>
        </w:rPr>
        <w:t>Гула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Основной шрифт абзаца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7111111111111111111111111111111111111111">
    <w:name w:val="WW-WW8Num1ztrue7111111111111111111111111111111111111111"/>
    <w:qFormat/>
    <w:rPr/>
  </w:style>
  <w:style w:type="character" w:styleId="WWWW8Num1ztrue11111111111111111111111111111111111111111">
    <w:name w:val="WW-WW8Num1ztrue11111111111111111111111111111111111111111"/>
    <w:qFormat/>
    <w:rPr/>
  </w:style>
  <w:style w:type="character" w:styleId="WWWW8Num1ztrue21111111111111111111111111111111111111111">
    <w:name w:val="WW-WW8Num1ztrue21111111111111111111111111111111111111111"/>
    <w:qFormat/>
    <w:rPr/>
  </w:style>
  <w:style w:type="character" w:styleId="WWWW8Num1ztrue31111111111111111111111111111111111111111">
    <w:name w:val="WW-WW8Num1ztrue31111111111111111111111111111111111111111"/>
    <w:qFormat/>
    <w:rPr/>
  </w:style>
  <w:style w:type="character" w:styleId="WWWW8Num1ztrue41111111111111111111111111111111111111111">
    <w:name w:val="WW-WW8Num1ztrue41111111111111111111111111111111111111111"/>
    <w:qFormat/>
    <w:rPr/>
  </w:style>
  <w:style w:type="character" w:styleId="WWWW8Num1ztrue51111111111111111111111111111111111111111">
    <w:name w:val="WW-WW8Num1ztrue51111111111111111111111111111111111111111"/>
    <w:qFormat/>
    <w:rPr/>
  </w:style>
  <w:style w:type="character" w:styleId="WWWW8Num1ztrue61111111111111111111111111111111111111111">
    <w:name w:val="WW-WW8Num1ztrue61111111111111111111111111111111111111111"/>
    <w:qFormat/>
    <w:rPr/>
  </w:style>
  <w:style w:type="character" w:styleId="WWWW8Num1ztrue71111111111111111111111111111111111111111">
    <w:name w:val="WW-WW8Num1ztrue71111111111111111111111111111111111111111"/>
    <w:qFormat/>
    <w:rPr/>
  </w:style>
  <w:style w:type="character" w:styleId="WWWW8Num1ztrue111111111111111111111111111111111111111111">
    <w:name w:val="WW-WW8Num1ztrue111111111111111111111111111111111111111111"/>
    <w:qFormat/>
    <w:rPr/>
  </w:style>
  <w:style w:type="character" w:styleId="WWWW8Num1ztrue211111111111111111111111111111111111111111">
    <w:name w:val="WW-WW8Num1ztrue211111111111111111111111111111111111111111"/>
    <w:qFormat/>
    <w:rPr/>
  </w:style>
  <w:style w:type="character" w:styleId="WWWW8Num1ztrue311111111111111111111111111111111111111111">
    <w:name w:val="WW-WW8Num1ztrue311111111111111111111111111111111111111111"/>
    <w:qFormat/>
    <w:rPr/>
  </w:style>
  <w:style w:type="character" w:styleId="WWWW8Num1ztrue411111111111111111111111111111111111111111">
    <w:name w:val="WW-WW8Num1ztrue411111111111111111111111111111111111111111"/>
    <w:qFormat/>
    <w:rPr/>
  </w:style>
  <w:style w:type="character" w:styleId="WWWW8Num1ztrue511111111111111111111111111111111111111111">
    <w:name w:val="WW-WW8Num1ztrue511111111111111111111111111111111111111111"/>
    <w:qFormat/>
    <w:rPr/>
  </w:style>
  <w:style w:type="character" w:styleId="WWWW8Num1ztrue611111111111111111111111111111111111111111">
    <w:name w:val="WW-WW8Num1ztrue611111111111111111111111111111111111111111"/>
    <w:qFormat/>
    <w:rPr/>
  </w:style>
  <w:style w:type="character" w:styleId="WWWW8Num2ztrue7">
    <w:name w:val="WW-WW8Num2ztrue7"/>
    <w:qFormat/>
    <w:rPr/>
  </w:style>
  <w:style w:type="character" w:styleId="WWWW8Num2ztrue11">
    <w:name w:val="WW-WW8Num2ztrue11"/>
    <w:qFormat/>
    <w:rPr/>
  </w:style>
  <w:style w:type="character" w:styleId="WWWW8Num2ztrue21">
    <w:name w:val="WW-WW8Num2ztrue21"/>
    <w:qFormat/>
    <w:rPr/>
  </w:style>
  <w:style w:type="character" w:styleId="WWWW8Num2ztrue31">
    <w:name w:val="WW-WW8Num2ztrue31"/>
    <w:qFormat/>
    <w:rPr/>
  </w:style>
  <w:style w:type="character" w:styleId="WWWW8Num2ztrue41">
    <w:name w:val="WW-WW8Num2ztrue41"/>
    <w:qFormat/>
    <w:rPr/>
  </w:style>
  <w:style w:type="character" w:styleId="WWWW8Num2ztrue51">
    <w:name w:val="WW-WW8Num2ztrue51"/>
    <w:qFormat/>
    <w:rPr/>
  </w:style>
  <w:style w:type="character" w:styleId="WWWW8Num2ztrue61">
    <w:name w:val="WW-WW8Num2ztrue61"/>
    <w:qFormat/>
    <w:rPr/>
  </w:style>
  <w:style w:type="character" w:styleId="Style13">
    <w:name w:val="Интернет-ссылка"/>
    <w:qFormat/>
    <w:rPr>
      <w:color w:val="000080"/>
      <w:u w:val="single"/>
      <w:lang w:val="zxx"/>
    </w:rPr>
  </w:style>
  <w:style w:type="character" w:styleId="Strong">
    <w:name w:val="Strong"/>
    <w:qFormat/>
    <w:rPr>
      <w:b/>
    </w:rPr>
  </w:style>
  <w:style w:type="character" w:styleId="3">
    <w:name w:val="Основной шрифт абзаца3"/>
    <w:qFormat/>
    <w:rPr/>
  </w:style>
  <w:style w:type="character" w:styleId="4">
    <w:name w:val="Основной шрифт абзаца4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paragraph" w:styleId="Style22">
    <w:name w:val="Указатель"/>
    <w:basedOn w:val="Normal"/>
    <w:qFormat/>
    <w:pPr/>
    <w:rPr>
      <w:rFonts w:eastAsia="Mangal"/>
      <w:lang w:eastAsia="ar-SA"/>
    </w:rPr>
  </w:style>
  <w:style w:type="paragraph" w:styleId="Style23">
    <w:name w:val="Название объекта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Содержимое таблицы"/>
    <w:basedOn w:val="Normal"/>
    <w:qFormat/>
    <w:pPr/>
    <w:rPr/>
  </w:style>
  <w:style w:type="paragraph" w:styleId="Style26">
    <w:name w:val="Заголовок таблицы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Arial" w:cs="Liberation Serif"/>
      <w:b/>
      <w:color w:val="auto"/>
      <w:kern w:val="0"/>
      <w:sz w:val="28"/>
      <w:szCs w:val="24"/>
      <w:lang w:val="uk-UA" w:eastAsia="hi-IN" w:bidi="hi-IN"/>
    </w:rPr>
  </w:style>
  <w:style w:type="paragraph" w:styleId="23">
    <w:name w:val="Название объекта2"/>
    <w:basedOn w:val="Normal"/>
    <w:qFormat/>
    <w:pPr>
      <w:spacing w:before="120" w:after="120"/>
    </w:pPr>
    <w:rPr>
      <w:rFonts w:eastAsia="Mangal"/>
      <w:i/>
      <w:iCs/>
      <w:sz w:val="28"/>
      <w:lang w:eastAsia="ar-SA"/>
    </w:rPr>
  </w:style>
  <w:style w:type="paragraph" w:styleId="31">
    <w:name w:val="Указатель3"/>
    <w:basedOn w:val="Normal"/>
    <w:qFormat/>
    <w:pPr/>
    <w:rPr>
      <w:rFonts w:eastAsia="Mangal"/>
      <w:lang w:eastAsia="ar-SA"/>
    </w:rPr>
  </w:style>
  <w:style w:type="paragraph" w:styleId="32">
    <w:name w:val="Название объекта3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41">
    <w:name w:val="Указатель4"/>
    <w:basedOn w:val="Normal"/>
    <w:qFormat/>
    <w:pPr/>
    <w:rPr>
      <w:rFonts w:eastAsia="Mangal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Application>LibreOffice/7.0.3.1$Windows_X86_64 LibreOffice_project/d7547858d014d4cf69878db179d326fc3483e082</Application>
  <Pages>2</Pages>
  <Words>748</Words>
  <Characters>4917</Characters>
  <CharactersWithSpaces>6069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2026-05-07T12:09:20Z</dcterms:modified>
  <cp:revision>181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