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rFonts w:ascii="Times New Roman" w:hAnsi="Times New Roman"/>
        </w:rPr>
      </w:pPr>
      <w:r>
        <w:rPr/>
        <mc:AlternateContent>
          <mc:Choice Requires="wps">
            <w:drawing>
              <wp:anchor behindDoc="0" distT="0" distB="0" distL="635" distR="0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5000" cy="635000"/>
                <wp:effectExtent l="635" t="0" r="0" b="0"/>
                <wp:wrapNone/>
                <wp:docPr id="1" name="shapetype_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5040" cy="63504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shapetype_ole_rId2" path="m0,0l-2147483645,0l-2147483645,-2147483646l0,-2147483646xe" stroked="f" o:allowincell="f" style="position:absolute;margin-left:0.05pt;margin-top:0.05pt;width:49.95pt;height:49.95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65pt;height:58.55pt;mso-wrap-distance-right:0pt" filled="f" o:ole="">
            <v:imagedata r:id="rId3" o:title=""/>
          </v:shape>
          <o:OLEObject Type="Embed" ProgID="" ShapeID="ole_rId2" DrawAspect="Content" ObjectID="_1545800608" r:id="rId2"/>
        </w:object>
      </w:r>
    </w:p>
    <w:p>
      <w:pPr>
        <w:pStyle w:val="1"/>
        <w:widowControl w:val="false"/>
        <w:numPr>
          <w:ilvl w:val="0"/>
          <w:numId w:val="1"/>
        </w:numPr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tabs>
          <w:tab w:val="clear" w:pos="1134"/>
          <w:tab w:val="left" w:pos="4218" w:leader="none"/>
          <w:tab w:val="left" w:pos="4674" w:leader="none"/>
        </w:tabs>
        <w:rPr>
          <w:rFonts w:ascii="Times New Roman" w:hAnsi="Times New Roman"/>
        </w:rPr>
      </w:pPr>
      <w:r>
        <w:rPr>
          <w:rFonts w:ascii="Times New Roman" w:hAnsi="Times New Roman"/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rFonts w:ascii="Times New Roman" w:hAnsi="Times New Roman"/>
          <w:b/>
          <w:b/>
          <w:bCs/>
          <w:lang w:val="uk-UA"/>
        </w:rPr>
      </w:pPr>
      <w:r>
        <w:rPr>
          <w:rFonts w:ascii="Times New Roman" w:hAnsi="Times New Roman"/>
          <w:b/>
          <w:bCs/>
          <w:lang w:val="uk-UA"/>
        </w:rPr>
      </w:r>
    </w:p>
    <w:p>
      <w:pPr>
        <w:pStyle w:val="Normal"/>
        <w:widowControl w:val="false"/>
        <w:tabs>
          <w:tab w:val="clear" w:pos="1134"/>
          <w:tab w:val="left" w:pos="4687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lang w:val="uk-UA"/>
        </w:rPr>
        <w:t>________________                                    м. Луцьк                                         №______________</w:t>
      </w:r>
    </w:p>
    <w:p>
      <w:pPr>
        <w:pStyle w:val="Normal"/>
        <w:widowControl w:val="false"/>
        <w:jc w:val="both"/>
        <w:rPr>
          <w:rFonts w:ascii="Times New Roman" w:hAnsi="Times New Roman"/>
          <w:sz w:val="24"/>
          <w:lang w:val="uk-UA"/>
        </w:rPr>
      </w:pPr>
      <w:r>
        <w:rPr>
          <w:rFonts w:ascii="Times New Roman" w:hAnsi="Times New Roman"/>
          <w:sz w:val="24"/>
          <w:lang w:val="uk-UA"/>
        </w:rPr>
      </w:r>
    </w:p>
    <w:p>
      <w:pPr>
        <w:pStyle w:val="Normal"/>
        <w:rPr>
          <w:rFonts w:ascii="Times New Roman" w:hAnsi="Times New Roman"/>
        </w:rPr>
      </w:pPr>
      <w:r>
        <w:rPr>
          <w:rFonts w:eastAsia="Times New Roman" w:cs="Times New Roman" w:ascii="Times New Roman" w:hAnsi="Times New Roman"/>
          <w:color w:val="000000"/>
          <w:spacing w:val="-4"/>
          <w:kern w:val="0"/>
          <w:sz w:val="28"/>
          <w:szCs w:val="28"/>
          <w:lang w:val="uk-UA" w:eastAsia="zh-CN" w:bidi="ar-SA"/>
        </w:rPr>
        <w:t>Про надання дозволу  на  розроблення</w:t>
      </w:r>
    </w:p>
    <w:p>
      <w:pPr>
        <w:pStyle w:val="Normal"/>
        <w:rPr>
          <w:rFonts w:ascii="Times New Roman" w:hAnsi="Times New Roman"/>
        </w:rPr>
      </w:pPr>
      <w:r>
        <w:rPr>
          <w:rFonts w:eastAsia="Times New Roman" w:cs="Times New Roman" w:ascii="Times New Roman" w:hAnsi="Times New Roman"/>
          <w:color w:val="000000"/>
          <w:spacing w:val="-4"/>
          <w:kern w:val="0"/>
          <w:sz w:val="28"/>
          <w:szCs w:val="28"/>
          <w:lang w:val="uk-UA" w:eastAsia="zh-CN" w:bidi="ar-SA"/>
        </w:rPr>
        <w:t>технічної документації із землеустрою</w:t>
      </w:r>
    </w:p>
    <w:p>
      <w:pPr>
        <w:pStyle w:val="Normal"/>
        <w:rPr>
          <w:rFonts w:ascii="Times New Roman" w:hAnsi="Times New Roman"/>
        </w:rPr>
      </w:pPr>
      <w:r>
        <w:rPr>
          <w:rFonts w:eastAsia="Times New Roman" w:cs="Times New Roman" w:ascii="Times New Roman" w:hAnsi="Times New Roman"/>
          <w:color w:val="000000"/>
          <w:spacing w:val="-4"/>
          <w:kern w:val="0"/>
          <w:sz w:val="28"/>
          <w:szCs w:val="28"/>
          <w:lang w:val="uk-UA" w:eastAsia="zh-CN" w:bidi="ar-SA"/>
        </w:rPr>
        <w:t>щодо поділу та об’єднання  земельних</w:t>
      </w:r>
    </w:p>
    <w:p>
      <w:pPr>
        <w:pStyle w:val="Normal"/>
        <w:rPr>
          <w:rFonts w:ascii="Times New Roman" w:hAnsi="Times New Roman"/>
        </w:rPr>
      </w:pPr>
      <w:r>
        <w:rPr>
          <w:rFonts w:eastAsia="Times New Roman" w:cs="Times New Roman" w:ascii="Times New Roman" w:hAnsi="Times New Roman"/>
          <w:color w:val="000000"/>
          <w:spacing w:val="-4"/>
          <w:kern w:val="0"/>
          <w:sz w:val="28"/>
          <w:szCs w:val="28"/>
          <w:lang w:val="uk-UA" w:eastAsia="zh-CN" w:bidi="ar-SA"/>
        </w:rPr>
        <w:t>ділянок   комунальної    власності    на</w:t>
      </w:r>
    </w:p>
    <w:p>
      <w:pPr>
        <w:pStyle w:val="Normal"/>
        <w:rPr/>
      </w:pPr>
      <w:r>
        <w:rPr>
          <w:rStyle w:val="Style12"/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auto"/>
          <w:spacing w:val="-4"/>
          <w:kern w:val="0"/>
          <w:sz w:val="28"/>
          <w:szCs w:val="28"/>
          <w:highlight w:val="white"/>
          <w:u w:val="none"/>
          <w:lang w:val="ru-RU" w:eastAsia="zh-CN" w:bidi="ar-SA"/>
        </w:rPr>
        <w:t>вул. Яремчука Назарія</w:t>
      </w:r>
      <w:r>
        <w:rPr>
          <w:rStyle w:val="Style12"/>
          <w:rFonts w:eastAsia="Times New Roman" w:cs="Times New Roman" w:ascii="Times New Roman" w:hAnsi="Times New Roman"/>
          <w:b w:val="false"/>
          <w:bCs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highlight w:val="white"/>
          <w:lang w:val="uk-UA" w:eastAsia="zh-CN" w:bidi="ar-SA"/>
        </w:rPr>
        <w:t xml:space="preserve">, 11-Б </w:t>
      </w:r>
      <w:r>
        <w:rPr>
          <w:rFonts w:eastAsia="Times New Roman" w:cs="Times New Roman" w:ascii="Times New Roman" w:hAnsi="Times New Roman"/>
          <w:color w:val="000000"/>
          <w:spacing w:val="-4"/>
          <w:kern w:val="0"/>
          <w:sz w:val="28"/>
          <w:szCs w:val="28"/>
          <w:lang w:val="uk-UA" w:eastAsia="zh-CN" w:bidi="ar-SA"/>
        </w:rPr>
        <w:t>у м. Луцьку</w:t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 w:ascii="Times New Roman" w:hAnsi="Times New Roman"/>
          <w:color w:val="000000"/>
          <w:spacing w:val="-4"/>
          <w:kern w:val="0"/>
          <w:sz w:val="28"/>
          <w:szCs w:val="28"/>
          <w:lang w:val="uk-UA" w:eastAsia="zh-CN" w:bidi="ar-S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u w:val="none"/>
          <w:lang w:val="uk-UA" w:eastAsia="zh-CN" w:bidi="ar-SA"/>
        </w:rPr>
        <w:t>Розглянувши заяву ТОВАРИСТВА З ОБМЕЖЕНОЮ ВІДПОВІДАЛЬНІСТЮ «ХОЛДІНГОВА КОМПАНІЯ «ЄВРОХОЛДІНГ»</w:t>
      </w:r>
      <w:r>
        <w:rPr>
          <w:rStyle w:val="Style12"/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, </w:t>
      </w:r>
      <w:r>
        <w:rPr>
          <w:rStyle w:val="Style12"/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громадян Міщука Павла  Володимировича, Грачової Наталії Михайлівни щодо поділу земельної ділянки комунальної власності на </w:t>
      </w:r>
      <w:r>
        <w:rPr>
          <w:rStyle w:val="Style12"/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highlight w:val="white"/>
          <w:u w:val="none"/>
          <w:em w:val="none"/>
          <w:lang w:val="ru-RU" w:eastAsia="zh-CN" w:bidi="ar-SA"/>
        </w:rPr>
        <w:t>вул. Яремчука Назарія</w:t>
      </w:r>
      <w:r>
        <w:rPr>
          <w:rStyle w:val="Style12"/>
          <w:rFonts w:eastAsia="Times New Roman" w:cs="Times New Roman" w:ascii="Times New Roman" w:hAnsi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, 11-Б</w:t>
      </w:r>
      <w:r>
        <w:rPr>
          <w:rStyle w:val="Style12"/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 у м. Луцьку, погоджений план поділу земельної ділянки на </w:t>
      </w:r>
      <w:r>
        <w:rPr>
          <w:rStyle w:val="Style12"/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highlight w:val="white"/>
          <w:u w:val="none"/>
          <w:em w:val="none"/>
          <w:lang w:val="ru-RU" w:eastAsia="zh-CN" w:bidi="ar-SA"/>
        </w:rPr>
        <w:t>вул. Яремчука Назарія</w:t>
      </w:r>
      <w:r>
        <w:rPr>
          <w:rStyle w:val="Style12"/>
          <w:rFonts w:eastAsia="Times New Roman" w:cs="Times New Roman" w:ascii="Times New Roman" w:hAnsi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, 11-Б</w:t>
      </w:r>
      <w:r>
        <w:rPr>
          <w:rStyle w:val="Style12"/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 у м. Луцьку, витяг з Державного земельного кадастру про земельну ділянку від 04.05.2026</w:t>
        <w:br/>
        <w:t xml:space="preserve">№ НВ-9964386672026, враховуючи документи, що посвідчують право власності на об’єкти нерухомого майна на </w:t>
      </w:r>
      <w:r>
        <w:rPr>
          <w:rStyle w:val="Style12"/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highlight w:val="white"/>
          <w:u w:val="none"/>
          <w:em w:val="none"/>
          <w:lang w:val="ru-RU" w:eastAsia="zh-CN" w:bidi="ar-SA"/>
        </w:rPr>
        <w:t>вул. Яремчука Назарія</w:t>
      </w:r>
      <w:r>
        <w:rPr>
          <w:rStyle w:val="Style12"/>
          <w:rFonts w:eastAsia="Times New Roman" w:cs="Times New Roman" w:ascii="Times New Roman" w:hAnsi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, 11-Б</w:t>
      </w:r>
      <w:r>
        <w:rPr>
          <w:rStyle w:val="Style12"/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 у м. Луцьку: ТОВАРИСТВА З ОБМЕЖЕНОЮ ВІДПОВІДАЛЬНІСТЮ «ХОЛДІНГОВА КОМПАНІЯ «ЄВРОХОЛДІНГ» − свідоцтво про право власності від 11.05.2010, відповідно до якого право власності на торговий павільйон № 1 зареєстровано від 28.09.2010, реєстраційний номер: 31612979, технічний паспорт на об’єкт нерухомого майна від 28.05.2010; свідоцтво про право власності від 11.05.2010, відповідно до якого право власності на торговий павільйон № 2 зареєстровано від 28.09.2010, реєстраційний номер: 31612976, технічний паспорт на об’єкт нерухомого майна від 28.05.2010; свідоцтво про право власності від 11.05.2010, відповідно до якого право власності на торговий павільйон № 3 зареєстровано від 28.09.2010, реєстраційний номер: 31612963, технічний паспорт на об’єкт нерухомого майна від 28.05.2010; свідоцтво про право власності від 11.05.2010, відповідно до якого право власності на торговий павільйон № 4 зареєстровано від 28.09.2010, реєстраційний номер: 31612956, технічний паспорт на об’єкт нерухомого майна від 28.05.2010; свідоцтво про право власності від 11.05.2010, відповідно до якого право власності на  торговий павільйон № 9 зареєстровано від 28.09.2010, реєстраційний номер: 31612872, технічний паспорт на об’єкт нерухомого майна від 28.05.2010; свідоцтво про право власності від 11.05.2010, відповідно до якого право власності на торговий павільйон № 10 зареєстровано від 28.09.2010, реєстраційний номер: 31612883, технічний паспорт на об’єкт нерухомого майна від 28.05.2010; громадянина Міщука Павла  Володимировича − договір купівлі-продажу нежитлового приміщення від 01.02.2021 за № 41, відповідно до якого прав</w:t>
      </w:r>
      <w:r>
        <w:rPr>
          <w:rStyle w:val="Style12"/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о власності на </w:t>
      </w:r>
      <w:r>
        <w:rPr>
          <w:rStyle w:val="Style12"/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торговий павільйон № 8</w:t>
      </w:r>
      <w:r>
        <w:rPr>
          <w:rStyle w:val="Style12"/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 зареєстровано в Державному реєстрі речових прав на нерухоме майно від 01.02.2021, номер запису про право власності: 40345242, технічний паспорт на об’єкт нерухомого майна; </w:t>
      </w:r>
      <w:r>
        <w:rPr>
          <w:rStyle w:val="Style12"/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громадянки Грачової Наталії Михайлівни − договір купівлі-продажу нерухомого майна від 07.07.2025 за № 699, відповідно до якого право власності на торговий павільйон № 5 зареєстровано в Державному реєстрі речових прав на нерухоме майно від 07.07.2025, номер відомостей про речове право: 60612219, технічний паспорт на об’єкт нерухомого майна; договір купівлі-продажу нерухомого майна від 27.08.2024 за № 1612, відповідно до якого право власності на торг</w:t>
      </w:r>
      <w:r>
        <w:rPr>
          <w:rStyle w:val="Style12"/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 w:themeColor="text1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 xml:space="preserve">овий павільйон № 6 зареєстровано в Державному реєстрі речових прав на нерухоме майно від 27.08.2024, номер відомостей про речове право: 56426352, технічний паспорт на об’єкт нерухомого майна; договір купівлі-продажу нежитлового приміщення від 01.03.2012 за № 171, відповідно до якого право власності на торговий павільйон № 7 зареєстровано від 02.04.2012, реєстраційний номер: 31612886, технічний паспорт на об’єкт нерухомого майна, </w:t>
      </w:r>
      <w:r>
        <w:rPr>
          <w:rFonts w:eastAsia="Times New Roman" w:cs="Times New Roman" w:ascii="Times New Roman" w:hAnsi="Times New Roman"/>
          <w:b w:val="false"/>
          <w:bCs w:val="false"/>
          <w:color w:val="000000" w:themeColor="text1"/>
          <w:spacing w:val="-4"/>
          <w:kern w:val="0"/>
          <w:sz w:val="28"/>
          <w:szCs w:val="28"/>
          <w:lang w:val="uk-UA" w:eastAsia="zh-CN" w:bidi="ar-SA"/>
        </w:rPr>
        <w:t>враховуючи договір оренди землі, укладений між Луцькою міською радою та фізичною особою-підприємцем Шихотаровою Світланою Савеліївною</w:t>
      </w:r>
      <w:r>
        <w:rPr>
          <w:rStyle w:val="Style12"/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 w:themeColor="text1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, зареєстрований в книзі записів державної реєстрації договорів оренди землі від 21.12.2006 за № 040607700393, із змінами, внесеними додатковою угодою до договору оренди землі, зареєстрованою у Державному реєстрі земель від 31.08.2012 за № 071010004000671,</w:t>
      </w:r>
      <w:r>
        <w:rPr>
          <w:rFonts w:eastAsia="Times New Roman" w:cs="Times New Roman" w:ascii="Times New Roman" w:hAnsi="Times New Roman"/>
          <w:bCs w:val="false"/>
          <w:color w:val="000000" w:themeColor="text1"/>
          <w:spacing w:val="-4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6"/>
          <w:kern w:val="0"/>
          <w:sz w:val="28"/>
          <w:szCs w:val="28"/>
          <w:highlight w:val="white"/>
          <w:u w:val="none"/>
          <w:lang w:val="uk-UA" w:eastAsia="zh-CN" w:bidi="ar-SA"/>
        </w:rPr>
        <w:t xml:space="preserve">строк дії якого закінчився, </w:t>
      </w:r>
      <w:r>
        <w:rPr>
          <w:rFonts w:eastAsia="Times New Roman" w:cs="Times New Roman" w:ascii="Times New Roman" w:hAnsi="Times New Roman"/>
          <w:bCs w:val="false"/>
          <w:color w:val="000000" w:themeColor="text1"/>
          <w:spacing w:val="-4"/>
          <w:kern w:val="0"/>
          <w:sz w:val="28"/>
          <w:szCs w:val="28"/>
          <w:lang w:val="uk-UA" w:eastAsia="zh-CN" w:bidi="ar-SA"/>
        </w:rPr>
        <w:t>акт приймання-передачі земельної ділянки від 30.01.2017, договір оренди землі, укладений між Луцькою міською радою та Товариством з обмеженою відповідальністю «Господарник»</w:t>
      </w:r>
      <w:r>
        <w:rPr>
          <w:rStyle w:val="Style12"/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 w:themeColor="text1"/>
          <w:spacing w:val="-4"/>
          <w:kern w:val="0"/>
          <w:sz w:val="28"/>
          <w:szCs w:val="28"/>
          <w:highlight w:val="white"/>
          <w:u w:val="none"/>
          <w:lang w:val="uk-UA" w:eastAsia="zh-CN" w:bidi="ar-SA"/>
        </w:rPr>
        <w:t>, зареєстрований в книзі записів державної реєстрації договорів оренди землі від 15.03.2006 за № 040607700059, із змінами, внесеними додатковою угодою до договору оренди землі, зареєстрованою у Державному реєстрі земель від 20.02.2012 за № 071010004000404, припинений додатковою угодою про припинення договору оренди землі від 07.11.2014,</w:t>
      </w:r>
      <w:r>
        <w:rPr>
          <w:rFonts w:eastAsia="Times New Roman" w:cs="Times New Roman" w:ascii="Times New Roman" w:hAnsi="Times New Roman"/>
          <w:bCs w:val="false"/>
          <w:color w:val="000000" w:themeColor="text1"/>
          <w:spacing w:val="-4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A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витяг із протоколу засідання постійної комісії з питань земельних відносин та земельного кадастру від 27.01.2026 за № 89, </w:t>
      </w:r>
      <w:r>
        <w:rPr>
          <w:rFonts w:eastAsia="Times New Roman" w:cs="Times New Roman" w:ascii="Times New Roman" w:hAnsi="Times New Roman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>рішення виконавчого комітету Луцької міської ради від 09.10.2024 № 560-1 “</w:t>
      </w:r>
      <w:r>
        <w:rPr>
          <w:rFonts w:eastAsia="Times New Roman" w:cs="Times New Roman" w:ascii="Times New Roman" w:hAnsi="Times New Roman"/>
          <w:bCs w:val="false"/>
          <w:color w:val="000000" w:themeColor="text1"/>
          <w:spacing w:val="-4"/>
          <w:kern w:val="0"/>
          <w:sz w:val="28"/>
          <w:szCs w:val="28"/>
          <w:lang w:val="uk-UA" w:eastAsia="zh-CN" w:bidi="ar-SA"/>
        </w:rPr>
        <w:t>Про внесення змін до рішення виконавчого комітету міської ради від 04.06.2020</w:t>
        <w:br/>
        <w:t xml:space="preserve">№ 266-1 «Про проведення ярмарків сільськогосподарської продукції на території міста Луцька»”, </w:t>
      </w:r>
      <w:r>
        <w:rPr>
          <w:rFonts w:eastAsia="Times New Roman" w:cs="Times New Roman" w:ascii="Times New Roman" w:hAnsi="Times New Roman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рішення Луцької міської ради від 31.01.2024 № 55/94 «Про перейменування вулиці Єршова на вулицю Яремчука Назарія у місті Луцьку», </w:t>
      </w:r>
      <w:r>
        <w:rPr>
          <w:rFonts w:eastAsia="Times New Roman" w:cs="Times New Roman" w:ascii="Times New Roman" w:hAnsi="Times New Roman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керуючись статтями 12, 79-1, 122, 186 Земельного кодексу України, статтею 56 Закону України «Про землеустрій», статтею 27 Закону України «Про Державний земельний кадастр»,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000000"/>
          <w:spacing w:val="-4"/>
          <w:kern w:val="0"/>
          <w:sz w:val="28"/>
          <w:szCs w:val="28"/>
          <w:lang w:val="uk-UA" w:eastAsia="zh-CN" w:bidi="ar-SA"/>
        </w:rPr>
        <w:t>пунктом 3 розділу ІІ «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lang w:val="uk-UA" w:eastAsia="zh-CN" w:bidi="ar-SA"/>
        </w:rPr>
        <w:t>»</w:t>
      </w:r>
      <w:r>
        <w:rPr>
          <w:rFonts w:eastAsia="Times New Roman" w:cs="Times New Roman" w:ascii="Times New Roman" w:hAnsi="Times New Roman"/>
          <w:b w:val="false"/>
          <w:bCs w:val="false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Закону України «Про внесення змін до деяких законодавчих актів України щодо розмежування земель державної та комунальної власності», статтею 26 Закону України «Про місцеве самоврядування в Україні», </w:t>
      </w:r>
      <w:r>
        <w:rPr>
          <w:rStyle w:val="Style12"/>
          <w:rFonts w:eastAsia="Times New Roman" w:cs="Times New Roman" w:ascii="Times New Roman" w:hAnsi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color w:val="000000"/>
          <w:spacing w:val="-4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 xml:space="preserve">Законом України «Про адміністративну процедуру», </w:t>
      </w:r>
      <w:r>
        <w:rPr>
          <w:rFonts w:eastAsia="Times New Roman" w:cs="Times New Roman" w:ascii="Times New Roman" w:hAnsi="Times New Roman"/>
          <w:color w:val="000000"/>
          <w:spacing w:val="-4"/>
          <w:kern w:val="0"/>
          <w:sz w:val="28"/>
          <w:szCs w:val="28"/>
          <w:lang w:val="uk-UA" w:eastAsia="zh-CN" w:bidi="ar-SA"/>
        </w:rPr>
        <w:t>пунктами 135-136 постанови Кабінету Міністрів України від 17.10.2012 № 1051 «Про затвердження Порядку ведення Державного земельного кадастру», міська рада</w:t>
      </w:r>
    </w:p>
    <w:p>
      <w:pPr>
        <w:pStyle w:val="Normal"/>
        <w:ind w:firstLine="708"/>
        <w:jc w:val="both"/>
        <w:rPr>
          <w:rFonts w:ascii="Times New Roman" w:hAnsi="Times New Roman"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 w:ascii="Times New Roman" w:hAnsi="Times New Roman"/>
          <w:color w:val="000000"/>
          <w:spacing w:val="-4"/>
          <w:kern w:val="0"/>
          <w:sz w:val="28"/>
          <w:szCs w:val="28"/>
          <w:lang w:val="uk-UA" w:eastAsia="zh-CN" w:bidi="ar-SA"/>
        </w:rPr>
      </w:r>
    </w:p>
    <w:p>
      <w:pPr>
        <w:pStyle w:val="Normal"/>
        <w:ind w:firstLine="708"/>
        <w:jc w:val="both"/>
        <w:rPr>
          <w:rFonts w:ascii="Times New Roman" w:hAnsi="Times New Roman"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 w:ascii="Times New Roman" w:hAnsi="Times New Roman"/>
          <w:color w:val="000000"/>
          <w:spacing w:val="-4"/>
          <w:kern w:val="0"/>
          <w:sz w:val="28"/>
          <w:szCs w:val="28"/>
          <w:lang w:val="uk-UA" w:eastAsia="zh-CN" w:bidi="ar-SA"/>
        </w:rPr>
      </w:r>
    </w:p>
    <w:p>
      <w:pPr>
        <w:pStyle w:val="Normal"/>
        <w:ind w:firstLine="708"/>
        <w:jc w:val="both"/>
        <w:rPr>
          <w:rFonts w:ascii="Times New Roman" w:hAnsi="Times New Roman"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 w:ascii="Times New Roman" w:hAnsi="Times New Roman"/>
          <w:color w:val="000000"/>
          <w:spacing w:val="-4"/>
          <w:kern w:val="0"/>
          <w:sz w:val="28"/>
          <w:szCs w:val="28"/>
          <w:lang w:val="uk-UA" w:eastAsia="zh-CN" w:bidi="ar-SA"/>
        </w:rPr>
      </w:r>
    </w:p>
    <w:p>
      <w:pPr>
        <w:pStyle w:val="Normal"/>
        <w:ind w:firstLine="708"/>
        <w:jc w:val="both"/>
        <w:rPr>
          <w:rFonts w:ascii="Times New Roman" w:hAnsi="Times New Roman"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 w:ascii="Times New Roman" w:hAnsi="Times New Roman"/>
          <w:color w:val="000000"/>
          <w:spacing w:val="-4"/>
          <w:kern w:val="0"/>
          <w:sz w:val="28"/>
          <w:szCs w:val="28"/>
          <w:lang w:val="uk-UA" w:eastAsia="zh-CN" w:bidi="ar-SA"/>
        </w:rPr>
      </w:r>
    </w:p>
    <w:p>
      <w:pPr>
        <w:pStyle w:val="Normal"/>
        <w:rPr>
          <w:rFonts w:ascii="Times New Roman" w:hAnsi="Times New Roman"/>
        </w:rPr>
      </w:pPr>
      <w:r>
        <w:rPr>
          <w:rFonts w:eastAsia="Times New Roman" w:cs="Times New Roman" w:ascii="Times New Roman" w:hAnsi="Times New Roman"/>
          <w:color w:val="000000"/>
          <w:spacing w:val="-4"/>
          <w:kern w:val="0"/>
          <w:sz w:val="28"/>
          <w:szCs w:val="28"/>
          <w:lang w:val="uk-UA" w:eastAsia="zh-CN" w:bidi="ar-SA"/>
        </w:rPr>
        <w:t>ВИРІШИЛА:</w:t>
      </w:r>
    </w:p>
    <w:p>
      <w:pPr>
        <w:pStyle w:val="Normal"/>
        <w:rPr>
          <w:rFonts w:ascii="Times New Roman" w:hAnsi="Times New Roman" w:eastAsia="Times New Roman" w:cs="Times New Roman"/>
          <w:color w:val="000000"/>
          <w:spacing w:val="-4"/>
          <w:kern w:val="0"/>
          <w:sz w:val="28"/>
          <w:szCs w:val="28"/>
          <w:lang w:val="uk-UA" w:eastAsia="zh-CN" w:bidi="ar-SA"/>
        </w:rPr>
      </w:pPr>
      <w:r>
        <w:rPr>
          <w:rFonts w:eastAsia="Times New Roman" w:cs="Times New Roman" w:ascii="Times New Roman" w:hAnsi="Times New Roman"/>
          <w:color w:val="000000"/>
          <w:spacing w:val="-4"/>
          <w:kern w:val="0"/>
          <w:sz w:val="28"/>
          <w:szCs w:val="28"/>
          <w:lang w:val="uk-UA" w:eastAsia="zh-CN" w:bidi="ar-SA"/>
        </w:rPr>
      </w:r>
    </w:p>
    <w:p>
      <w:pPr>
        <w:pStyle w:val="Normal"/>
        <w:ind w:firstLine="540"/>
        <w:jc w:val="both"/>
        <w:rPr/>
      </w:pPr>
      <w:r>
        <w:rPr>
          <w:rFonts w:eastAsia="Times New Roman" w:cs="Times New Roman" w:ascii="Times New Roman" w:hAnsi="Times New Roman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1. Надати дозвіл на розроблення технічної документації із землеустрою щодо поділу та об’єднання земельних ділянок комунальної власності на </w:t>
      </w:r>
      <w:r>
        <w:rPr>
          <w:rStyle w:val="Style12"/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highlight w:val="white"/>
          <w:u w:val="none"/>
          <w:em w:val="none"/>
          <w:lang w:val="ru-RU" w:eastAsia="zh-CN" w:bidi="ar-SA"/>
        </w:rPr>
        <w:t>вул. Яремчука Назарія</w:t>
      </w:r>
      <w:r>
        <w:rPr>
          <w:rStyle w:val="Style12"/>
          <w:rFonts w:eastAsia="Times New Roman" w:cs="Times New Roman" w:ascii="Times New Roman" w:hAnsi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auto"/>
          <w:spacing w:val="-4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, 11-Б</w:t>
      </w:r>
      <w:r>
        <w:rPr>
          <w:rFonts w:eastAsia="Times New Roman" w:cs="Times New Roman" w:ascii="Times New Roman" w:hAnsi="Times New Roman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 у м. Луцьку: земельна ділянка площею 0,4816 га з кадастровим номером 0710100000:33:025:0116, для обслуговування торгового закладу та стоянки автотранспорту </w:t>
      </w:r>
      <w:r>
        <w:rPr>
          <w:rStyle w:val="Style12"/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4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  <w:t>(03.10 – для будівництва та обслуговування адміністративних будинків, офісних будівель компаній, які займаються підприємницькою діяльністю, пов’язаною з отриманням прибутку)</w:t>
      </w:r>
      <w:r>
        <w:rPr>
          <w:rFonts w:eastAsia="Times New Roman" w:cs="Times New Roman" w:ascii="Times New Roman" w:hAnsi="Times New Roman"/>
          <w:color w:val="000000"/>
          <w:spacing w:val="-4"/>
          <w:kern w:val="0"/>
          <w:sz w:val="28"/>
          <w:szCs w:val="28"/>
          <w:lang w:val="uk-UA" w:eastAsia="zh-CN" w:bidi="ar-SA"/>
        </w:rPr>
        <w:t>, згідно з додатком.</w:t>
      </w:r>
    </w:p>
    <w:p>
      <w:pPr>
        <w:pStyle w:val="Normal"/>
        <w:widowControl w:val="false"/>
        <w:ind w:firstLine="540"/>
        <w:jc w:val="both"/>
        <w:rPr>
          <w:rFonts w:ascii="Times New Roman" w:hAnsi="Times New Roman"/>
        </w:rPr>
      </w:pPr>
      <w:r>
        <w:rPr>
          <w:rFonts w:eastAsia="Times New Roman" w:cs="Times New Roman" w:ascii="Times New Roman" w:hAnsi="Times New Roman"/>
          <w:color w:val="000000"/>
          <w:spacing w:val="-4"/>
          <w:kern w:val="0"/>
          <w:sz w:val="28"/>
          <w:szCs w:val="28"/>
          <w:lang w:val="uk-UA" w:eastAsia="zh-CN" w:bidi="ar-SA"/>
        </w:rPr>
        <w:t>2. Внести відомості до Державного земельного кадастру про новостворені земельні ділянки, згідно з порядком, визначеним чинним законодавством України.</w:t>
      </w:r>
    </w:p>
    <w:p>
      <w:pPr>
        <w:pStyle w:val="Normal"/>
        <w:ind w:firstLine="540"/>
        <w:jc w:val="both"/>
        <w:rPr>
          <w:rFonts w:ascii="Times New Roman" w:hAnsi="Times New Roman"/>
        </w:rPr>
      </w:pPr>
      <w:r>
        <w:rPr>
          <w:rFonts w:eastAsia="Times New Roman" w:cs="Times New Roman" w:ascii="Times New Roman" w:hAnsi="Times New Roman"/>
          <w:color w:val="000000"/>
          <w:spacing w:val="-4"/>
          <w:kern w:val="0"/>
          <w:sz w:val="28"/>
          <w:szCs w:val="28"/>
          <w:lang w:val="uk-UA" w:eastAsia="zh-CN" w:bidi="ar-SA"/>
        </w:rPr>
        <w:t>3. Розроблену технічну документацію із землеустрою щодо поділу та об’єднання земельних ділянок комунальної власності подати на затвердження до міської ради.</w:t>
      </w:r>
    </w:p>
    <w:p>
      <w:pPr>
        <w:pStyle w:val="Normal"/>
        <w:ind w:firstLine="540"/>
        <w:jc w:val="both"/>
        <w:rPr/>
      </w:pPr>
      <w:r>
        <w:rPr>
          <w:rStyle w:val="Style12"/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6"/>
          <w:kern w:val="0"/>
          <w:sz w:val="28"/>
          <w:szCs w:val="28"/>
          <w:highlight w:val="white"/>
          <w:u w:val="none"/>
          <w:shd w:fill="auto" w:val="clear"/>
          <w:em w:val="none"/>
          <w:lang w:val="uk-UA" w:eastAsia="zh-CN" w:bidi="ar-SA"/>
        </w:rPr>
        <w:t>4. Контроль за виконанням рішення покласти на заступника міського голови з питань діяльності виконавчих органів міської ради Валентина Хаймика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2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2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2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2"/>
          <w:kern w:val="0"/>
          <w:sz w:val="28"/>
          <w:szCs w:val="28"/>
          <w:highlight w:val="white"/>
          <w:u w:val="none"/>
          <w:shd w:fill="FFFFFF" w:val="clear"/>
          <w:lang w:val="uk-UA" w:eastAsia="zh-CN" w:bidi="ar-SA"/>
        </w:rPr>
      </w:r>
    </w:p>
    <w:p>
      <w:pPr>
        <w:pStyle w:val="Normal"/>
        <w:widowControl w:val="false"/>
        <w:bidi w:val="0"/>
        <w:jc w:val="both"/>
        <w:rPr/>
      </w:pPr>
      <w:r>
        <w:rPr>
          <w:rStyle w:val="Style12"/>
          <w:rFonts w:eastAsia="Times New Roman" w:cs="Times New Roman" w:ascii="Times New Roman" w:hAnsi="Times New Roman"/>
          <w:b w:val="false"/>
          <w:bCs w:val="false"/>
          <w:i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shd w:fill="FFFFFF" w:val="clear"/>
          <w:em w:val="none"/>
          <w:lang w:val="uk-UA" w:eastAsia="ru-RU" w:bidi="ar-SA"/>
        </w:rPr>
        <w:t>С</w:t>
      </w:r>
      <w:r>
        <w:rPr>
          <w:rStyle w:val="Style12"/>
          <w:rFonts w:eastAsia="Times New Roman" w:cs="Times New Roman" w:ascii="Times New Roman" w:hAnsi="Times New Roman"/>
          <w:b w:val="false"/>
          <w:bCs w:val="false"/>
          <w:i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8"/>
          <w:szCs w:val="28"/>
          <w:highlight w:val="white"/>
          <w:u w:val="none"/>
          <w:shd w:fill="FFFFFF" w:val="clear"/>
          <w:em w:val="none"/>
          <w:lang w:val="uk-UA" w:eastAsia="zh-CN" w:bidi="ar-SA"/>
        </w:rPr>
        <w:t>екретар міської ради                                                         Андрій РАЗУМОВСЬКИЙ</w:t>
      </w:r>
    </w:p>
    <w:p>
      <w:pPr>
        <w:pStyle w:val="Normal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6"/>
          <w:kern w:val="0"/>
          <w:sz w:val="26"/>
          <w:szCs w:val="26"/>
          <w:highlight w:val="white"/>
          <w:u w:val="none"/>
          <w:shd w:fill="FFFFFF" w:val="clear"/>
          <w:lang w:val="uk-UA" w:eastAsia="zh-CN" w:bidi="ar-SA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6"/>
          <w:kern w:val="0"/>
          <w:sz w:val="26"/>
          <w:szCs w:val="26"/>
          <w:highlight w:val="white"/>
          <w:u w:val="none"/>
          <w:shd w:fill="FFFFFF" w:val="clear"/>
          <w:lang w:val="uk-UA" w:eastAsia="zh-CN" w:bidi="ar-SA"/>
        </w:rPr>
      </w:r>
    </w:p>
    <w:p>
      <w:pPr>
        <w:pStyle w:val="Normal"/>
        <w:rPr>
          <w:rFonts w:ascii="Times New Roman" w:hAnsi="Times New Roman" w:eastAsia="Times New Roman" w:cs="Times New Roman"/>
          <w:b w:val="false"/>
          <w:b w:val="false"/>
          <w:bCs/>
          <w:i w:val="false"/>
          <w:i w:val="false"/>
          <w:iCs w:val="false"/>
          <w:caps w:val="false"/>
          <w:smallCaps w:val="false"/>
          <w:strike w:val="false"/>
          <w:dstrike w:val="false"/>
          <w:color w:val="000000"/>
          <w:spacing w:val="-4"/>
          <w:kern w:val="0"/>
          <w:sz w:val="28"/>
          <w:szCs w:val="28"/>
          <w:highlight w:val="white"/>
          <w:u w:val="none"/>
          <w:shd w:fill="FFFFFF" w:val="clear"/>
          <w:lang w:val="uk-UA" w:eastAsia="ru-RU" w:bidi="ar-SA"/>
        </w:rPr>
      </w:pPr>
      <w:r>
        <w:rPr>
          <w:rFonts w:eastAsia="Times New Roman" w:cs="Times New Roman" w:ascii="Times New Roman" w:hAnsi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color w:val="000000"/>
          <w:spacing w:val="-4"/>
          <w:kern w:val="0"/>
          <w:sz w:val="28"/>
          <w:szCs w:val="28"/>
          <w:highlight w:val="white"/>
          <w:u w:val="none"/>
          <w:shd w:fill="FFFFFF" w:val="clear"/>
          <w:lang w:val="uk-UA" w:eastAsia="ru-RU" w:bidi="ar-SA"/>
        </w:rPr>
      </w:r>
    </w:p>
    <w:p>
      <w:pPr>
        <w:pStyle w:val="Normal"/>
        <w:widowControl w:val="false"/>
        <w:jc w:val="both"/>
        <w:rPr/>
      </w:pPr>
      <w:r>
        <w:rPr>
          <w:rStyle w:val="Style12"/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-4"/>
          <w:kern w:val="0"/>
          <w:sz w:val="24"/>
          <w:szCs w:val="24"/>
          <w:highlight w:val="white"/>
          <w:u w:val="none"/>
          <w:shd w:fill="FFFFFF" w:val="clear"/>
          <w:em w:val="none"/>
          <w:lang w:val="ru-RU" w:eastAsia="zh-CN" w:bidi="ar-SA"/>
        </w:rPr>
        <w:t>Гула 777 873</w:t>
      </w:r>
    </w:p>
    <w:sectPr>
      <w:type w:val="nextPage"/>
      <w:pgSz w:w="11906" w:h="16838"/>
      <w:pgMar w:left="1701" w:right="567" w:gutter="0" w:header="0" w:top="567" w:footer="0" w:bottom="1701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egoe UI" w:cs="Tahoma"/>
        <w:color w:val="000000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bidi w:val="0"/>
      <w:spacing w:before="0" w:after="0"/>
      <w:jc w:val="left"/>
    </w:pPr>
    <w:rPr>
      <w:rFonts w:ascii="Liberation Serif" w:hAnsi="Liberation Serif" w:eastAsia="Segoe UI" w:cs="Tahoma"/>
      <w:color w:val="000000"/>
      <w:kern w:val="0"/>
      <w:sz w:val="24"/>
      <w:szCs w:val="24"/>
      <w:lang w:val="uk-UA" w:eastAsia="zh-CN" w:bidi="hi-IN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Style12">
    <w:name w:val="Emphasis"/>
    <w:qFormat/>
    <w:rPr>
      <w:i/>
      <w:iCs/>
    </w:rPr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76" w:before="0" w:after="140"/>
    </w:pPr>
    <w:rPr/>
  </w:style>
  <w:style w:type="paragraph" w:styleId="Style15">
    <w:name w:val="List"/>
    <w:basedOn w:val="Style14"/>
    <w:pPr/>
    <w:rPr>
      <w:rFonts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Arial"/>
      <w:lang w:val="zxx" w:eastAsia="zxx" w:bidi="zxx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</TotalTime>
  <Application>LibreOffice/7.4.0.3$Windows_X86_64 LibreOffice_project/f85e47c08ddd19c015c0114a68350214f7066f5a</Application>
  <AppVersion>15.0000</AppVersion>
  <Pages>3</Pages>
  <Words>872</Words>
  <Characters>5811</Characters>
  <CharactersWithSpaces>6815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uk-UA</dc:language>
  <cp:lastModifiedBy/>
  <dcterms:modified xsi:type="dcterms:W3CDTF">2026-07-30T12:40:37Z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