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5103"/>
        <w:rPr>
          <w:sz w:val="28"/>
          <w:lang w:val="uk-UA"/>
        </w:rPr>
      </w:pPr>
      <w:r>
        <w:rPr>
          <w:sz w:val="28"/>
          <w:lang w:val="uk-UA"/>
        </w:rPr>
        <w:t xml:space="preserve">Додаток </w:t>
      </w:r>
    </w:p>
    <w:p>
      <w:pPr>
        <w:pStyle w:val="Normal"/>
        <w:ind w:hanging="0" w:start="5103"/>
        <w:rPr>
          <w:sz w:val="28"/>
          <w:lang w:val="uk-UA"/>
        </w:rPr>
      </w:pPr>
      <w:r>
        <w:rPr>
          <w:sz w:val="28"/>
          <w:lang w:val="uk-UA"/>
        </w:rPr>
        <w:t xml:space="preserve">до рішення міської ради </w:t>
      </w:r>
    </w:p>
    <w:p>
      <w:pPr>
        <w:pStyle w:val="Normal"/>
        <w:ind w:hanging="0" w:start="5103"/>
        <w:rPr>
          <w:sz w:val="28"/>
          <w:lang w:val="uk-UA"/>
        </w:rPr>
      </w:pPr>
      <w:r>
        <w:rPr>
          <w:sz w:val="28"/>
          <w:lang w:val="uk-UA"/>
        </w:rPr>
        <w:t>_______________№ ___________</w:t>
      </w:r>
    </w:p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</w:r>
    </w:p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ПАСПОРТ  ПРОГРАМИ</w:t>
      </w:r>
    </w:p>
    <w:tbl>
      <w:tblPr>
        <w:tblW w:w="10491" w:type="dxa"/>
        <w:jc w:val="start"/>
        <w:tblInd w:w="-84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513"/>
        <w:gridCol w:w="4775"/>
        <w:gridCol w:w="5203"/>
      </w:tblGrid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Ініціатор розроблення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Луцька міська рада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Дата, номер та назва документу органу виконавчої влади про розроблення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highlight w:val="yellow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Розробник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highlight w:val="yellow"/>
                <w:lang w:val="uk-UA"/>
              </w:rPr>
            </w:pPr>
            <w:r>
              <w:rPr>
                <w:sz w:val="28"/>
                <w:lang w:val="uk-UA"/>
              </w:rPr>
              <w:t xml:space="preserve">Департамент житлово-комунального господарства Луцької міської ради 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Співрозробники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Об’єднання співвласників багатоквартирних будинків Луцької міської територіальної громади (далі – ОСББ, Позичальники)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start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Департамент житлово-комунального господарства Луцької міської ради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Учасники Програми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ОСББ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Термін реалізації Програми 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202</w:t>
            </w:r>
            <w:r>
              <w:rPr>
                <w:color w:val="auto"/>
                <w:sz w:val="28"/>
                <w:lang w:val="uk-UA"/>
              </w:rPr>
              <w:t>1–2032 роки</w:t>
            </w:r>
          </w:p>
        </w:tc>
      </w:tr>
      <w:tr>
        <w:trPr>
          <w:trHeight w:val="821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auto"/>
              </w:rPr>
            </w:pPr>
            <w:r>
              <w:rPr>
                <w:color w:val="auto"/>
                <w:sz w:val="28"/>
                <w:lang w:val="uk-UA"/>
              </w:rPr>
              <w:t>Загальний обсяг фінансових  ресурсів, необхідних для реалізації Програми, всього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6 461 000</w:t>
            </w:r>
            <w:r>
              <w:rPr>
                <w:rFonts w:eastAsia="Times New Roman" w:cs="Times New Roman"/>
                <w:iCs/>
                <w:color w:val="auto"/>
                <w:sz w:val="28"/>
                <w:szCs w:val="28"/>
                <w:lang w:val="uk-UA" w:eastAsia="ru-RU"/>
              </w:rPr>
              <w:t>,0</w:t>
            </w:r>
            <w:r>
              <w:rPr>
                <w:color w:val="auto"/>
                <w:sz w:val="28"/>
                <w:lang w:val="uk-UA"/>
              </w:rPr>
              <w:t xml:space="preserve"> тис. грн</w:t>
            </w:r>
          </w:p>
        </w:tc>
      </w:tr>
      <w:tr>
        <w:trPr>
          <w:trHeight w:val="373" w:hRule="atLeast"/>
        </w:trPr>
        <w:tc>
          <w:tcPr>
            <w:tcW w:w="104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firstLine="720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у тому числі:</w:t>
            </w:r>
          </w:p>
        </w:tc>
      </w:tr>
      <w:tr>
        <w:trPr>
          <w:trHeight w:val="1024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end="-108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8.1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кошти бюджету Луцької міської територіальної громади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2021 рік – 20 000,00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2022 рік – 25 000,00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2023 рік – 30 000,00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2024 рік – 40 000,00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2025 рік – 43 000,00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2026 рік – 47 000,00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2027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52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2028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57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63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69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31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76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32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84</w:t>
            </w:r>
            <w:r>
              <w:rPr>
                <w:sz w:val="28"/>
                <w:szCs w:val="28"/>
              </w:rPr>
              <w:t xml:space="preserve"> 000,00 тис. грн</w:t>
            </w:r>
          </w:p>
        </w:tc>
      </w:tr>
      <w:tr>
        <w:trPr>
          <w:trHeight w:val="723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end="-108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8.2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кошти співвласників</w:t>
            </w:r>
          </w:p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відповідно до Державної цільової програми енергоефективності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2021 рік – 40 000,00 тис. грн</w:t>
            </w:r>
          </w:p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2022 рік – 50 000,00 тис. грн</w:t>
            </w:r>
          </w:p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2023 рік – 60 000,00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2024 рік – 80 000,00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2025 рік – 86 000,00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2026 рік – 94 000,00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2027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156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2028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171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189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207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31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228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32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252</w:t>
            </w:r>
            <w:r>
              <w:rPr>
                <w:sz w:val="28"/>
                <w:szCs w:val="28"/>
              </w:rPr>
              <w:t xml:space="preserve"> 000,00 тис. грн</w:t>
            </w:r>
          </w:p>
        </w:tc>
      </w:tr>
      <w:tr>
        <w:trPr>
          <w:trHeight w:val="723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end="-108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8.3</w:t>
            </w:r>
          </w:p>
        </w:tc>
        <w:tc>
          <w:tcPr>
            <w:tcW w:w="4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кошти інших джерел відповідно до Державної цільової програми енергоефективності</w:t>
            </w:r>
          </w:p>
        </w:tc>
        <w:tc>
          <w:tcPr>
            <w:tcW w:w="5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2021 рік – 140 000,00 тис. грн</w:t>
            </w:r>
          </w:p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2022 рік – 175 000,00 тис. грн</w:t>
            </w:r>
          </w:p>
          <w:p>
            <w:pPr>
              <w:pStyle w:val="Normal"/>
              <w:widowControl w:val="false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2023 рік – 210 000,00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2024 рік – 280 000,00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2025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300 </w:t>
            </w:r>
            <w:r>
              <w:rPr>
                <w:color w:val="auto"/>
                <w:sz w:val="28"/>
                <w:lang w:val="uk-UA"/>
              </w:rPr>
              <w:t>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>2026 рік – 330 000,00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2027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364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color w:val="auto"/>
                <w:sz w:val="28"/>
                <w:lang w:val="uk-UA"/>
              </w:rPr>
            </w:pPr>
            <w:r>
              <w:rPr>
                <w:color w:val="auto"/>
                <w:sz w:val="28"/>
                <w:lang w:val="uk-UA"/>
              </w:rPr>
              <w:t xml:space="preserve">2028 рік – </w:t>
            </w:r>
            <w:r>
              <w:rPr>
                <w:rFonts w:eastAsia="Times New Roman" w:cs="Times New Roman"/>
                <w:iCs/>
                <w:color w:val="auto"/>
                <w:kern w:val="0"/>
                <w:sz w:val="28"/>
                <w:szCs w:val="28"/>
                <w:lang w:val="uk-UA" w:eastAsia="ru-RU" w:bidi="ar-SA"/>
              </w:rPr>
              <w:t>399</w:t>
            </w:r>
            <w:r>
              <w:rPr>
                <w:color w:val="auto"/>
                <w:sz w:val="28"/>
                <w:lang w:val="uk-UA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441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30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483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31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532</w:t>
            </w:r>
            <w:r>
              <w:rPr>
                <w:sz w:val="28"/>
                <w:szCs w:val="28"/>
              </w:rPr>
              <w:t xml:space="preserve"> 000,00 тис. грн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>32</w:t>
            </w:r>
            <w:r>
              <w:rPr>
                <w:sz w:val="28"/>
                <w:szCs w:val="28"/>
              </w:rPr>
              <w:t xml:space="preserve"> рік – </w:t>
            </w:r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uk-UA" w:eastAsia="ru-RU" w:bidi="ar-SA"/>
              </w:rPr>
              <w:t>588</w:t>
            </w:r>
            <w:r>
              <w:rPr>
                <w:sz w:val="28"/>
                <w:szCs w:val="28"/>
              </w:rPr>
              <w:t xml:space="preserve"> 000,00 тис. грн</w:t>
            </w:r>
          </w:p>
        </w:tc>
      </w:tr>
    </w:tbl>
    <w:p>
      <w:pPr>
        <w:pStyle w:val="Normal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</w:r>
    </w:p>
    <w:p>
      <w:pPr>
        <w:pStyle w:val="Normal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</w:r>
    </w:p>
    <w:p>
      <w:pPr>
        <w:pStyle w:val="Normal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</w:r>
    </w:p>
    <w:p>
      <w:pPr>
        <w:pStyle w:val="Normal"/>
        <w:widowControl/>
        <w:suppressAutoHyphens w:val="true"/>
        <w:bidi w:val="0"/>
        <w:spacing w:before="0" w:after="0"/>
        <w:ind w:hanging="850" w:start="0" w:end="0"/>
        <w:jc w:val="start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Секретар міської ради</w:t>
        <w:tab/>
        <w:tab/>
        <w:tab/>
        <w:tab/>
        <w:tab/>
        <w:tab/>
        <w:t xml:space="preserve">       </w:t>
      </w:r>
      <w:r>
        <w:rPr>
          <w:color w:val="000000"/>
          <w:sz w:val="28"/>
          <w:szCs w:val="28"/>
          <w:lang w:val="uk-UA"/>
        </w:rPr>
        <w:t>Андрій РАЗУМОВСЬКИЙ</w:t>
      </w:r>
    </w:p>
    <w:p>
      <w:pPr>
        <w:pStyle w:val="Normal"/>
        <w:widowControl/>
        <w:suppressAutoHyphens w:val="true"/>
        <w:bidi w:val="0"/>
        <w:spacing w:before="0" w:after="0"/>
        <w:ind w:hanging="850" w:start="0" w:end="0"/>
        <w:jc w:val="start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br/>
      </w:r>
    </w:p>
    <w:p>
      <w:pPr>
        <w:pStyle w:val="Normal"/>
        <w:widowControl/>
        <w:suppressAutoHyphens w:val="true"/>
        <w:bidi w:val="0"/>
        <w:spacing w:before="0" w:after="0"/>
        <w:ind w:hanging="850" w:start="0" w:end="0"/>
        <w:jc w:val="start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</w:r>
    </w:p>
    <w:p>
      <w:pPr>
        <w:pStyle w:val="Normal"/>
        <w:widowControl/>
        <w:suppressAutoHyphens w:val="true"/>
        <w:bidi w:val="0"/>
        <w:spacing w:before="0" w:after="0"/>
        <w:ind w:hanging="850" w:start="0" w:end="0"/>
        <w:jc w:val="both"/>
        <w:rPr>
          <w:lang w:val="uk-UA"/>
        </w:r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7" w:gutter="0" w:header="454" w:top="511" w:footer="0" w:bottom="1134"/>
          <w:pgNumType w:start="2" w:fmt="decimal"/>
          <w:formProt w:val="false"/>
          <w:textDirection w:val="lrTb"/>
          <w:docGrid w:type="default" w:linePitch="360" w:charSpace="0"/>
        </w:sectPr>
      </w:pPr>
      <w:r>
        <w:rPr>
          <w:lang w:val="uk-UA"/>
        </w:rPr>
        <w:t>Гаврилюк 773 150</w:t>
      </w:r>
    </w:p>
    <w:p>
      <w:pPr>
        <w:pStyle w:val="Normal"/>
        <w:widowControl/>
        <w:suppressAutoHyphens w:val="true"/>
        <w:bidi w:val="0"/>
        <w:spacing w:before="0" w:after="0"/>
        <w:ind w:hanging="850" w:start="0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firstLine="4479" w:start="4932" w:end="0"/>
        <w:jc w:val="both"/>
        <w:rPr>
          <w:sz w:val="28"/>
          <w:lang w:val="uk-UA"/>
        </w:rPr>
      </w:pPr>
      <w:r>
        <w:rPr>
          <w:sz w:val="28"/>
          <w:lang w:val="uk-UA"/>
        </w:rPr>
        <w:t>Додаток 1</w:t>
      </w:r>
    </w:p>
    <w:p>
      <w:pPr>
        <w:pStyle w:val="Normal"/>
        <w:widowControl/>
        <w:suppressAutoHyphens w:val="true"/>
        <w:bidi w:val="0"/>
        <w:spacing w:before="0" w:after="0"/>
        <w:ind w:hanging="0" w:start="9411" w:end="0"/>
        <w:jc w:val="both"/>
        <w:rPr/>
      </w:pPr>
      <w:r>
        <w:rPr>
          <w:sz w:val="28"/>
          <w:lang w:val="uk-UA"/>
        </w:rPr>
        <w:t>до Програми відшкодування частини</w:t>
        <w:br/>
        <w:t>суми кредитів ОСББ Луцької</w:t>
        <w:br/>
        <w:t>міської територіальної громади,</w:t>
        <w:br/>
        <w:t>залучених на впровадження в будинках енергоефективних та енергозберігаючих заходів на 2021–</w:t>
      </w:r>
      <w:r>
        <w:rPr>
          <w:color w:val="auto"/>
          <w:sz w:val="28"/>
          <w:lang w:val="uk-UA"/>
        </w:rPr>
        <w:t>2032 роки</w:t>
      </w:r>
    </w:p>
    <w:p>
      <w:pPr>
        <w:pStyle w:val="Normal"/>
        <w:jc w:val="both"/>
        <w:rPr>
          <w:sz w:val="28"/>
          <w:lang w:val="uk-UA"/>
        </w:rPr>
      </w:pPr>
      <w:r>
        <w:rPr>
          <w:sz w:val="28"/>
          <w:lang w:val="uk-UA"/>
        </w:rPr>
      </w:r>
    </w:p>
    <w:p>
      <w:pPr>
        <w:pStyle w:val="Normal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Ресурсне забезпечення </w:t>
      </w:r>
    </w:p>
    <w:p>
      <w:pPr>
        <w:pStyle w:val="Normal"/>
        <w:jc w:val="center"/>
        <w:rPr>
          <w:sz w:val="28"/>
          <w:lang w:val="uk-UA"/>
        </w:rPr>
      </w:pPr>
      <w:r>
        <w:rPr>
          <w:sz w:val="28"/>
          <w:lang w:val="uk-UA"/>
        </w:rPr>
        <w:t>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</w:t>
      </w:r>
      <w:r>
        <w:rPr>
          <w:color w:val="auto"/>
          <w:sz w:val="28"/>
          <w:lang w:val="uk-UA"/>
        </w:rPr>
        <w:t>–2032 роки</w:t>
      </w:r>
    </w:p>
    <w:p>
      <w:pPr>
        <w:pStyle w:val="Normal"/>
        <w:rPr>
          <w:iCs w:val="false"/>
          <w:color w:val="auto"/>
          <w:sz w:val="28"/>
          <w:lang w:val="uk-UA"/>
        </w:rPr>
      </w:pPr>
      <w:r>
        <w:rPr>
          <w:iCs w:val="false"/>
          <w:color w:val="auto"/>
          <w:sz w:val="28"/>
          <w:lang w:val="uk-UA"/>
        </w:rPr>
      </w:r>
    </w:p>
    <w:tbl>
      <w:tblPr>
        <w:tblpPr w:vertAnchor="text" w:horzAnchor="text" w:leftFromText="180" w:rightFromText="180" w:tblpX="-310" w:tblpY="1"/>
        <w:tblW w:w="15465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1362"/>
        <w:gridCol w:w="1072"/>
        <w:gridCol w:w="1070"/>
        <w:gridCol w:w="1072"/>
        <w:gridCol w:w="1070"/>
        <w:gridCol w:w="1071"/>
        <w:gridCol w:w="1072"/>
        <w:gridCol w:w="1070"/>
        <w:gridCol w:w="1072"/>
        <w:gridCol w:w="1070"/>
        <w:gridCol w:w="1072"/>
        <w:gridCol w:w="1070"/>
        <w:gridCol w:w="1072"/>
        <w:gridCol w:w="1250"/>
      </w:tblGrid>
      <w:tr>
        <w:trPr/>
        <w:tc>
          <w:tcPr>
            <w:tcW w:w="13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 xml:space="preserve">Обсяг коштів, які пропонується залучити на виконання Програми, </w:t>
              <w:br/>
              <w:t>тис. грн</w:t>
            </w:r>
          </w:p>
        </w:tc>
        <w:tc>
          <w:tcPr>
            <w:tcW w:w="12853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color w:val="auto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color w:val="auto"/>
                <w:sz w:val="20"/>
                <w:szCs w:val="20"/>
                <w:lang w:val="uk-UA"/>
              </w:rPr>
              <w:t>Етапи  виконання програми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57"/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auto"/>
                <w:sz w:val="18"/>
                <w:szCs w:val="18"/>
                <w:lang w:val="uk-UA"/>
              </w:rPr>
              <w:t xml:space="preserve">Загальний  обсяг фінансування Програми, </w:t>
              <w:br/>
              <w:t>тис. грн</w:t>
            </w:r>
          </w:p>
        </w:tc>
      </w:tr>
      <w:tr>
        <w:trPr/>
        <w:tc>
          <w:tcPr>
            <w:tcW w:w="13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2024 рік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2025 рік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2027 рік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2028 рік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2029 рік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2030 рік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2031 рік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2032 рік</w:t>
            </w:r>
          </w:p>
        </w:tc>
        <w:tc>
          <w:tcPr>
            <w:tcW w:w="12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</w:r>
          </w:p>
        </w:tc>
      </w:tr>
      <w:tr>
        <w:trPr>
          <w:trHeight w:val="1504" w:hRule="atLeast"/>
        </w:trPr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Обсяг фінансових ресурсів всього, у тому числі: бюджет міської територіальної громади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25000,00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40000,00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43000,00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47000,00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52000,00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57000,00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63000,00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69000,00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76000,00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84000,00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606</w:t>
            </w:r>
            <w:r>
              <w:rPr>
                <w:color w:val="auto"/>
                <w:sz w:val="20"/>
                <w:szCs w:val="20"/>
                <w:lang w:val="en-US"/>
              </w:rPr>
              <w:t>000,00</w:t>
            </w:r>
          </w:p>
        </w:tc>
      </w:tr>
      <w:tr>
        <w:trPr/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кошти співвласників відповідно до Державної цільової програми енергоефективності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25" w:leader="none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50000,00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80000,00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86000,00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94000,00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156</w:t>
            </w:r>
            <w:r>
              <w:rPr>
                <w:color w:val="auto"/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171000,00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189000,00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207000,00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228000,00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0"/>
                <w:szCs w:val="20"/>
                <w:lang w:val="uk-UA"/>
              </w:rPr>
              <w:t>252000,00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1613</w:t>
            </w:r>
            <w:r>
              <w:rPr>
                <w:color w:val="auto"/>
                <w:sz w:val="20"/>
                <w:szCs w:val="20"/>
                <w:lang w:val="uk-UA"/>
              </w:rPr>
              <w:t>000,00</w:t>
            </w:r>
          </w:p>
        </w:tc>
      </w:tr>
      <w:tr>
        <w:trPr>
          <w:trHeight w:val="1202" w:hRule="atLeast"/>
        </w:trPr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кошти інших джерел відповідно до Державної цільової програми енергоефективності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start="0" w:end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140000,00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175000,00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210000,00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280000,00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300000,00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330000,00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364</w:t>
            </w:r>
            <w:r>
              <w:rPr>
                <w:color w:val="auto"/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399</w:t>
            </w:r>
            <w:r>
              <w:rPr>
                <w:color w:val="auto"/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uk-UA" w:eastAsia="ru-RU" w:bidi="ar-SA"/>
              </w:rPr>
              <w:t>441</w:t>
            </w:r>
            <w:r>
              <w:rPr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uk-UA" w:eastAsia="ru-RU" w:bidi="ar-SA"/>
              </w:rPr>
              <w:t>483</w:t>
            </w:r>
            <w:r>
              <w:rPr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uk-UA" w:eastAsia="ru-RU" w:bidi="ar-SA"/>
              </w:rPr>
              <w:t>532</w:t>
            </w:r>
            <w:r>
              <w:rPr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uk-UA" w:eastAsia="ru-RU" w:bidi="ar-SA"/>
              </w:rPr>
              <w:t>588</w:t>
            </w:r>
            <w:r>
              <w:rPr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0"/>
                <w:szCs w:val="20"/>
                <w:lang w:val="uk-UA" w:eastAsia="ru-RU" w:bidi="ar-SA"/>
              </w:rPr>
              <w:t>4242</w:t>
            </w:r>
            <w:r>
              <w:rPr>
                <w:color w:val="auto"/>
                <w:sz w:val="20"/>
                <w:szCs w:val="20"/>
                <w:lang w:val="uk-UA"/>
              </w:rPr>
              <w:t>000,00</w:t>
            </w:r>
          </w:p>
        </w:tc>
      </w:tr>
    </w:tbl>
    <w:p>
      <w:pPr>
        <w:pStyle w:val="Normal"/>
        <w:rPr>
          <w:iCs w:val="false"/>
          <w:color w:val="auto"/>
          <w:sz w:val="28"/>
          <w:lang w:val="uk-UA"/>
        </w:rPr>
      </w:pPr>
      <w:r>
        <w:rPr>
          <w:iCs w:val="false"/>
          <w:color w:val="auto"/>
          <w:sz w:val="28"/>
          <w:lang w:val="uk-UA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0" w:end="0"/>
        <w:jc w:val="start"/>
        <w:rPr>
          <w:szCs w:val="24"/>
          <w:lang w:val="uk-UA"/>
        </w:rPr>
      </w:pPr>
      <w:r>
        <w:rPr>
          <w:szCs w:val="24"/>
          <w:lang w:val="uk-UA"/>
        </w:rPr>
        <w:t xml:space="preserve">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before="0" w:after="0"/>
        <w:ind w:hanging="0" w:start="0" w:end="0"/>
        <w:jc w:val="start"/>
        <w:rPr>
          <w:szCs w:val="24"/>
          <w:lang w:val="uk-UA"/>
        </w:rPr>
      </w:pPr>
      <w:r>
        <w:rPr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0" w:end="0"/>
        <w:jc w:val="start"/>
        <w:rPr>
          <w:szCs w:val="24"/>
          <w:lang w:val="uk-UA"/>
        </w:r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rPr>
          <w:szCs w:val="24"/>
          <w:lang w:val="uk-UA"/>
        </w:rPr>
        <w:t>Гаврилюк 773 150</w:t>
      </w:r>
    </w:p>
    <w:p>
      <w:pPr>
        <w:pStyle w:val="Normal"/>
        <w:ind w:hanging="0" w:start="991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>
        <w:rPr>
          <w:sz w:val="28"/>
          <w:lang w:val="uk-UA"/>
        </w:rPr>
        <w:t>Додаток 2</w:t>
      </w:r>
    </w:p>
    <w:p>
      <w:pPr>
        <w:pStyle w:val="Normal"/>
        <w:widowControl/>
        <w:suppressAutoHyphens w:val="true"/>
        <w:bidi w:val="0"/>
        <w:spacing w:before="0" w:after="0"/>
        <w:ind w:hanging="0" w:start="10205" w:end="0"/>
        <w:jc w:val="both"/>
        <w:rPr>
          <w:sz w:val="28"/>
          <w:lang w:val="uk-UA"/>
        </w:rPr>
      </w:pPr>
      <w:r>
        <w:rPr>
          <w:sz w:val="28"/>
          <w:lang w:val="uk-UA"/>
        </w:rPr>
        <w:t>до Програми відшкодування частини суми кредитів ОСББ Луцької міської територіальної громади, залучених</w:t>
        <w:br/>
        <w:t>на впровадження в будинках енергоефективних та енергозберігаючих заходів на 2021–</w:t>
      </w:r>
      <w:r>
        <w:rPr>
          <w:color w:val="auto"/>
          <w:sz w:val="28"/>
          <w:lang w:val="uk-UA"/>
        </w:rPr>
        <w:t>2032 роки</w:t>
      </w:r>
    </w:p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</w:r>
    </w:p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НАПРЯМИ ДІЯЛЬНОСТІ І ЗАХОДИ РЕАЛІЗАЦІЇ ПРОГРАМИ</w:t>
      </w:r>
    </w:p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</w:r>
    </w:p>
    <w:tbl>
      <w:tblPr>
        <w:tblW w:w="14250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val="01e0" w:firstRow="1" w:noVBand="0" w:lastRow="1" w:firstColumn="1" w:lastColumn="1" w:noHBand="0"/>
      </w:tblPr>
      <w:tblGrid>
        <w:gridCol w:w="303"/>
        <w:gridCol w:w="1929"/>
        <w:gridCol w:w="1930"/>
        <w:gridCol w:w="1676"/>
        <w:gridCol w:w="1674"/>
        <w:gridCol w:w="1676"/>
        <w:gridCol w:w="1868"/>
        <w:gridCol w:w="1868"/>
        <w:gridCol w:w="1326"/>
      </w:tblGrid>
      <w:tr>
        <w:trPr>
          <w:tblHeader w:val="true"/>
          <w:trHeight w:val="276" w:hRule="atLeast"/>
          <w:cantSplit/>
        </w:trPr>
        <w:tc>
          <w:tcPr>
            <w:tcW w:w="3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№ </w:t>
            </w:r>
            <w:r>
              <w:rPr>
                <w:b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Перелік заходів Програми 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1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Джерела фінансування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6D9F1" w:val="clear"/>
          </w:tcPr>
          <w:p>
            <w:pPr>
              <w:pStyle w:val="Normal"/>
              <w:widowControl w:val="false"/>
              <w:ind w:hanging="0" w:start="-136" w:end="-7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Орієнтовні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обсяги фінансування (вартість) </w:t>
              <w:br/>
              <w:t>тис. грн.</w:t>
            </w:r>
          </w:p>
        </w:tc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6D9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Очікуваний результат</w:t>
            </w:r>
          </w:p>
        </w:tc>
      </w:tr>
      <w:tr>
        <w:trPr>
          <w:tblHeader w:val="true"/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1</w:t>
            </w:r>
          </w:p>
        </w:tc>
        <w:tc>
          <w:tcPr>
            <w:tcW w:w="192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3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18"/>
                <w:szCs w:val="18"/>
                <w:lang w:val="uk-UA"/>
              </w:rPr>
              <w:t>4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5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</w:t>
            </w:r>
          </w:p>
        </w:tc>
        <w:tc>
          <w:tcPr>
            <w:tcW w:w="13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9</w:t>
            </w:r>
          </w:p>
        </w:tc>
      </w:tr>
      <w:tr>
        <w:trPr>
          <w:trHeight w:val="62" w:hRule="atLeast"/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1.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</w:tc>
        <w:tc>
          <w:tcPr>
            <w:tcW w:w="1929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Стимулювати впровадження енергоефективних заходів населенням та суб’єктами господарювання</w:t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jc w:val="star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Висвітленням в ЗМІ переваг та ефективності впровадження заходів з енергоефективності, в т.ч. на основі місцевого досвіду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ради, ОСББ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Фінансування не потребує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/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Скорочення споживання енергії кінцевим споживачем</w:t>
            </w:r>
          </w:p>
        </w:tc>
      </w:tr>
      <w:tr>
        <w:trPr>
          <w:cantSplit/>
        </w:trPr>
        <w:tc>
          <w:tcPr>
            <w:tcW w:w="303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2.</w:t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start"/>
              <w:rPr>
                <w:sz w:val="20"/>
                <w:szCs w:val="20"/>
              </w:rPr>
            </w:pPr>
            <w:bookmarkStart w:id="0" w:name="_Hlk27577940_копія_1"/>
            <w:r>
              <w:rPr>
                <w:sz w:val="20"/>
                <w:szCs w:val="20"/>
                <w:lang w:val="uk-UA"/>
              </w:rPr>
              <w:t>Надання фінансової підтримки та відшкодування частини суми кредитів  ОСББ Луцької міської територіальної громади, які беруть участь у програмах державної установи «Фонд енергоефективності», зокрема, програмах «</w:t>
            </w:r>
            <w:r>
              <w:rPr>
                <w:rFonts w:eastAsia="Times New Roman" w:cs="Times New Roman"/>
                <w:iCs/>
                <w:sz w:val="20"/>
                <w:szCs w:val="20"/>
                <w:lang w:val="uk-UA" w:eastAsia="ru-RU"/>
              </w:rPr>
              <w:t>ЕНЕРГОДІМ</w:t>
            </w:r>
            <w:r>
              <w:rPr>
                <w:sz w:val="20"/>
                <w:szCs w:val="20"/>
                <w:lang w:val="uk-UA"/>
              </w:rPr>
              <w:t xml:space="preserve">» та/або «ГРІНДІМ» та залучають кредитні кошти на впровадження </w:t>
            </w:r>
            <w:r>
              <w:rPr>
                <w:rFonts w:eastAsia="Times New Roman" w:cs="Times New Roman"/>
                <w:iCs/>
                <w:sz w:val="20"/>
                <w:szCs w:val="20"/>
                <w:lang w:val="uk-UA" w:eastAsia="ru-RU"/>
              </w:rPr>
              <w:t>в житлових будинках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bookmarkEnd w:id="0"/>
            <w:r>
              <w:rPr>
                <w:sz w:val="20"/>
                <w:szCs w:val="20"/>
                <w:lang w:val="uk-UA"/>
              </w:rPr>
              <w:t xml:space="preserve">енергозберігаючих заходів 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Бюджет Луцької міської </w:t>
              <w:br/>
              <w:t>територіальної громади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15500,00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21900,00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28000,00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39000,00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42000,00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46000,00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56000,00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2029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63000,00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2030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69000,00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76000,00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84000,00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ОСББ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співвласників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60000,00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80000,00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86000,00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94000,00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156000,00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171000,00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2029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189000,00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2030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207000,00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228000,00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trHeight w:val="402" w:hRule="atLeast"/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252000,00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Фонд ЕЕ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Кошти інших джерел Програм «ЕНЕРГОДІМ» та/або «ГРІНДІМ»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140000,00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175000,00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210000,00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280000,00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300000,00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330000,00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364000,00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399000,00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2029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441000,00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2030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483000,00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532000,00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588000,00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3.</w:t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star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Розробка, тиражування та поширення поліграфічної продукції навчального, довідкового, рекламного характеру; проведення круглих столів, семінарів, семінарів-тренінгів з питань енергозбереження та енергоефективності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ради, ОСББ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Фінансування не потребує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/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4.</w:t>
            </w:r>
          </w:p>
        </w:tc>
        <w:tc>
          <w:tcPr>
            <w:tcW w:w="192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083" w:after="1083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Забезпечити участь активних мешканців в реалізації місцевої енергетичної політики</w:t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28" w:after="22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Залучення до співпраці активної молоді та людей з громадських організацій і бізнесу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 xml:space="preserve">  </w:t>
            </w: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ради, ОСББ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Фінансування не потребує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</w:r>
          </w:p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/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Нові ідеї та проєкти</w:t>
            </w:r>
          </w:p>
        </w:tc>
      </w:tr>
      <w:tr>
        <w:trPr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5.</w:t>
            </w:r>
          </w:p>
        </w:tc>
        <w:tc>
          <w:tcPr>
            <w:tcW w:w="1929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14" w:after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Підвищити обізнаність населення з питань раціонального споживання енергії та оптимальних технічних рішень для скорочення споживання енергії на рівні кінцевого споживача</w:t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0"/>
                <w:sz w:val="20"/>
                <w:szCs w:val="20"/>
                <w:lang w:val="uk-UA" w:eastAsia="ru-RU"/>
              </w:rPr>
              <w:t>Створення окремого розділу на сайті міської ради, присвяченого підтримці інформаційних кампаній, місцевій енергетичній політиці. Ведення на сайті ради відкритого реєстру заяв та договорів ОСББ про надання фінансової підтримки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 xml:space="preserve">  </w:t>
            </w: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ради, ОСББ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Фінансування не потребує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/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Скорочення споживання енергії кінцевим споживачем</w:t>
            </w:r>
          </w:p>
        </w:tc>
      </w:tr>
      <w:tr>
        <w:trPr>
          <w:cantSplit/>
        </w:trPr>
        <w:tc>
          <w:tcPr>
            <w:tcW w:w="30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6.</w:t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star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Просвітницька робота та інформаційні заходи в навчальних закладах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ради, ОСББ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Фінансування не потребує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7.</w:t>
            </w:r>
          </w:p>
        </w:tc>
        <w:tc>
          <w:tcPr>
            <w:tcW w:w="1929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Залучення кредитних коштів на заходи термомодернізації та підвищення енергоефективності житлових будинків</w:t>
            </w:r>
          </w:p>
        </w:tc>
        <w:tc>
          <w:tcPr>
            <w:tcW w:w="1930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Відшкодування відсотків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 xml:space="preserve">за кредитами, залученими ОСББ на заходи  енергозбереження 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у житлових будинках за час дії Програми по відшкодуванню відсоткових ставок за залученими кредитами у 2013-2017 роках (у тому числі оплата кредиторської заборгованості)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 xml:space="preserve">  </w:t>
            </w: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Бюджет Луцької міської </w:t>
              <w:br/>
              <w:t>територіальної громади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1600,00</w:t>
            </w:r>
          </w:p>
        </w:tc>
        <w:tc>
          <w:tcPr>
            <w:tcW w:w="132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1100,00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2029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2030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Відшкодування  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частини суми кредитів та відсотки</w:t>
            </w:r>
            <w:r>
              <w:rPr>
                <w:color w:val="FF0000"/>
                <w:sz w:val="20"/>
                <w:szCs w:val="20"/>
                <w:lang w:val="uk-UA"/>
              </w:rPr>
              <w:t xml:space="preserve">  </w:t>
            </w:r>
            <w:r>
              <w:rPr>
                <w:sz w:val="20"/>
                <w:szCs w:val="20"/>
                <w:lang w:val="uk-UA"/>
              </w:rPr>
              <w:t>за кредитами ОСББ міста Луцька, залучених на впровадження в будинках енергоефективних заходів на 2018-2020 роки (у тому числі оплата кредиторської заборгованості)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 xml:space="preserve">  </w:t>
            </w:r>
            <w:r>
              <w:rPr>
                <w:color w:val="auto"/>
                <w:sz w:val="20"/>
                <w:szCs w:val="20"/>
                <w:lang w:val="uk-UA"/>
              </w:rPr>
              <w:t>2021-2032 роки</w:t>
            </w:r>
          </w:p>
        </w:tc>
        <w:tc>
          <w:tcPr>
            <w:tcW w:w="1674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Департамент ЖКГ Луцької міської ради</w:t>
            </w:r>
          </w:p>
        </w:tc>
        <w:tc>
          <w:tcPr>
            <w:tcW w:w="1676" w:type="dxa"/>
            <w:vMerge w:val="restart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Бюджет Луцької міської </w:t>
              <w:br/>
              <w:t>територіальної громади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2900,00</w:t>
            </w:r>
          </w:p>
        </w:tc>
        <w:tc>
          <w:tcPr>
            <w:tcW w:w="132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2029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2030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2031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  <w:tr>
        <w:trPr>
          <w:cantSplit/>
        </w:trPr>
        <w:tc>
          <w:tcPr>
            <w:tcW w:w="303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29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930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4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vMerge w:val="continue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center"/>
              <w:rPr>
                <w:b w:val="false"/>
                <w:bCs w:val="false"/>
                <w:sz w:val="20"/>
                <w:szCs w:val="20"/>
                <w:lang w:val="uk-UA"/>
              </w:rPr>
            </w:pPr>
            <w:r>
              <w:rPr>
                <w:b w:val="false"/>
                <w:bCs w:val="false"/>
                <w:sz w:val="20"/>
                <w:szCs w:val="20"/>
                <w:lang w:val="uk-UA"/>
              </w:rPr>
              <w:t>2032</w:t>
            </w:r>
          </w:p>
        </w:tc>
        <w:tc>
          <w:tcPr>
            <w:tcW w:w="186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132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</w:r>
          </w:p>
        </w:tc>
      </w:tr>
    </w:tbl>
    <w:p>
      <w:pPr>
        <w:pStyle w:val="Normal"/>
        <w:jc w:val="center"/>
        <w:rPr>
          <w:b/>
          <w:sz w:val="28"/>
          <w:lang w:val="uk-UA"/>
        </w:rPr>
      </w:pPr>
      <w:r>
        <w:rPr>
          <w:b/>
          <w:sz w:val="12"/>
          <w:szCs w:val="12"/>
          <w:lang w:val="uk-UA"/>
        </w:rPr>
      </w:r>
    </w:p>
    <w:p>
      <w:pPr>
        <w:pStyle w:val="Normal"/>
        <w:rPr>
          <w:b/>
          <w:sz w:val="12"/>
          <w:szCs w:val="12"/>
          <w:lang w:val="uk-UA"/>
        </w:rPr>
      </w:pPr>
      <w:r>
        <w:rPr>
          <w:b/>
          <w:sz w:val="12"/>
          <w:szCs w:val="12"/>
          <w:lang w:val="uk-UA"/>
        </w:rPr>
      </w:r>
    </w:p>
    <w:p>
      <w:pPr>
        <w:pStyle w:val="Normal"/>
        <w:ind w:hanging="0" w:start="142"/>
        <w:rPr>
          <w:b/>
          <w:sz w:val="28"/>
          <w:lang w:val="uk-UA"/>
        </w:rPr>
      </w:pPr>
      <w:r>
        <w:rPr>
          <w:lang w:val="uk-UA"/>
        </w:rPr>
        <w:t>Гаврилюк 773 150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851" w:right="851" w:gutter="0" w:header="709" w:top="1560" w:footer="290" w:bottom="851"/>
      <w:pgNumType w:start="10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7568" w:leader="none"/>
        <w:tab w:val="left" w:pos="8148" w:leader="none"/>
      </w:tabs>
      <w:rPr/>
    </w:pPr>
    <w:r>
      <w:rPr/>
      <w:tab/>
      <w:tab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7568" w:leader="none"/>
        <w:tab w:val="left" w:pos="8148" w:leader="none"/>
      </w:tabs>
      <w:rPr/>
    </w:pPr>
    <w:r>
      <w:rPr/>
      <w:tab/>
      <w:tab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22197025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lang w:val="uk-UA"/>
          </w:rPr>
        </w:pPr>
        <w:r>
          <w:rPr>
            <w:sz w:val="28"/>
            <w:lang w:val="uk-UA"/>
          </w:rPr>
          <w:fldChar w:fldCharType="begin"/>
        </w:r>
        <w:r>
          <w:rPr>
            <w:sz w:val="28"/>
            <w:lang w:val="uk-UA"/>
          </w:rPr>
          <w:instrText xml:space="preserve"> PAGE </w:instrText>
        </w:r>
        <w:r>
          <w:rPr>
            <w:sz w:val="28"/>
            <w:lang w:val="uk-UA"/>
          </w:rPr>
          <w:fldChar w:fldCharType="separate"/>
        </w:r>
        <w:r>
          <w:rPr>
            <w:sz w:val="28"/>
            <w:lang w:val="uk-UA"/>
          </w:rPr>
          <w:t>3</w:t>
        </w:r>
        <w:r>
          <w:rPr>
            <w:sz w:val="28"/>
            <w:lang w:val="uk-UA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22197025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lang w:val="uk-UA"/>
          </w:rPr>
        </w:pPr>
        <w:r>
          <w:rPr>
            <w:sz w:val="28"/>
            <w:lang w:val="uk-UA"/>
          </w:rPr>
          <w:fldChar w:fldCharType="begin"/>
        </w:r>
        <w:r>
          <w:rPr>
            <w:sz w:val="28"/>
            <w:lang w:val="uk-UA"/>
          </w:rPr>
          <w:instrText xml:space="preserve"> PAGE </w:instrText>
        </w:r>
        <w:r>
          <w:rPr>
            <w:sz w:val="28"/>
            <w:lang w:val="uk-UA"/>
          </w:rPr>
          <w:fldChar w:fldCharType="separate"/>
        </w:r>
        <w:r>
          <w:rPr>
            <w:sz w:val="28"/>
            <w:lang w:val="uk-UA"/>
          </w:rPr>
          <w:t>3</w:t>
        </w:r>
        <w:r>
          <w:rPr>
            <w:sz w:val="28"/>
            <w:lang w:val="uk-UA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7809120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15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87809120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15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3c4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iCs/>
      <w:color w:val="auto"/>
      <w:kern w:val="0"/>
      <w:sz w:val="24"/>
      <w:szCs w:val="28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rsid w:val="00ca4d3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d02e5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f13c4d"/>
    <w:rPr>
      <w:rFonts w:ascii="Times New Roman" w:hAnsi="Times New Roman" w:eastAsia="Times New Roman" w:cs="Times New Roman"/>
      <w:iCs/>
      <w:sz w:val="24"/>
      <w:szCs w:val="28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f13c4d"/>
    <w:rPr>
      <w:rFonts w:ascii="Times New Roman" w:hAnsi="Times New Roman" w:eastAsia="Times New Roman" w:cs="Times New Roman"/>
      <w:iCs/>
      <w:sz w:val="24"/>
      <w:szCs w:val="28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ca4d3c"/>
    <w:rPr>
      <w:rFonts w:ascii="Cambria" w:hAnsi="Cambria" w:eastAsia="" w:cs="" w:asciiTheme="majorHAnsi" w:cstheme="majorBidi" w:eastAsiaTheme="majorEastAsia" w:hAnsiTheme="majorHAnsi"/>
      <w:b/>
      <w:bCs/>
      <w:iCs/>
      <w:color w:themeColor="accent1" w:themeShade="bf" w:val="365F91"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qFormat/>
    <w:rsid w:val="00ca4d3c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ca4d3c"/>
    <w:rPr>
      <w:rFonts w:ascii="Tahoma" w:hAnsi="Tahoma" w:eastAsia="Times New Roman" w:cs="Tahoma"/>
      <w:iCs/>
      <w:sz w:val="16"/>
      <w:szCs w:val="16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ca4d3c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styleId="Style16" w:customStyle="1">
    <w:name w:val="Основной текст Знак"/>
    <w:basedOn w:val="DefaultParagraphFont"/>
    <w:qFormat/>
    <w:rsid w:val="00ca4d3c"/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character" w:styleId="2" w:customStyle="1">
    <w:name w:val="Основной текст 2 Знак"/>
    <w:basedOn w:val="DefaultParagraphFont"/>
    <w:qFormat/>
    <w:rsid w:val="00ca4d3c"/>
    <w:rPr>
      <w:rFonts w:ascii="Times New Roman" w:hAnsi="Times New Roman" w:eastAsia="Times New Roman" w:cs="Times New Roman"/>
      <w:sz w:val="24"/>
      <w:szCs w:val="24"/>
      <w:lang w:val="uk-UA"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d02e5"/>
    <w:rPr>
      <w:rFonts w:ascii="Cambria" w:hAnsi="Cambria" w:eastAsia="" w:cs="" w:asciiTheme="majorHAnsi" w:cstheme="majorBidi" w:eastAsiaTheme="majorEastAsia" w:hAnsiTheme="majorHAnsi"/>
      <w:b/>
      <w:bCs/>
      <w:iCs/>
      <w:color w:themeColor="accent1" w:val="4F81BD"/>
      <w:sz w:val="24"/>
      <w:szCs w:val="28"/>
      <w:lang w:eastAsia="ru-RU"/>
    </w:rPr>
  </w:style>
  <w:style w:type="character" w:styleId="FontStyle62" w:customStyle="1">
    <w:name w:val="Font Style62"/>
    <w:basedOn w:val="DefaultParagraphFont"/>
    <w:qFormat/>
    <w:rsid w:val="00121b32"/>
    <w:rPr>
      <w:rFonts w:ascii="Times New Roman" w:hAnsi="Times New Roman" w:cs="Times New Roman"/>
      <w:sz w:val="26"/>
      <w:szCs w:val="26"/>
    </w:rPr>
  </w:style>
  <w:style w:type="character" w:styleId="FontStyle67" w:customStyle="1">
    <w:name w:val="Font Style67"/>
    <w:basedOn w:val="DefaultParagraphFont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styleId="rvts23" w:customStyle="1">
    <w:name w:val="rvts23"/>
    <w:basedOn w:val="DefaultParagraphFont"/>
    <w:qFormat/>
    <w:rsid w:val="00740fb3"/>
    <w:rPr/>
  </w:style>
  <w:style w:type="character" w:styleId="apple-converted-space" w:customStyle="1">
    <w:name w:val="apple-converted-space"/>
    <w:basedOn w:val="DefaultParagraphFont"/>
    <w:qFormat/>
    <w:rsid w:val="00740fb3"/>
    <w:rPr/>
  </w:style>
  <w:style w:type="character" w:styleId="rvts64" w:customStyle="1">
    <w:name w:val="rvts64"/>
    <w:basedOn w:val="DefaultParagraphFont"/>
    <w:qFormat/>
    <w:rsid w:val="00740fb3"/>
    <w:rPr/>
  </w:style>
  <w:style w:type="character" w:styleId="rvts9" w:customStyle="1">
    <w:name w:val="rvts9"/>
    <w:basedOn w:val="DefaultParagraphFont"/>
    <w:qFormat/>
    <w:rsid w:val="00740fb3"/>
    <w:rPr/>
  </w:style>
  <w:style w:type="character" w:styleId="CommentReference">
    <w:name w:val="annotation reference"/>
    <w:basedOn w:val="DefaultParagraphFont"/>
    <w:unhideWhenUsed/>
    <w:qFormat/>
    <w:rsid w:val="00163ca2"/>
    <w:rPr>
      <w:sz w:val="16"/>
      <w:szCs w:val="16"/>
    </w:rPr>
  </w:style>
  <w:style w:type="character" w:styleId="Style17" w:customStyle="1">
    <w:name w:val="Текст примечания Знак"/>
    <w:basedOn w:val="DefaultParagraphFont"/>
    <w:qFormat/>
    <w:rsid w:val="00163ca2"/>
    <w:rPr>
      <w:rFonts w:ascii="Times New Roman" w:hAnsi="Times New Roman" w:eastAsia="Times New Roman" w:cs="Times New Roman"/>
      <w:iCs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uiPriority w:val="99"/>
    <w:semiHidden/>
    <w:qFormat/>
    <w:rsid w:val="00163ca2"/>
    <w:rPr>
      <w:rFonts w:ascii="Times New Roman" w:hAnsi="Times New Roman" w:eastAsia="Times New Roman" w:cs="Times New Roman"/>
      <w:b/>
      <w:bCs/>
      <w:iCs/>
      <w:sz w:val="20"/>
      <w:szCs w:val="20"/>
      <w:lang w:eastAsia="ru-RU"/>
    </w:rPr>
  </w:style>
  <w:style w:type="character" w:styleId="Style19" w:customStyle="1">
    <w:name w:val="Подзаголовок Знак"/>
    <w:basedOn w:val="DefaultParagraphFont"/>
    <w:qFormat/>
    <w:rsid w:val="004c40f3"/>
    <w:rPr>
      <w:rFonts w:ascii="Arial" w:hAnsi="Arial" w:eastAsia="Times New Roman" w:cs="Times New Roman"/>
      <w:i/>
      <w:sz w:val="24"/>
      <w:szCs w:val="24"/>
      <w:lang w:val="uk-UA" w:eastAsia="ru-RU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</w:rPr>
  </w:style>
  <w:style w:type="paragraph" w:styleId="BodyText">
    <w:name w:val="Body Text"/>
    <w:basedOn w:val="Normal"/>
    <w:rsid w:val="00ca4d3c"/>
    <w:pPr>
      <w:jc w:val="both"/>
    </w:pPr>
    <w:rPr>
      <w:iCs w:val="false"/>
      <w:sz w:val="28"/>
      <w:szCs w:val="24"/>
      <w:lang w:val="uk-U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szCs w:val="24"/>
    </w:rPr>
  </w:style>
  <w:style w:type="paragraph" w:styleId="Style21" w:customStyle="1">
    <w:name w:val="Покажчик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Style22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uiPriority w:val="99"/>
    <w:unhideWhenUsed/>
    <w:rsid w:val="00f13c4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f13c4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ca4d3c"/>
    <w:pPr>
      <w:spacing w:lineRule="auto" w:line="276"/>
    </w:pPr>
    <w:rPr>
      <w:iCs w:val="false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a4d3c"/>
    <w:pPr>
      <w:spacing w:before="0" w:after="100"/>
    </w:pPr>
    <w:rPr/>
  </w:style>
  <w:style w:type="paragraph" w:styleId="BalloonText">
    <w:name w:val="Balloon Text"/>
    <w:basedOn w:val="Normal"/>
    <w:uiPriority w:val="99"/>
    <w:semiHidden/>
    <w:unhideWhenUsed/>
    <w:qFormat/>
    <w:rsid w:val="00ca4d3c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ca4d3c"/>
    <w:pPr>
      <w:ind w:firstLine="720"/>
      <w:jc w:val="both"/>
    </w:pPr>
    <w:rPr>
      <w:iCs w:val="false"/>
      <w:sz w:val="28"/>
      <w:szCs w:val="24"/>
      <w:lang w:val="uk-UA"/>
    </w:rPr>
  </w:style>
  <w:style w:type="paragraph" w:styleId="BodyText2">
    <w:name w:val="Body Text 2"/>
    <w:basedOn w:val="Normal"/>
    <w:qFormat/>
    <w:rsid w:val="00ca4d3c"/>
    <w:pPr>
      <w:jc w:val="center"/>
    </w:pPr>
    <w:rPr>
      <w:iCs w:val="false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8c348c"/>
    <w:pPr>
      <w:spacing w:before="0" w:after="0"/>
      <w:ind w:hanging="0" w:start="720"/>
      <w:contextualSpacing/>
    </w:pPr>
    <w:rPr/>
  </w:style>
  <w:style w:type="paragraph" w:styleId="Default" w:customStyle="1">
    <w:name w:val="Default"/>
    <w:qFormat/>
    <w:rsid w:val="00754b1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3222e5"/>
    <w:pPr>
      <w:spacing w:beforeAutospacing="1" w:afterAutospacing="1"/>
    </w:pPr>
    <w:rPr>
      <w:iCs w:val="false"/>
      <w:szCs w:val="24"/>
    </w:rPr>
  </w:style>
  <w:style w:type="paragraph" w:styleId="Style31" w:customStyle="1">
    <w:name w:val="Style3"/>
    <w:basedOn w:val="Normal"/>
    <w:qFormat/>
    <w:rsid w:val="00121b32"/>
    <w:pPr>
      <w:widowControl w:val="false"/>
      <w:spacing w:lineRule="exact" w:line="323"/>
      <w:ind w:firstLine="710"/>
      <w:jc w:val="both"/>
    </w:pPr>
    <w:rPr>
      <w:iCs w:val="false"/>
      <w:szCs w:val="24"/>
    </w:rPr>
  </w:style>
  <w:style w:type="paragraph" w:styleId="Style28" w:customStyle="1">
    <w:name w:val="Style28"/>
    <w:basedOn w:val="Normal"/>
    <w:qFormat/>
    <w:rsid w:val="00121b32"/>
    <w:pPr>
      <w:widowControl w:val="false"/>
      <w:spacing w:lineRule="exact" w:line="326"/>
      <w:jc w:val="both"/>
    </w:pPr>
    <w:rPr>
      <w:iCs w:val="false"/>
      <w:szCs w:val="24"/>
    </w:rPr>
  </w:style>
  <w:style w:type="paragraph" w:styleId="Style30" w:customStyle="1">
    <w:name w:val="Style30"/>
    <w:basedOn w:val="Normal"/>
    <w:qFormat/>
    <w:rsid w:val="00121b32"/>
    <w:pPr>
      <w:widowControl w:val="false"/>
      <w:spacing w:lineRule="exact" w:line="322"/>
      <w:ind w:firstLine="360"/>
      <w:jc w:val="both"/>
    </w:pPr>
    <w:rPr>
      <w:iCs w:val="false"/>
      <w:szCs w:val="24"/>
    </w:rPr>
  </w:style>
  <w:style w:type="paragraph" w:styleId="Style311" w:customStyle="1">
    <w:name w:val="Style31"/>
    <w:basedOn w:val="Normal"/>
    <w:qFormat/>
    <w:rsid w:val="00121b32"/>
    <w:pPr>
      <w:widowControl w:val="false"/>
      <w:spacing w:lineRule="exact" w:line="331"/>
      <w:ind w:hanging="384"/>
      <w:jc w:val="both"/>
    </w:pPr>
    <w:rPr>
      <w:iCs w:val="false"/>
      <w:szCs w:val="24"/>
    </w:rPr>
  </w:style>
  <w:style w:type="paragraph" w:styleId="rvps17" w:customStyle="1">
    <w:name w:val="rvps17"/>
    <w:basedOn w:val="Normal"/>
    <w:qFormat/>
    <w:rsid w:val="00740fb3"/>
    <w:pPr>
      <w:spacing w:beforeAutospacing="1" w:afterAutospacing="1"/>
    </w:pPr>
    <w:rPr>
      <w:iCs w:val="false"/>
      <w:szCs w:val="24"/>
    </w:rPr>
  </w:style>
  <w:style w:type="paragraph" w:styleId="rvps3" w:customStyle="1">
    <w:name w:val="rvps3"/>
    <w:basedOn w:val="Normal"/>
    <w:qFormat/>
    <w:rsid w:val="00740fb3"/>
    <w:pPr>
      <w:spacing w:beforeAutospacing="1" w:afterAutospacing="1"/>
    </w:pPr>
    <w:rPr>
      <w:iCs w:val="false"/>
      <w:szCs w:val="24"/>
    </w:rPr>
  </w:style>
  <w:style w:type="paragraph" w:styleId="rvps6" w:customStyle="1">
    <w:name w:val="rvps6"/>
    <w:basedOn w:val="Normal"/>
    <w:qFormat/>
    <w:rsid w:val="00740fb3"/>
    <w:pPr>
      <w:spacing w:beforeAutospacing="1" w:afterAutospacing="1"/>
    </w:pPr>
    <w:rPr>
      <w:iCs w:val="false"/>
      <w:szCs w:val="24"/>
    </w:rPr>
  </w:style>
  <w:style w:type="paragraph" w:styleId="CommentText">
    <w:name w:val="annotation text"/>
    <w:basedOn w:val="Normal"/>
    <w:unhideWhenUsed/>
    <w:qFormat/>
    <w:rsid w:val="00163ca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163ca2"/>
    <w:pPr/>
    <w:rPr>
      <w:b/>
      <w:bCs/>
    </w:rPr>
  </w:style>
  <w:style w:type="paragraph" w:styleId="rvps2" w:customStyle="1">
    <w:name w:val="rvps2"/>
    <w:basedOn w:val="Normal"/>
    <w:qFormat/>
    <w:rsid w:val="00215d69"/>
    <w:pPr>
      <w:spacing w:beforeAutospacing="1" w:afterAutospacing="1"/>
    </w:pPr>
    <w:rPr>
      <w:iCs w:val="false"/>
      <w:szCs w:val="24"/>
      <w:lang w:val="uk-UA" w:eastAsia="uk-UA"/>
    </w:rPr>
  </w:style>
  <w:style w:type="paragraph" w:styleId="Subtitle">
    <w:name w:val="Subtitle"/>
    <w:basedOn w:val="Normal"/>
    <w:qFormat/>
    <w:rsid w:val="004c40f3"/>
    <w:pPr>
      <w:spacing w:before="0" w:after="60"/>
      <w:jc w:val="center"/>
    </w:pPr>
    <w:rPr>
      <w:rFonts w:ascii="Arial" w:hAnsi="Arial"/>
      <w:i/>
      <w:iCs w:val="false"/>
      <w:szCs w:val="24"/>
      <w:lang w:val="uk-UA"/>
    </w:rPr>
  </w:style>
  <w:style w:type="paragraph" w:styleId="docdata" w:customStyle="1">
    <w:name w:val="docdata"/>
    <w:basedOn w:val="Normal"/>
    <w:qFormat/>
    <w:rsid w:val="00304e6f"/>
    <w:pPr>
      <w:spacing w:beforeAutospacing="1" w:afterAutospacing="1"/>
    </w:pPr>
    <w:rPr>
      <w:iCs w:val="false"/>
      <w:szCs w:val="24"/>
    </w:rPr>
  </w:style>
  <w:style w:type="paragraph" w:styleId="Style23" w:customStyle="1">
    <w:name w:val="Обычный + полужирный"/>
    <w:basedOn w:val="Normal"/>
    <w:qFormat/>
    <w:rsid w:val="00fc6d6b"/>
    <w:pPr>
      <w:spacing w:lineRule="atLeast" w:line="240"/>
    </w:pPr>
    <w:rPr>
      <w:rFonts w:ascii="Arial" w:hAnsi="Arial" w:cs="Tahoma"/>
      <w:iCs w:val="false"/>
      <w:spacing w:val="4"/>
      <w:sz w:val="16"/>
      <w:szCs w:val="16"/>
      <w:lang w:val="en-GB" w:eastAsia="de-DE"/>
    </w:rPr>
  </w:style>
  <w:style w:type="paragraph" w:styleId="Style24">
    <w:name w:val="Вміст таблиці"/>
    <w:basedOn w:val="Normal"/>
    <w:qFormat/>
    <w:pPr>
      <w:widowControl w:val="false"/>
      <w:suppressLineNumbers/>
    </w:pPr>
    <w:rPr/>
  </w:style>
  <w:style w:type="paragraph" w:styleId="Style25">
    <w:name w:val="Заголовок таблиці"/>
    <w:basedOn w:val="Style24"/>
    <w:qFormat/>
    <w:pPr>
      <w:suppressLineNumbers/>
      <w:jc w:val="center"/>
    </w:pPr>
    <w:rPr>
      <w:b/>
      <w:bCs/>
    </w:rPr>
  </w:style>
  <w:style w:type="paragraph" w:styleId="Style26">
    <w:name w:val="Вміст рамки"/>
    <w:basedOn w:val="Normal"/>
    <w:qFormat/>
    <w:pPr/>
    <w:rPr/>
  </w:style>
  <w:style w:type="paragraph" w:styleId="user3">
    <w:name w:val="Вміст рамки (user)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numbering" w:styleId="user6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rsid w:val="008718af"/>
    <w:rPr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41112-92A4-4277-9C3F-6F68CA3D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Application>LibreOffice/26.2.5.2$Windows_X86_64 LibreOffice_project/cd7284b4cbbfeb507e630c1aac019f4157393acb</Application>
  <AppVersion>15.0000</AppVersion>
  <Pages>10</Pages>
  <Words>1035</Words>
  <Characters>6469</Characters>
  <CharactersWithSpaces>7398</CharactersWithSpaces>
  <Paragraphs>324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2021-01-25T13:07:00Z</dcterms:created>
  <dc:creator>DNA7 X64</dc:creator>
  <dc:description/>
  <dc:language>uk-UA</dc:language>
  <cp:lastModifiedBy/>
  <cp:lastPrinted>2026-08-10T08:55:07Z</cp:lastPrinted>
  <dcterms:modified xsi:type="dcterms:W3CDTF">2026-08-10T14:45:50Z</dcterms:modified>
  <cp:revision>142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