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8"/>
          <w:tab w:val="left" w:pos="5610" w:leader="none"/>
        </w:tabs>
        <w:spacing w:lineRule="auto" w:line="240" w:before="0" w:after="0"/>
        <w:ind w:left="5102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Додаток</w:t>
      </w:r>
    </w:p>
    <w:p>
      <w:pPr>
        <w:pStyle w:val="Heading1"/>
        <w:tabs>
          <w:tab w:val="clear" w:pos="708"/>
          <w:tab w:val="left" w:pos="5610" w:leader="none"/>
        </w:tabs>
        <w:spacing w:lineRule="auto" w:line="240" w:before="0" w:after="0"/>
        <w:ind w:left="5102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до рішення виконавчого комітету</w:t>
      </w:r>
    </w:p>
    <w:p>
      <w:pPr>
        <w:pStyle w:val="Heading1"/>
        <w:tabs>
          <w:tab w:val="clear" w:pos="708"/>
          <w:tab w:val="left" w:pos="5610" w:leader="none"/>
        </w:tabs>
        <w:spacing w:lineRule="auto" w:line="240" w:before="0" w:after="0"/>
        <w:ind w:left="5102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міської ради </w:t>
      </w:r>
    </w:p>
    <w:p>
      <w:pPr>
        <w:pStyle w:val="Heading1"/>
        <w:tabs>
          <w:tab w:val="clear" w:pos="708"/>
          <w:tab w:val="left" w:pos="5610" w:leader="none"/>
        </w:tabs>
        <w:spacing w:lineRule="auto" w:line="240" w:before="0" w:after="0"/>
        <w:ind w:left="5102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_____________ № _______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__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cs="Times New Roman" w:ascii="Times New Roman" w:hAnsi="Times New Roman"/>
          <w:sz w:val="28"/>
          <w:szCs w:val="28"/>
          <w:lang w:eastAsia="uk-UA"/>
        </w:rPr>
      </w:r>
    </w:p>
    <w:p>
      <w:pPr>
        <w:pStyle w:val="Heading1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Середньостроковий план</w:t>
      </w:r>
    </w:p>
    <w:p>
      <w:pPr>
        <w:pStyle w:val="Heading1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пріоритетних</w:t>
      </w:r>
      <w:r>
        <w:rPr>
          <w:rFonts w:cs="Times New Roman" w:ascii="Times New Roman" w:hAnsi="Times New Roman"/>
          <w:spacing w:val="-1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публічних</w:t>
      </w:r>
      <w:r>
        <w:rPr>
          <w:rFonts w:cs="Times New Roman" w:ascii="Times New Roman" w:hAnsi="Times New Roman"/>
          <w:spacing w:val="-1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інвестицій</w:t>
      </w:r>
    </w:p>
    <w:p>
      <w:pPr>
        <w:pStyle w:val="Heading1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Луцької міської територіальної громади на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2027–2029 </w:t>
      </w:r>
      <w:r>
        <w:rPr>
          <w:rFonts w:cs="Times New Roman" w:ascii="Times New Roman" w:hAnsi="Times New Roman"/>
          <w:spacing w:val="-4"/>
          <w:sz w:val="28"/>
          <w:szCs w:val="28"/>
        </w:rPr>
        <w:t>роки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Загальні засади формування Середньострокового плану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Середньостроковий план пріоритетних публічних інвестицій Луцької міської територіальної громади на 2027–2029 роки (далі – СПІ) є інструментом середньострокового визначення пріоритетів публічного інвестування громади. СПІ сформовано на основі Стратегії розвитку Луцької міської територіальної громади до 2030 року, актуальних потреб громади та пропозицій відповідальних структурних підрозділів міської ради.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Середньостроковий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план</w:t>
      </w:r>
      <w:r>
        <w:rPr>
          <w:rFonts w:cs="Times New Roman" w:ascii="Times New Roman" w:hAnsi="Times New Roman"/>
          <w:spacing w:val="-2"/>
          <w:sz w:val="28"/>
          <w:szCs w:val="28"/>
        </w:rPr>
        <w:t xml:space="preserve"> пріоритетних публічних інвестицій громади </w:t>
      </w:r>
      <w:r>
        <w:rPr>
          <w:rFonts w:cs="Times New Roman" w:ascii="Times New Roman" w:hAnsi="Times New Roman"/>
          <w:sz w:val="28"/>
          <w:szCs w:val="28"/>
        </w:rPr>
        <w:t>формує основу для побудови ефективної та дієвої системи управління публічними інвестиціями, що забезпечує оптимізацію використання бюджетних ресурсів, підвищення прозорості у використанні публічних коштів та інтеграцію публічних інвестицій у загальний процес стратегічного планування, а також дозволяє зосередити ресурси на найбільш важливих для громади публічних інвестиційних проєктах (далі – проєкт) та програмах публічних інвестицій.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СПІ визначає пріоритетні галузі (сектори), підсектори, основні напрями публічного інвестування, цільові показники та індикатори за кожним напрямом, а також орієнтовний граничний розподіл коштів бюджету громади за галузями (секторами). Визначені напрями є основою для подальшого формування та відбору публічних інвестиційних проєктів та програм відповідно до встановлених пріоритетів.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Формування СПІ здійснюється в умовах воєнного стану з урахуванням потреб підвищення захисту та забезпечення стійкості інфраструктури громади, розвитку економічного потенціалу та цифрової спроможності.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Наскрізні стратегічні цілі здійснення публічних інвестицій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Визначені Стратегією розвитку Луцької міської територіальної громади до 2030 року пріоритети орієнтують громаду на розвиток сучасного, комфортного та конкурентоспроможного середовища, у якому поєднуються розвиток людського капіталу, модернізація інфраструктури, екологічна сталість, економічна спроможність та інноваційність.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 урахуванням стратегічних цілей розвитку громади та структури напрямів СПІ визначено наскрізні стратегічні цілі, які мають міжсекторальний характер і враховуються під час визначення пріоритетів публічного інвестування: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Стійкість та безперервність функціонування громади – підвищення надійності критичної та муніципальної інфраструктури, готовності до ризиків і безперервності надання життєво важливих послуг.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 Якість, доступність та безбар’єрність публічних послуг і простору – створення безпечного, доступного та комфортного середовища для мешканців громади.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Енергоефективність, енергонезалежність та екологічна сталість – зменшення енергоспоживання, розвиток відновлюваних джерел енергії, раціональне використання ресурсів та зменшення негативного впливу на довкілля.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 Розвиток людського капіталу, економічної спроможності та інноваційного потенціалу – створення умов для освіти, молодіжного розвитку, підприємництва, інвестиційної діяльності та впровадження сучасних рішень.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5. Цифрова трансформація та сучасне управління – розвиток електронних комунікаційних систем, цифрових сервісів, аналітичних інструментів та сучасних підходів до управління.</w:t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Наскрізні стратегічні цілі забезпечують єдність та послідовність розвитку громади, підвищують ефективність використання ресурсів і сприяють сталому та комплексному прогресу. Вони створюють прозорі критерії оцінки проєктів, підвищують привабливість громади для інвесторів та партнерів і дозволяють інтегрувати місцеві проєкти у національні та міжнародні пріоритети.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Пріоритетні галузі (сектори)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та напрями публічного інвестування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Пріоритетні галузі (сектори), підсектори та основні напрями сформовано згідно з додатком до СПІ на основі пропозицій відповідальних структурних підрозділів міської ради та цільових показників.</w:t>
      </w:r>
      <w:r>
        <w:rPr>
          <w:rFonts w:cs="Times New Roman" w:ascii="Times New Roman" w:hAnsi="Times New Roman"/>
          <w:color w:val="EE0000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Всього середньостроковий план містить дев’ять галузей (секторів).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Освіта і наука. Пріоритетами є облаштування захисних споруд, створення сучасного освітнього простору, розвиток інфраструктури харчування, підвищення енергоефективності та енергонезалежності будівель, реконструкція, відновлення, ремонт і нове будівництво інфраструктури, підвищення протипожежної безпеки.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Соціальна сфера. Інвестиційні пріоритети охоплюють розвиток житлової інфраструктури соціальної підтримки та інтеграції вразливих груп, розвиток мережі ветеранських просторів, а також створення інфраструктури для тимчасового проживання соціально вразливих верств населення, у тому числі внутрішньо переміщених осіб.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Муніципальна інфраструктура та послуги. Пріоритетами є розбудова, відновлення та модернізація муніципальної інфраструктури, підвищення енергоефективності громадських будівель, розвиток туристичної інфраструктури, модернізація систем централізованого водо- та теплопостачання, системи управління побутовими відходами, а також захист об’єктів критичної інфраструктури для забезпечення стійкості та безперервності надання жителям громади життєво важливих послуг.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Спорт, фізичне та молодіжне виховання. Передбачається розвиток мережі об’єктів спортивної інфраструктури з урахуванням вимог доступності та безпеки, а також розвиток сучасної, доступної та функціональної молодіжної інфраструктури для навчання, розвитку, громадської активності та самореалізації.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Транспорт та послуги зв’язку. Пріоритетом є комплексний розвиток громадського транспорту та міської інфраструктури, зокрема оновлення рухомого складу та розвиток інфраструктури міського громадського транспорту.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Цифрова трансформація. Основним напрямом є розвиток інформаційних (автоматизованих) електронних комунікаційних систем, у тому числі електронного урядування, та надання адміністративних послуг, розвиток цифрових сервісів, а також збільшенням використання адміністративних послуг онлайн.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Охорона здоров’я. Пріоритетом є розбудова та модернізація системи охорони здоров’я шляхом з</w:t>
      </w:r>
      <w:bookmarkStart w:id="0" w:name="_GoBack_копія_1"/>
      <w:bookmarkEnd w:id="0"/>
      <w:r>
        <w:rPr>
          <w:rFonts w:cs="Times New Roman" w:ascii="Times New Roman" w:hAnsi="Times New Roman"/>
          <w:sz w:val="28"/>
          <w:szCs w:val="28"/>
        </w:rPr>
        <w:t>абезпечення медичних закладів сучасним обладнанням та технологіями, що має сприяти підвищенню рівня їх оснащення та якості медичних послуг.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Житло. Передбачається відновлення багатоквартирних будинків, пошкоджених внаслідок збройної агресії російської федерації, з орієнтацією на завершення відновлення пошкоджених об’єктів.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Культура та інформація. Пріоритетами є збереження культурної спадщини громади, покращення умов надання культурних послуг шляхом реконструкції та модернізації матеріально-технічної бази закладів культури, забезпечення доступності культурних закладів для маломобільних груп населення.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uk-UA"/>
        </w:rPr>
        <w:t xml:space="preserve">Підсектори галузей (секторів) для публічного інвестування дозволяють диференціювати галузь (сектор) для публічного інвестування на відповідні складові, в яких будуть здійснюватися публічні інвестиції, та допомагають зосередитись на специфічних потребах і можливостях, що існують у конкретних сферах. </w:t>
      </w:r>
      <w:r>
        <w:rPr>
          <w:rFonts w:cs="Times New Roman" w:ascii="Times New Roman" w:hAnsi="Times New Roman"/>
          <w:sz w:val="28"/>
          <w:szCs w:val="28"/>
        </w:rPr>
        <w:t>Основні напрями публічного інвестування, ключові сфери, у яких спрямовуються інвестиції, забезпечують послідовність і системність реалізації проєктів та сприяють ефективному використанню ресурсів. Узгодження окремих напрямів із державними пріоритетами гарантує, що кожен реалізований інвестиційний проєкт сприятиме комплексному, сталому та інноваційному розвитку громади.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Фінансова структура публічних інвестицій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Орієнтовний розподіл граничного сукупного обсягу публічних інвестицій на 2027–2029 роки визначається за пріоритетними галузями (секторами) відповідно до доведених фінансових можливостей громади та має таку </w:t>
      </w:r>
      <w:r>
        <w:rPr>
          <w:rFonts w:cs="Times New Roman" w:ascii="Times New Roman" w:hAnsi="Times New Roman"/>
          <w:spacing w:val="-2"/>
          <w:sz w:val="28"/>
          <w:szCs w:val="28"/>
        </w:rPr>
        <w:t>структуру: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cs="Times New Roman" w:ascii="Times New Roman" w:hAnsi="Times New Roman"/>
          <w:spacing w:val="-2"/>
          <w:sz w:val="28"/>
          <w:szCs w:val="28"/>
        </w:rPr>
      </w:r>
    </w:p>
    <w:tbl>
      <w:tblPr>
        <w:tblW w:w="9300" w:type="dxa"/>
        <w:jc w:val="left"/>
        <w:tblInd w:w="6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2325"/>
        <w:gridCol w:w="1815"/>
        <w:gridCol w:w="1812"/>
        <w:gridCol w:w="1634"/>
        <w:gridCol w:w="1714"/>
      </w:tblGrid>
      <w:tr>
        <w:trPr>
          <w:trHeight w:val="573" w:hRule="atLeast"/>
        </w:trPr>
        <w:tc>
          <w:tcPr>
            <w:tcW w:w="23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Галузь</w:t>
            </w:r>
            <w:r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  <w:lang w:val="uk-UA"/>
              </w:rPr>
              <w:t>(сектор)</w:t>
            </w:r>
          </w:p>
        </w:tc>
        <w:tc>
          <w:tcPr>
            <w:tcW w:w="69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Орієнтовний граничний сукупний обсяг публічних інвестицій, грн</w:t>
            </w:r>
          </w:p>
        </w:tc>
      </w:tr>
      <w:tr>
        <w:trPr>
          <w:trHeight w:val="567" w:hRule="atLeast"/>
        </w:trPr>
        <w:tc>
          <w:tcPr>
            <w:tcW w:w="232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2027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рік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2028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рік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2029 </w:t>
            </w: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рік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4"/>
                <w:szCs w:val="24"/>
              </w:rPr>
              <w:t>разом</w:t>
            </w:r>
          </w:p>
        </w:tc>
      </w:tr>
      <w:tr>
        <w:trPr>
          <w:trHeight w:val="567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Освіта і наука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158 882 500,00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257 128 400,00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182 732 900,00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598 743 800,00</w:t>
            </w:r>
          </w:p>
        </w:tc>
      </w:tr>
      <w:tr>
        <w:trPr>
          <w:trHeight w:val="567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Соціальна сфера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21 412 600,00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24 540 800,00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39 477 400,00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85 430 800,00</w:t>
            </w:r>
          </w:p>
        </w:tc>
      </w:tr>
      <w:tr>
        <w:trPr>
          <w:trHeight w:val="750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Муніципальна інфраструктура та послуги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197 032 300,00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195 554 200,00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293 704 600,00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 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686 291 100,00</w:t>
            </w:r>
          </w:p>
        </w:tc>
      </w:tr>
      <w:tr>
        <w:trPr>
          <w:trHeight w:val="750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Спорт, фізичне та молодіжне виховання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60 672 600,00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59 319 200,00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72 337 100,00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192 328 900,00</w:t>
            </w:r>
          </w:p>
        </w:tc>
      </w:tr>
      <w:tr>
        <w:trPr>
          <w:trHeight w:val="624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Транспорт та послуги зв’язку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163 504 000,00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204 713 500,00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50 000 000,00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418 217 500,00</w:t>
            </w:r>
          </w:p>
        </w:tc>
      </w:tr>
      <w:tr>
        <w:trPr>
          <w:trHeight w:val="624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Цифрова трансформація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3 781 700,00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3 093 400,00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3 920 200,00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10 795 300,00</w:t>
            </w:r>
          </w:p>
        </w:tc>
      </w:tr>
      <w:tr>
        <w:trPr>
          <w:trHeight w:val="567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val="uk-UA"/>
              </w:rPr>
              <w:t>Охорона здоров’я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22 942 100,00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8 163 100,00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1 008 400,00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32 113 600,00</w:t>
            </w:r>
          </w:p>
        </w:tc>
      </w:tr>
      <w:tr>
        <w:trPr>
          <w:trHeight w:val="567" w:hRule="atLeast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Житло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17 034 700,00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17 185 400,00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23 334 600,00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57 554 700,00</w:t>
            </w:r>
          </w:p>
        </w:tc>
      </w:tr>
      <w:tr>
        <w:trPr>
          <w:trHeight w:val="567" w:hRule="atLeast"/>
        </w:trPr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suppressAutoHyphens w:val="true"/>
              <w:ind w:left="40"/>
              <w:rPr/>
            </w:pPr>
            <w:r>
              <w:rPr>
                <w:rFonts w:ascii="Times New Roman" w:hAnsi="Times New Roman"/>
                <w:color w:val="000000"/>
                <w:kern w:val="2"/>
                <w:sz w:val="24"/>
                <w:szCs w:val="24"/>
                <w:lang w:val="uk-UA"/>
              </w:rPr>
              <w:t>Культура та інформація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15 331 200,00</w:t>
            </w:r>
          </w:p>
        </w:tc>
        <w:tc>
          <w:tcPr>
            <w:tcW w:w="18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27 496 700,00</w:t>
            </w:r>
          </w:p>
        </w:tc>
        <w:tc>
          <w:tcPr>
            <w:tcW w:w="1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39 668 700,00</w:t>
            </w:r>
          </w:p>
        </w:tc>
        <w:tc>
          <w:tcPr>
            <w:tcW w:w="1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82 496 600,00</w:t>
            </w:r>
          </w:p>
        </w:tc>
      </w:tr>
      <w:tr>
        <w:trPr>
          <w:trHeight w:val="567" w:hRule="atLeast"/>
        </w:trPr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ind w:left="57" w:right="11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2"/>
                <w:sz w:val="24"/>
                <w:szCs w:val="24"/>
                <w:lang w:val="uk-UA"/>
              </w:rPr>
              <w:t>Всього: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660 593 700,00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797 194 700,00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706 183 900,00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Paragraph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2 163 972 300,00</w:t>
            </w:r>
          </w:p>
        </w:tc>
      </w:tr>
    </w:tbl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Text"/>
        <w:spacing w:lineRule="auto" w:line="240" w:before="0"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Підсумки</w:t>
      </w:r>
    </w:p>
    <w:p>
      <w:pPr>
        <w:pStyle w:val="BodyText"/>
        <w:spacing w:lineRule="auto" w:line="240"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Сфера дії </w:t>
      </w:r>
      <w:r>
        <w:rPr>
          <w:spacing w:val="-2"/>
          <w:sz w:val="28"/>
          <w:szCs w:val="28"/>
        </w:rPr>
        <w:t xml:space="preserve">середньострокового плану </w:t>
      </w:r>
      <w:r>
        <w:rPr>
          <w:sz w:val="28"/>
          <w:szCs w:val="28"/>
        </w:rPr>
        <w:t xml:space="preserve">охоплює проєкти та програми публічних інвестицій, що спрямовані на </w:t>
      </w:r>
      <w:r>
        <w:rPr>
          <w:sz w:val="28"/>
          <w:szCs w:val="28"/>
          <w:shd w:fill="FFFFFF" w:val="clear"/>
        </w:rPr>
        <w:t>розвиток, у тому числі відбудову і відновлення, окремих галузей економіки територіальної громади, на створення (придбання), реконструкцію, технічне переоснащення основних засобів, інших необоротних матеріальних активів, які повністю або частково реалізуються за рахунок публічних інвестицій, у тому числі на умовах публічно-приватного партнерства, крім проєктів, пов’язаних з обороноздатністю держави.</w:t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Водночас СПІ не охоплює компенсації за пошкодження та знищення окремих категорій об’єктів нерухомого майна внаслідок бойових дій, терористичних актів і диверсій, спричинених збройною агресією російської федерації проти України, а також гранти, програми підтримки бізнесу, фінансування приватного сектора міжнародними фінансовими організаціями та інші інструменти і форми підтримки бізнесу та громадян, які не є публічними інвестиціями у розумінні Бюджетного кодексу України.</w:t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Надалі підготовка публічних інвестиційних проєктів та програм передбачає обов’язкове визначення напряму</w:t>
      </w:r>
      <w:r>
        <w:rPr>
          <w:spacing w:val="30"/>
          <w:sz w:val="28"/>
          <w:szCs w:val="28"/>
        </w:rPr>
        <w:t xml:space="preserve"> </w:t>
      </w:r>
      <w:r>
        <w:rPr>
          <w:sz w:val="28"/>
          <w:szCs w:val="28"/>
        </w:rPr>
        <w:t>публічного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інвестування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відповідній</w:t>
      </w:r>
      <w:r>
        <w:rPr>
          <w:spacing w:val="32"/>
          <w:sz w:val="28"/>
          <w:szCs w:val="28"/>
        </w:rPr>
        <w:t xml:space="preserve"> </w:t>
      </w:r>
      <w:r>
        <w:rPr>
          <w:sz w:val="28"/>
          <w:szCs w:val="28"/>
        </w:rPr>
        <w:t>галузі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(секторі),</w:t>
      </w:r>
      <w:r>
        <w:rPr>
          <w:spacing w:val="33"/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>
        <w:rPr>
          <w:spacing w:val="32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яким </w:t>
      </w:r>
      <w:r>
        <w:rPr>
          <w:sz w:val="28"/>
          <w:szCs w:val="28"/>
        </w:rPr>
        <w:t>пов’язаний проєкт чи програма, а також узгодження їх цілей з таким напрямом. Лише ті проєкти та програми, що включені до галузевого (секторального) проєктного портфел</w:t>
      </w:r>
      <w:r>
        <w:rPr>
          <w:rFonts w:eastAsia="Arial"/>
          <w:sz w:val="28"/>
          <w:szCs w:val="28"/>
        </w:rPr>
        <w:t>ю</w:t>
      </w:r>
      <w:r>
        <w:rPr>
          <w:sz w:val="28"/>
          <w:szCs w:val="28"/>
        </w:rPr>
        <w:t xml:space="preserve"> та відповідають основним напрямам публічного інвестування, увійдуть до Єдиного проєктного портфелю публічних інвестицій Луцької міської територіальної громади та, відповідно, зможуть отримати фінансування.</w:t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"/>
        <w:spacing w:lineRule="auto" w:line="240"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Керуючий справами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виконавчого комітету міської ради</w:t>
        <w:tab/>
        <w:tab/>
        <w:tab/>
        <w:tab/>
        <w:t xml:space="preserve">       Наталія ЮРЧЕНКО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985" w:right="567" w:gutter="0" w:header="1134" w:top="1191" w:footer="0" w:bottom="1134"/>
          <w:pgNumType w:start="1" w:fmt="decimal"/>
          <w:formProt w:val="false"/>
          <w:titlePg/>
          <w:textDirection w:val="lrTb"/>
          <w:docGrid w:type="default" w:linePitch="299" w:charSpace="45056"/>
        </w:sect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Смаль 777 955</w:t>
      </w:r>
    </w:p>
    <w:p>
      <w:pPr>
        <w:pStyle w:val="Normal"/>
        <w:tabs>
          <w:tab w:val="clear" w:pos="708"/>
          <w:tab w:val="left" w:pos="9780" w:leader="none"/>
        </w:tabs>
        <w:spacing w:lineRule="auto" w:line="240" w:before="0" w:after="0"/>
        <w:ind w:left="1009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Додаток</w:t>
      </w:r>
    </w:p>
    <w:p>
      <w:pPr>
        <w:pStyle w:val="Normal"/>
        <w:tabs>
          <w:tab w:val="clear" w:pos="708"/>
          <w:tab w:val="left" w:pos="9780" w:leader="none"/>
        </w:tabs>
        <w:spacing w:lineRule="auto" w:line="240" w:before="0" w:after="0"/>
        <w:ind w:left="1009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 Середньострокового плану пріоритетних публічних інвестицій Луцької міської територіальної громади</w:t>
      </w:r>
    </w:p>
    <w:p>
      <w:pPr>
        <w:pStyle w:val="Normal"/>
        <w:tabs>
          <w:tab w:val="clear" w:pos="708"/>
          <w:tab w:val="left" w:pos="9780" w:leader="none"/>
        </w:tabs>
        <w:spacing w:lineRule="auto" w:line="240" w:before="0" w:after="0"/>
        <w:ind w:left="10091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2027‒2029 роки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Пріоритетні галузі (сектори), підсектори та основні напрями публічного інвестування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5000" w:type="pct"/>
        <w:jc w:val="left"/>
        <w:tblInd w:w="109" w:type="dxa"/>
        <w:tblLayout w:type="fixed"/>
        <w:tblCellMar>
          <w:top w:w="55" w:type="dxa"/>
          <w:left w:w="108" w:type="dxa"/>
          <w:bottom w:w="55" w:type="dxa"/>
          <w:right w:w="108" w:type="dxa"/>
        </w:tblCellMar>
        <w:tblLook w:firstRow="0" w:noVBand="0" w:lastRow="0" w:firstColumn="0" w:lastColumn="0" w:noHBand="0" w:val="0000"/>
      </w:tblPr>
      <w:tblGrid>
        <w:gridCol w:w="2117"/>
        <w:gridCol w:w="3648"/>
        <w:gridCol w:w="4302"/>
        <w:gridCol w:w="1290"/>
        <w:gridCol w:w="1297"/>
        <w:gridCol w:w="1291"/>
        <w:gridCol w:w="1191"/>
      </w:tblGrid>
      <w:tr>
        <w:trPr>
          <w:trHeight w:val="749" w:hRule="atLeast"/>
        </w:trPr>
        <w:tc>
          <w:tcPr>
            <w:tcW w:w="1513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Освіта і наука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—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Департамент освіти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598 743 800,00 грн</w:t>
            </w:r>
          </w:p>
        </w:tc>
      </w:tr>
      <w:tr>
        <w:trPr>
          <w:trHeight w:val="835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Підсектор галузі (сектору) для публічного інвестування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Основний напрям публічного інвестування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Найменування цільового показника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Базове значення,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Планове значення на 2027 рік, %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Планове значення на 2028 рік, %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Планове значення на 2029 рік, %</w:t>
            </w:r>
          </w:p>
        </w:tc>
      </w:tr>
      <w:tr>
        <w:trPr>
          <w:trHeight w:val="490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Облаштування захисних споруд цивільного захисту (укриттів) у закладах та установах освіти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забезпечення закладів освіти спорудами цивільного захисту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835" w:hRule="atLeast"/>
        </w:trPr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Сучасний освітній простір та якісний зміст: лабораторії, майстерні, кабінети тощо (НУШ)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розвитку сучасного освітнього середовища закладів загальної середньої освіти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>
        <w:trPr>
          <w:trHeight w:val="835" w:hRule="atLeast"/>
        </w:trPr>
        <w:tc>
          <w:tcPr>
            <w:tcW w:w="21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Рівень модернізації та розвитку освітньої інфраструктури закладів професійної освіти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70</w:t>
            </w:r>
          </w:p>
        </w:tc>
      </w:tr>
      <w:tr>
        <w:trPr>
          <w:trHeight w:val="84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Забезпечення доступу до якісного та безпечного харчування у закладах освіти шляхом розвитку сучасної інфраструктури їдалень (харчоблоків)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Частка модернізованих їдалень (харчоблоків) у загальній кількості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>
        <w:trPr>
          <w:trHeight w:val="806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Енергоефективність та енергонезалежність будівель закладів та установ освіти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Рівень енергоефективності та енергонезалежності будівель закладів та установ освіти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>
        <w:trPr>
          <w:trHeight w:val="806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Реконструкція, відновлення, ремонт та нове будівництво інфраструктури закладів освіти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Рівень оновленої інфраструктури закладів освіти шляхом нового будівництва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>
        <w:trPr>
          <w:trHeight w:val="835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Підвищення рівня протипожежної безпеки в закладах та установах освіти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Частка закладів освіти, які облаштовані системою протипожежного захисту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>
        <w:trPr>
          <w:trHeight w:val="1066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Житлові простори: розвиток та модернізація пансіонів та гуртожитків закладів освіти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готовності пансіону до експлуатації відповідно до вимог безпеки, інклюзивності та енергоефективності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>
        <w:trPr>
          <w:trHeight w:val="1037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Освіта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умов для рівного доступу до освіти шляхом розвитку інфраструктури перевезень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Підвищення рівня доступності закладів освіти через оновлення та розвиток інфраструктури шкільних перевезень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</w:tr>
      <w:tr>
        <w:trPr>
          <w:trHeight w:val="806" w:hRule="atLeast"/>
        </w:trPr>
        <w:tc>
          <w:tcPr>
            <w:tcW w:w="1513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Соціальна сфера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Департамент соціальної політики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85 430 800,00 грн</w:t>
            </w:r>
          </w:p>
        </w:tc>
      </w:tr>
      <w:tr>
        <w:trPr>
          <w:trHeight w:val="1094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Підтримка сімей з дітьми та захист прав дітей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Розвиток житлової інфраструктури соціальної підтримки та інтеграції вразливих груп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Рівень забезпечення соціальним житлом осіб, які його потребують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</w:tc>
      </w:tr>
      <w:tr>
        <w:trPr>
          <w:trHeight w:val="1470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Ветерани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Розвиток мережі ветеранських просторів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Розширення мережі ветеранських просторів для забезпечення комплексної підтримки, соціальної адаптації, реінтеграції та самореалізації ветеранів війни, членів їхніх сімей і сімей загиблих (померлих)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>
        <w:trPr>
          <w:trHeight w:val="1164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Соціальна оренда та інфраструктура тимчасового проживання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Створення інфраструктури для тимчасового проживання соціально вразливих верств населення, в т. ч. внутрішньо переміщених осіб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розвитку інфраструктури для тимчасового проживання соціально вразливих верств населення, в т. ч. внутрішньо переміщених осіб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>
        <w:trPr>
          <w:trHeight w:val="685" w:hRule="atLeast"/>
        </w:trPr>
        <w:tc>
          <w:tcPr>
            <w:tcW w:w="1513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Муніципальна інфраструктура та послуги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Департамент економічної політики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686 291 100,00 грн</w:t>
            </w:r>
          </w:p>
        </w:tc>
      </w:tr>
      <w:tr>
        <w:trPr>
          <w:trHeight w:val="317" w:hRule="atLeast"/>
        </w:trPr>
        <w:tc>
          <w:tcPr>
            <w:tcW w:w="2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Розбудова та відновлення інфраструктури</w:t>
            </w:r>
          </w:p>
        </w:tc>
        <w:tc>
          <w:tcPr>
            <w:tcW w:w="36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Розбудова, відновлення та модернізація муніципальної інфраструктури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Частка завершених безбар’єрних маршрутів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>
        <w:trPr>
          <w:trHeight w:val="58" w:hRule="atLeast"/>
        </w:trPr>
        <w:tc>
          <w:tcPr>
            <w:tcW w:w="2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забезпечення відновлення та розвитку муніципальної інфраструктури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>
        <w:trPr>
          <w:trHeight w:val="150" w:hRule="atLeast"/>
        </w:trPr>
        <w:tc>
          <w:tcPr>
            <w:tcW w:w="2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highlight w:val="white"/>
              </w:rPr>
              <w:t>Водопостачання та водовідведення</w:t>
            </w:r>
          </w:p>
        </w:tc>
        <w:tc>
          <w:tcPr>
            <w:tcW w:w="36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Відновлення, розвиток та модернізація інфраструктури централізованого водопостачання та водовідведення, в тому числі з впровадженням альтернативних джерел енергії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Рівень модернізації інфраструктури очищення стічних вод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120" w:hRule="atLeast"/>
        </w:trPr>
        <w:tc>
          <w:tcPr>
            <w:tcW w:w="2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Частка модернізованої інфраструктури централізованого водопостачання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>
        <w:trPr>
          <w:trHeight w:val="780" w:hRule="atLeast"/>
        </w:trPr>
        <w:tc>
          <w:tcPr>
            <w:tcW w:w="2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Збільшення частки відновлюваних джерел енергії у споживанні підприємств водопостачання та водовідведення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>
        <w:trPr>
          <w:trHeight w:val="411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498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Містобудування, благоустрій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Підвищення енергоефективності в громадських будівлях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Частка громадських будівель, які планується термомодернізувати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>
        <w:trPr>
          <w:trHeight w:val="749" w:hRule="atLeast"/>
        </w:trPr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Туристичні послуги</w:t>
            </w:r>
          </w:p>
        </w:tc>
        <w:tc>
          <w:tcPr>
            <w:tcW w:w="3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Розвиток туристичної інфраструктури та туристичної привабливості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забезпечення громади сучасною туристичною інфраструктурою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>
        <w:trPr>
          <w:trHeight w:val="749" w:hRule="atLeast"/>
        </w:trPr>
        <w:tc>
          <w:tcPr>
            <w:tcW w:w="21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туристичної привабливості та відвідуваності громади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108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Управління побутовими відходами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Реконструкція та модернізація системи управління побутовими відходами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Частка переробки побутових відходів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>
        <w:trPr>
          <w:trHeight w:val="749" w:hRule="atLeast"/>
        </w:trPr>
        <w:tc>
          <w:tcPr>
            <w:tcW w:w="2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Теплопостачання</w:t>
            </w:r>
          </w:p>
        </w:tc>
        <w:tc>
          <w:tcPr>
            <w:tcW w:w="36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Відновлення, модернізація та розвиток систем централізованого та децентралізованого теплопостачання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Рівень споживання природного газу підприємствами теплопостачання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>
        <w:trPr>
          <w:trHeight w:val="749" w:hRule="atLeast"/>
        </w:trPr>
        <w:tc>
          <w:tcPr>
            <w:tcW w:w="2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викидів парникових газів в секторі теплопостачання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>
        <w:trPr>
          <w:trHeight w:val="1930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Захисні споруди об’єктів інфраструктури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Відновлення, модернізація та захист об’єктів критичної інфраструктури для забезпечення їх стійкості до загроз та безперервності надання життєво важливих послуг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Частка об’єктів критичної інфраструктури, на яких проведено заходи із захисту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1125" w:hRule="atLeast"/>
        </w:trPr>
        <w:tc>
          <w:tcPr>
            <w:tcW w:w="1513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Спорт, фізичне та молодіжне виховання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Департамент молоді та спорту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192 328 900,00 грн</w:t>
            </w:r>
          </w:p>
        </w:tc>
      </w:tr>
      <w:tr>
        <w:trPr>
          <w:trHeight w:val="1152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 та фізичне виховання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sz w:val="24"/>
                <w:szCs w:val="24"/>
                <w:lang w:eastAsia="uk-UA"/>
              </w:rPr>
              <w:t>Створення та розвиток мережі об’єктів спортивної інфраструктури з урахуванням вимог доступності та безпеки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Рівень покращення спортивної інфраструктури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</w:tr>
      <w:tr>
        <w:trPr>
          <w:trHeight w:val="1728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Молодь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Розвиток молодіжної інфраструктури міста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Підвищення рівня забезпеченості молоді сучасною, доступною та функціональною молодіжною інфраструктурою для навчання, розвитку, громадської активності та самореалізації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</w:tr>
      <w:tr>
        <w:trPr>
          <w:trHeight w:val="1310" w:hRule="atLeast"/>
        </w:trPr>
        <w:tc>
          <w:tcPr>
            <w:tcW w:w="1513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Транспорт та послуги зв’язку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Департамент економічної політики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418 217 500,00 грн</w:t>
            </w:r>
          </w:p>
        </w:tc>
      </w:tr>
      <w:tr>
        <w:trPr>
          <w:trHeight w:val="806" w:hRule="atLeast"/>
        </w:trPr>
        <w:tc>
          <w:tcPr>
            <w:tcW w:w="2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498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Громадський транспорт</w:t>
            </w:r>
          </w:p>
        </w:tc>
        <w:tc>
          <w:tcPr>
            <w:tcW w:w="36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Комплексний розвиток громадського транспорту та міської інфраструктури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Рівень оновлення рухомого складу міського громадського транспорту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>
        <w:trPr>
          <w:trHeight w:val="806" w:hRule="atLeast"/>
        </w:trPr>
        <w:tc>
          <w:tcPr>
            <w:tcW w:w="2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Рівень розвитку інфраструктури міського громадського транспорту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>
        <w:trPr>
          <w:trHeight w:val="1391" w:hRule="atLeast"/>
        </w:trPr>
        <w:tc>
          <w:tcPr>
            <w:tcW w:w="1513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Цифрова трансформація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—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Управління інформаційно-комунікаційних технологій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10 795 300,00 грн</w:t>
            </w:r>
          </w:p>
        </w:tc>
      </w:tr>
      <w:tr>
        <w:trPr>
          <w:trHeight w:val="1469" w:hRule="atLeast"/>
        </w:trPr>
        <w:tc>
          <w:tcPr>
            <w:tcW w:w="21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Цифровізація та публічні послуги</w:t>
            </w:r>
          </w:p>
        </w:tc>
        <w:tc>
          <w:tcPr>
            <w:tcW w:w="3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Забезпечення розвитку інформаційних (автоматизованих) електронних комунікаційних систем, в тому числі електронного урядування та надання адміністративних послуг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Підвищення рівня надання послуг мешканцям громади шляхом впровадження платформи цифрових сервісів та мобільного додатку на її основі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</w:tr>
      <w:tr>
        <w:trPr>
          <w:trHeight w:val="1008" w:hRule="atLeast"/>
        </w:trPr>
        <w:tc>
          <w:tcPr>
            <w:tcW w:w="211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Підвищення рівня </w:t>
            </w:r>
            <w:r>
              <w:rPr>
                <w:rFonts w:ascii="Times New Roman" w:hAnsi="Times New Roman"/>
                <w:sz w:val="24"/>
                <w:szCs w:val="24"/>
              </w:rPr>
              <w:t>надання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адміністративних послуг онлайн від їхньої загальної кількості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>
        <w:trPr>
          <w:trHeight w:val="1210" w:hRule="atLeast"/>
        </w:trPr>
        <w:tc>
          <w:tcPr>
            <w:tcW w:w="1513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Охорона здоров’я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—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Управління охорони здоров’я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32 113 600,00 грн</w:t>
            </w:r>
          </w:p>
        </w:tc>
      </w:tr>
      <w:tr>
        <w:trPr>
          <w:trHeight w:val="1440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Розбудова та модернізація системи охорони здоров’я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Забезпечення медичних закладів сучасним обладнанням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Підвищення рівня оснащення закладів охорони здоров’я сучасним медичним обладнанням та технологіями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>
        <w:trPr>
          <w:trHeight w:val="1440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Реабілітаційна допомога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Забезпечення доступності до якісних реабілітаційних послуг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Підвищення рівня доступності надання якісних реабілітаційних послуг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>
        <w:trPr>
          <w:trHeight w:val="1440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Спеціалізована медична допомога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Забезпечення доступу до якісної медичної допомоги шляхом модернізації медичної інфраструктури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uk-UA"/>
              </w:rPr>
              <w:t>Підвищення рівня доступу до якісної медичної допомоги в стаціонарних умовах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</w:tr>
      <w:tr>
        <w:trPr>
          <w:trHeight w:val="1210" w:hRule="atLeast"/>
        </w:trPr>
        <w:tc>
          <w:tcPr>
            <w:tcW w:w="1513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Житло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—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Департамент житлово-комунального господарства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57 554 700,00 грн</w:t>
            </w:r>
          </w:p>
        </w:tc>
      </w:tr>
      <w:tr>
        <w:trPr>
          <w:trHeight w:val="922" w:hRule="atLeast"/>
        </w:trPr>
        <w:tc>
          <w:tcPr>
            <w:tcW w:w="21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Відновлення житла</w:t>
            </w:r>
          </w:p>
        </w:tc>
        <w:tc>
          <w:tcPr>
            <w:tcW w:w="364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Відновлення багатоквартирних будинків, пошкоджених внаслідок збройної агресії рф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uk-UA"/>
              </w:rPr>
              <w:t>Частка відновлених об’єктів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82,5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>
        <w:trPr>
          <w:trHeight w:val="1158" w:hRule="atLeast"/>
        </w:trPr>
        <w:tc>
          <w:tcPr>
            <w:tcW w:w="15136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EEEEE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Пріоритетна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Культура та інформація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Структурний підрозділ, відповідальний за галузь (сектор) для публічного інвестування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Департамент культури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Граничний сукупний обсяг публічних інвестицій на середньостроковий період на галузь (сектор)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— 82 496 600,00 грн</w:t>
            </w:r>
          </w:p>
        </w:tc>
      </w:tr>
      <w:tr>
        <w:trPr>
          <w:trHeight w:val="922" w:hRule="atLeast"/>
        </w:trPr>
        <w:tc>
          <w:tcPr>
            <w:tcW w:w="211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Культурні послуги</w:t>
            </w:r>
          </w:p>
        </w:tc>
        <w:tc>
          <w:tcPr>
            <w:tcW w:w="364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Покращення умов надання культурних послуг шляхом реконструкції та модернізації матеріально- технічної бази закладів культури</w:t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sz w:val="24"/>
                <w:szCs w:val="24"/>
                <w:lang w:eastAsia="ru-RU"/>
              </w:rPr>
              <w:t>Частка об’єктів/будівель, в яких проведено модернізацію, у загальній кількості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>
        <w:trPr>
          <w:trHeight w:val="922" w:hRule="atLeast"/>
        </w:trPr>
        <w:tc>
          <w:tcPr>
            <w:tcW w:w="2117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364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30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sz w:val="24"/>
                <w:szCs w:val="24"/>
                <w:lang w:eastAsia="ru-RU"/>
              </w:rPr>
              <w:t>Частка культурних закладів, облаштованих для маломобільних груп населення, у загальній кількості</w:t>
            </w:r>
          </w:p>
        </w:tc>
        <w:tc>
          <w:tcPr>
            <w:tcW w:w="129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9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29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>
        <w:trPr>
          <w:trHeight w:val="2160" w:hRule="atLeast"/>
        </w:trPr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  <w:tab w:val="left" w:pos="9498" w:leader="none"/>
              </w:tabs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Культурна спадщина та національна пам’ять</w:t>
            </w:r>
          </w:p>
        </w:tc>
        <w:tc>
          <w:tcPr>
            <w:tcW w:w="3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19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Забезпечення збереження культурної спадщини Луцької міської територіальної громади шляхом проведення ремонтно-реставраційних робіт, реставрації об’єктів культурної спадщини</w:t>
            </w:r>
          </w:p>
        </w:tc>
        <w:tc>
          <w:tcPr>
            <w:tcW w:w="4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/>
            </w:pP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 xml:space="preserve">Частка об’єктів культурної спадщини, на яких проведено ремонтно-реставраційні, реставраційні, консерваційні або протиаварійні роботи </w:t>
            </w:r>
            <w:r>
              <w:rPr>
                <w:rStyle w:val="t286pc"/>
                <w:rFonts w:ascii="Times New Roman" w:hAnsi="Times New Roman"/>
                <w:color w:val="000000"/>
                <w:sz w:val="24"/>
                <w:szCs w:val="24"/>
              </w:rPr>
              <w:t>Смаль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cs="Times New Roman" w:ascii="Times New Roman" w:hAnsi="Times New Roman"/>
          <w:b/>
          <w:caps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cs="Times New Roman" w:ascii="Times New Roman" w:hAnsi="Times New Roman"/>
          <w:b/>
          <w:caps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Смаль 777 955</w:t>
      </w:r>
    </w:p>
    <w:sectPr>
      <w:headerReference w:type="even" r:id="rId5"/>
      <w:headerReference w:type="default" r:id="rId6"/>
      <w:headerReference w:type="first" r:id="rId7"/>
      <w:footerReference w:type="even" r:id="rId8"/>
      <w:footerReference w:type="default" r:id="rId9"/>
      <w:footerReference w:type="first" r:id="rId10"/>
      <w:type w:val="nextPage"/>
      <w:pgSz w:orient="landscape" w:w="16838" w:h="11906"/>
      <w:pgMar w:left="1134" w:right="567" w:gutter="0" w:header="1418" w:top="1475" w:footer="0" w:bottom="1134"/>
      <w:pgNumType w:start="6" w:fmt="decimal"/>
      <w:formProt w:val="false"/>
      <w:titlePg/>
      <w:textDirection w:val="lrTb"/>
      <w:docGrid w:type="default" w:linePitch="299" w:charSpace="4505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swiss"/>
    <w:pitch w:val="variable"/>
  </w:font>
  <w:font w:name="Cambria">
    <w:charset w:val="cc"/>
    <w:family w:val="roman"/>
    <w:pitch w:val="variable"/>
  </w:font>
  <w:font w:name="Segoe UI">
    <w:charset w:val="cc"/>
    <w:family w:val="swiss"/>
    <w:pitch w:val="variable"/>
  </w:font>
  <w:font w:name="Times New Roman">
    <w:charset w:val="cc"/>
    <w:family w:val="roman"/>
    <w:pitch w:val="variable"/>
  </w:font>
  <w:font w:name="TimesNewRomanPSMT">
    <w:charset w:val="cc"/>
    <w:family w:val="roman"/>
    <w:pitch w:val="variable"/>
  </w:font>
  <w:font w:name="OpenSymbol">
    <w:altName w:val="Arial Unicode MS"/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Helvetica Neue">
    <w:charset w:val="cc"/>
    <w:family w:val="roman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70269962"/>
    </w:sdtPr>
    <w:sdtContent>
      <w:p>
        <w:pPr>
          <w:pStyle w:val="Header"/>
          <w:spacing w:before="0" w:after="160"/>
          <w:jc w:val="center"/>
          <w:rPr>
            <w:rFonts w:ascii="Times New Roman" w:hAnsi="Times New Roman" w:cs="Times New Roman"/>
            <w:sz w:val="28"/>
            <w:szCs w:val="28"/>
          </w:rPr>
        </w:pPr>
        <w:r>
          <w:rPr>
            <w:rFonts w:cs="Times New Roman"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cs="Times New Roman" w:ascii="Times New Roman" w:hAnsi="Times New Roman"/>
          </w:rPr>
          <w:instrText xml:space="preserve"> PAGE </w:instrText>
        </w:r>
        <w:r>
          <w:rPr>
            <w:sz w:val="28"/>
            <w:szCs w:val="28"/>
            <w:rFonts w:cs="Times New Roman" w:ascii="Times New Roman" w:hAnsi="Times New Roman"/>
          </w:rPr>
          <w:fldChar w:fldCharType="separate"/>
        </w:r>
        <w:r>
          <w:rPr>
            <w:sz w:val="28"/>
            <w:szCs w:val="28"/>
            <w:rFonts w:cs="Times New Roman" w:ascii="Times New Roman" w:hAnsi="Times New Roman"/>
          </w:rPr>
          <w:t>5</w:t>
        </w:r>
        <w:r>
          <w:rPr>
            <w:sz w:val="28"/>
            <w:szCs w:val="28"/>
            <w:rFonts w:cs="Times New Roman" w:ascii="Times New Roman" w:hAnsi="Times New Roman"/>
          </w:rPr>
          <w:fldChar w:fldCharType="end"/>
        </w:r>
      </w:p>
    </w:sdtContent>
  </w:sdt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37282708"/>
    </w:sdtPr>
    <w:sdtContent>
      <w:p>
        <w:pPr>
          <w:pStyle w:val="Header"/>
          <w:jc w:val="center"/>
          <w:rPr>
            <w:rFonts w:ascii="Times New Roman" w:hAnsi="Times New Roman"/>
          </w:rPr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 xml:space="preserve"> PAGE </w:instrText>
        </w:r>
        <w:r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</w:rPr>
          <w:t>10</w:t>
        </w:r>
        <w:r>
          <w:rPr>
            <w:rFonts w:ascii="Times New Roman" w:hAnsi="Times New Roman"/>
          </w:rPr>
          <w:fldChar w:fldCharType="end"/>
        </w:r>
      </w:p>
    </w:sdtContent>
  </w:sdt>
  <w:p>
    <w:pPr>
      <w:pStyle w:val="Header"/>
      <w:spacing w:before="0" w:after="160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160"/>
      <w:jc w:val="center"/>
      <w:rPr>
        <w:rFonts w:ascii="Times New Roman" w:hAnsi="Times New Roman"/>
      </w:rPr>
    </w:pPr>
    <w:r>
      <w:rPr>
        <w:rFonts w:ascii="Times New Roman" w:hAnsi="Times New Roman"/>
      </w:rPr>
      <w:t>6</w:t>
    </w:r>
  </w:p>
</w:hdr>
</file>

<file path=word/settings.xml><?xml version="1.0" encoding="utf-8"?>
<w:settings xmlns:w="http://schemas.openxmlformats.org/wordprocessingml/2006/main">
  <w:zoom w:percent="108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qFormat="1"/>
    <w:lsdException w:name="heading 6" w:locked="1" w:uiPriority="0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92c5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en-US" w:bidi="ar-SA"/>
    </w:rPr>
  </w:style>
  <w:style w:type="paragraph" w:styleId="Heading1">
    <w:name w:val="heading 1"/>
    <w:basedOn w:val="user1"/>
    <w:next w:val="BodyText"/>
    <w:link w:val="1"/>
    <w:uiPriority w:val="99"/>
    <w:qFormat/>
    <w:pPr>
      <w:outlineLvl w:val="0"/>
    </w:pPr>
    <w:rPr>
      <w:rFonts w:ascii="Liberation Serif" w:hAnsi="Liberation Serif" w:eastAsia="Calibri" w:cs="Tahoma"/>
      <w:b/>
      <w:bCs/>
      <w:sz w:val="48"/>
      <w:szCs w:val="48"/>
    </w:rPr>
  </w:style>
  <w:style w:type="paragraph" w:styleId="Heading2">
    <w:name w:val="heading 2"/>
    <w:basedOn w:val="user1"/>
    <w:next w:val="BodyText"/>
    <w:uiPriority w:val="99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Heading5">
    <w:name w:val="heading 5"/>
    <w:basedOn w:val="Normal"/>
    <w:next w:val="Normal"/>
    <w:link w:val="51"/>
    <w:uiPriority w:val="99"/>
    <w:qFormat/>
    <w:locked/>
    <w:rsid w:val="00092c5d"/>
    <w:pPr>
      <w:keepNext w:val="true"/>
      <w:keepLines/>
      <w:spacing w:before="40" w:after="0"/>
      <w:outlineLvl w:val="4"/>
    </w:pPr>
    <w:rPr>
      <w:rFonts w:ascii="Cambria" w:hAnsi="Cambria" w:cs="Cambria"/>
      <w:color w:val="365F91"/>
    </w:rPr>
  </w:style>
  <w:style w:type="paragraph" w:styleId="Heading6">
    <w:name w:val="heading 6"/>
    <w:basedOn w:val="Normal"/>
    <w:next w:val="Normal"/>
    <w:link w:val="61"/>
    <w:uiPriority w:val="99"/>
    <w:qFormat/>
    <w:locked/>
    <w:rsid w:val="00092c5d"/>
    <w:pPr>
      <w:keepNext w:val="true"/>
      <w:keepLines/>
      <w:spacing w:before="40" w:after="0"/>
      <w:outlineLvl w:val="5"/>
    </w:pPr>
    <w:rPr>
      <w:rFonts w:ascii="Cambria" w:hAnsi="Cambria" w:cs="Cambria"/>
      <w:color w:val="243F6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eastAsia="Times New Roman" w:cs="Cambria"/>
      <w:b/>
      <w:bCs/>
      <w:kern w:val="2"/>
      <w:sz w:val="32"/>
      <w:szCs w:val="32"/>
      <w:lang w:eastAsia="en-US"/>
    </w:rPr>
  </w:style>
  <w:style w:type="character" w:styleId="3" w:customStyle="1">
    <w:name w:val="Нижній колонтитул Знак3"/>
    <w:basedOn w:val="DefaultParagraphFont"/>
    <w:uiPriority w:val="99"/>
    <w:semiHidden/>
    <w:qFormat/>
    <w:locked/>
    <w:rPr>
      <w:rFonts w:ascii="Cambria" w:hAnsi="Cambria" w:eastAsia="Times New Roman" w:cs="Cambria"/>
      <w:b/>
      <w:bCs/>
      <w:i/>
      <w:iCs/>
      <w:sz w:val="28"/>
      <w:szCs w:val="28"/>
      <w:lang w:eastAsia="en-US"/>
    </w:rPr>
  </w:style>
  <w:style w:type="character" w:styleId="51" w:customStyle="1">
    <w:name w:val="Заголовок 5 Знак1"/>
    <w:basedOn w:val="DefaultParagraphFont"/>
    <w:uiPriority w:val="99"/>
    <w:semiHidden/>
    <w:qFormat/>
    <w:locked/>
    <w:rPr>
      <w:rFonts w:ascii="Calibri" w:hAnsi="Calibri" w:eastAsia="Times New Roman" w:cs="Calibri"/>
      <w:b/>
      <w:bCs/>
      <w:i/>
      <w:iCs/>
      <w:sz w:val="26"/>
      <w:szCs w:val="26"/>
      <w:lang w:eastAsia="en-US"/>
    </w:rPr>
  </w:style>
  <w:style w:type="character" w:styleId="61" w:customStyle="1">
    <w:name w:val="Заголовок 6 Знак1"/>
    <w:basedOn w:val="DefaultParagraphFont"/>
    <w:uiPriority w:val="99"/>
    <w:semiHidden/>
    <w:qFormat/>
    <w:locked/>
    <w:rPr>
      <w:rFonts w:ascii="Calibri" w:hAnsi="Calibri" w:eastAsia="Times New Roman" w:cs="Calibri"/>
      <w:b/>
      <w:bCs/>
      <w:lang w:eastAsia="en-US"/>
    </w:rPr>
  </w:style>
  <w:style w:type="character" w:styleId="Strong">
    <w:name w:val="Strong"/>
    <w:basedOn w:val="DefaultParagraphFont"/>
    <w:uiPriority w:val="99"/>
    <w:qFormat/>
    <w:rPr>
      <w:rFonts w:cs="Times New Roman"/>
      <w:b/>
      <w:bCs/>
    </w:rPr>
  </w:style>
  <w:style w:type="character" w:styleId="Style10" w:customStyle="1">
    <w:name w:val="Текст у виносці Знак"/>
    <w:basedOn w:val="DefaultParagraphFont"/>
    <w:uiPriority w:val="99"/>
    <w:semiHidden/>
    <w:qFormat/>
    <w:rPr>
      <w:rFonts w:ascii="Segoe UI" w:hAnsi="Segoe UI" w:cs="Segoe UI"/>
      <w:sz w:val="18"/>
      <w:szCs w:val="18"/>
    </w:rPr>
  </w:style>
  <w:style w:type="character" w:styleId="Style11" w:customStyle="1">
    <w:name w:val="Основний текст Знак"/>
    <w:basedOn w:val="DefaultParagraphFont"/>
    <w:uiPriority w:val="99"/>
    <w:semiHidden/>
    <w:qFormat/>
    <w:rPr>
      <w:rFonts w:ascii="Times New Roman" w:hAnsi="Times New Roman" w:cs="Times New Roman"/>
      <w:sz w:val="24"/>
      <w:szCs w:val="24"/>
      <w:lang w:eastAsia="ru-RU"/>
    </w:rPr>
  </w:style>
  <w:style w:type="character" w:styleId="fontstyle01" w:customStyle="1">
    <w:name w:val="fontstyle01"/>
    <w:basedOn w:val="DefaultParagraphFont"/>
    <w:uiPriority w:val="99"/>
    <w:qFormat/>
    <w:rPr>
      <w:rFonts w:ascii="TimesNewRomanPSMT" w:hAnsi="TimesNewRomanPSMT" w:cs="Times New Roman"/>
      <w:color w:val="000000"/>
      <w:sz w:val="28"/>
      <w:szCs w:val="28"/>
    </w:rPr>
  </w:style>
  <w:style w:type="character" w:styleId="apple-style-span" w:customStyle="1">
    <w:name w:val="apple-style-span"/>
    <w:basedOn w:val="DefaultParagraphFont"/>
    <w:uiPriority w:val="99"/>
    <w:qFormat/>
    <w:rPr>
      <w:rFonts w:cs="Times New Roman"/>
    </w:rPr>
  </w:style>
  <w:style w:type="character" w:styleId="11" w:customStyle="1">
    <w:name w:val="Основний текст Знак1"/>
    <w:basedOn w:val="DefaultParagraphFont"/>
    <w:uiPriority w:val="99"/>
    <w:semiHidden/>
    <w:qFormat/>
    <w:rsid w:val="00092c5d"/>
    <w:rPr>
      <w:rFonts w:cs="Times New Roman"/>
      <w:lang w:eastAsia="en-US"/>
    </w:rPr>
  </w:style>
  <w:style w:type="character" w:styleId="12" w:customStyle="1">
    <w:name w:val="Текст у виносці Знак1"/>
    <w:basedOn w:val="DefaultParagraphFont"/>
    <w:uiPriority w:val="99"/>
    <w:semiHidden/>
    <w:qFormat/>
    <w:rsid w:val="00092c5d"/>
    <w:rPr>
      <w:rFonts w:ascii="Times New Roman" w:hAnsi="Times New Roman" w:cs="Times New Roman"/>
      <w:sz w:val="2"/>
      <w:lang w:eastAsia="en-US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092c5d"/>
    <w:rPr>
      <w:rFonts w:cs="Times New Roman"/>
      <w:lang w:eastAsia="en-US"/>
    </w:rPr>
  </w:style>
  <w:style w:type="character" w:styleId="user" w:customStyle="1">
    <w:name w:val="Маркери (user)"/>
    <w:uiPriority w:val="99"/>
    <w:qFormat/>
    <w:rPr>
      <w:rFonts w:ascii="OpenSymbol" w:hAnsi="OpenSymbol"/>
    </w:rPr>
  </w:style>
  <w:style w:type="character" w:styleId="Style13" w:customStyle="1">
    <w:name w:val="Нижній колонтитул Знак"/>
    <w:basedOn w:val="DefaultParagraphFont"/>
    <w:uiPriority w:val="99"/>
    <w:qFormat/>
    <w:rsid w:val="00092c5d"/>
    <w:rPr>
      <w:rFonts w:cs="Times New Roman"/>
      <w:lang w:eastAsia="en-US"/>
    </w:rPr>
  </w:style>
  <w:style w:type="character" w:styleId="13" w:customStyle="1">
    <w:name w:val="Гіперпосилання1"/>
    <w:basedOn w:val="DefaultParagraphFont"/>
    <w:uiPriority w:val="99"/>
    <w:qFormat/>
    <w:rPr>
      <w:rFonts w:cs="Times New Roman"/>
      <w:color w:val="000080"/>
      <w:u w:val="single"/>
    </w:rPr>
  </w:style>
  <w:style w:type="character" w:styleId="ms-1" w:customStyle="1">
    <w:name w:val="ms-1"/>
    <w:basedOn w:val="DefaultParagraphFont"/>
    <w:uiPriority w:val="99"/>
    <w:qFormat/>
    <w:rsid w:val="00092c5d"/>
    <w:rPr>
      <w:rFonts w:cs="Times New Roman"/>
    </w:rPr>
  </w:style>
  <w:style w:type="character" w:styleId="max-w-full" w:customStyle="1">
    <w:name w:val="max-w-full"/>
    <w:basedOn w:val="DefaultParagraphFont"/>
    <w:uiPriority w:val="99"/>
    <w:qFormat/>
    <w:rsid w:val="00092c5d"/>
    <w:rPr>
      <w:rFonts w:cs="Times New Roman"/>
    </w:rPr>
  </w:style>
  <w:style w:type="character" w:styleId="2" w:customStyle="1">
    <w:name w:val="Верхній колонтитул Знак2"/>
    <w:uiPriority w:val="99"/>
    <w:qFormat/>
    <w:locked/>
    <w:rsid w:val="00092c5d"/>
    <w:rPr>
      <w:i/>
    </w:rPr>
  </w:style>
  <w:style w:type="character" w:styleId="x193iq5w" w:customStyle="1">
    <w:name w:val="x193iq5w"/>
    <w:uiPriority w:val="99"/>
    <w:qFormat/>
    <w:rsid w:val="00092c5d"/>
    <w:rPr/>
  </w:style>
  <w:style w:type="character" w:styleId="5" w:customStyle="1">
    <w:name w:val="Заголовок 5 Знак"/>
    <w:basedOn w:val="DefaultParagraphFont"/>
    <w:uiPriority w:val="99"/>
    <w:semiHidden/>
    <w:qFormat/>
    <w:rsid w:val="00092c5d"/>
    <w:rPr>
      <w:rFonts w:ascii="Cambria" w:hAnsi="Cambria" w:cs="Cambria"/>
      <w:color w:val="365F91"/>
      <w:lang w:eastAsia="en-US"/>
    </w:rPr>
  </w:style>
  <w:style w:type="character" w:styleId="6" w:customStyle="1">
    <w:name w:val="Заголовок 6 Знак"/>
    <w:basedOn w:val="DefaultParagraphFont"/>
    <w:uiPriority w:val="99"/>
    <w:semiHidden/>
    <w:qFormat/>
    <w:rsid w:val="00092c5d"/>
    <w:rPr>
      <w:rFonts w:ascii="Cambria" w:hAnsi="Cambria" w:cs="Cambria"/>
      <w:color w:val="243F60"/>
      <w:lang w:eastAsia="en-US"/>
    </w:rPr>
  </w:style>
  <w:style w:type="character" w:styleId="14" w:customStyle="1">
    <w:name w:val="Верхній колонтитул Знак1"/>
    <w:uiPriority w:val="99"/>
    <w:qFormat/>
    <w:rsid w:val="00092c5d"/>
    <w:rPr/>
  </w:style>
  <w:style w:type="character" w:styleId="31" w:customStyle="1">
    <w:name w:val="Текст у виносці Знак3"/>
    <w:basedOn w:val="DefaultParagraphFont"/>
    <w:link w:val="BalloonText"/>
    <w:uiPriority w:val="99"/>
    <w:semiHidden/>
    <w:qFormat/>
    <w:locked/>
    <w:rPr>
      <w:rFonts w:cs="Times New Roman"/>
      <w:lang w:eastAsia="en-US"/>
    </w:rPr>
  </w:style>
  <w:style w:type="character" w:styleId="BalloonTextChar" w:customStyle="1">
    <w:name w:val="Balloon Text Char"/>
    <w:basedOn w:val="DefaultParagraphFont"/>
    <w:uiPriority w:val="99"/>
    <w:semiHidden/>
    <w:qFormat/>
    <w:locked/>
    <w:rPr>
      <w:rFonts w:ascii="Times New Roman" w:hAnsi="Times New Roman" w:cs="Times New Roman"/>
      <w:sz w:val="2"/>
      <w:lang w:eastAsia="en-US"/>
    </w:rPr>
  </w:style>
  <w:style w:type="character" w:styleId="21" w:customStyle="1">
    <w:name w:val="Нижній колонтитул Знак2"/>
    <w:basedOn w:val="DefaultParagraphFont"/>
    <w:uiPriority w:val="99"/>
    <w:semiHidden/>
    <w:qFormat/>
    <w:locked/>
    <w:rPr>
      <w:rFonts w:cs="Times New Roman"/>
      <w:lang w:eastAsia="en-US"/>
    </w:rPr>
  </w:style>
  <w:style w:type="character" w:styleId="15" w:customStyle="1">
    <w:name w:val="Нижній колонтитул Знак1"/>
    <w:basedOn w:val="DefaultParagraphFont"/>
    <w:uiPriority w:val="99"/>
    <w:semiHidden/>
    <w:qFormat/>
    <w:locked/>
    <w:rPr>
      <w:rFonts w:cs="Times New Roman"/>
      <w:lang w:eastAsia="en-US"/>
    </w:rPr>
  </w:style>
  <w:style w:type="character" w:styleId="BodyTextChar1" w:customStyle="1">
    <w:name w:val="Body Text Char1"/>
    <w:basedOn w:val="DefaultParagraphFont"/>
    <w:uiPriority w:val="99"/>
    <w:semiHidden/>
    <w:qFormat/>
    <w:rsid w:val="007e6698"/>
    <w:rPr>
      <w:lang w:eastAsia="en-US"/>
    </w:rPr>
  </w:style>
  <w:style w:type="character" w:styleId="22" w:customStyle="1">
    <w:name w:val="Текст у виносці Знак2"/>
    <w:basedOn w:val="DefaultParagraphFont"/>
    <w:uiPriority w:val="99"/>
    <w:semiHidden/>
    <w:qFormat/>
    <w:rsid w:val="007e6698"/>
    <w:rPr>
      <w:rFonts w:ascii="Times New Roman" w:hAnsi="Times New Roman"/>
      <w:sz w:val="0"/>
      <w:szCs w:val="0"/>
      <w:lang w:eastAsia="en-US"/>
    </w:rPr>
  </w:style>
  <w:style w:type="character" w:styleId="HeaderChar1" w:customStyle="1">
    <w:name w:val="Header Char1"/>
    <w:basedOn w:val="DefaultParagraphFont"/>
    <w:uiPriority w:val="99"/>
    <w:semiHidden/>
    <w:qFormat/>
    <w:rsid w:val="007e6698"/>
    <w:rPr>
      <w:lang w:eastAsia="en-US"/>
    </w:rPr>
  </w:style>
  <w:style w:type="character" w:styleId="FooterChar1" w:customStyle="1">
    <w:name w:val="Footer Char1"/>
    <w:basedOn w:val="DefaultParagraphFont"/>
    <w:uiPriority w:val="99"/>
    <w:semiHidden/>
    <w:qFormat/>
    <w:rsid w:val="007e6698"/>
    <w:rPr>
      <w:lang w:eastAsia="en-US"/>
    </w:rPr>
  </w:style>
  <w:style w:type="character" w:styleId="Hyperlink">
    <w:name w:val="Hyperlink"/>
    <w:rPr>
      <w:color w:val="000080"/>
      <w:u w:val="single"/>
    </w:rPr>
  </w:style>
  <w:style w:type="character" w:styleId="t286pc" w:customStyle="1">
    <w:name w:val="t286pc"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semiHidden/>
    <w:pPr>
      <w:spacing w:lineRule="auto" w:line="288" w:before="0" w:after="14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">
    <w:name w:val="List"/>
    <w:basedOn w:val="BodyText"/>
    <w:uiPriority w:val="99"/>
    <w:rsid w:val="00092c5d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092c5d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092c5d"/>
    <w:pPr>
      <w:suppressLineNumbers/>
    </w:pPr>
    <w:rPr>
      <w:rFonts w:cs="Arial"/>
    </w:rPr>
  </w:style>
  <w:style w:type="paragraph" w:styleId="caption1" w:customStyle="1">
    <w:name w:val="caption1"/>
    <w:basedOn w:val="Normal"/>
    <w:uiPriority w:val="99"/>
    <w:qFormat/>
    <w:rsid w:val="00092c5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andard" w:customStyle="1">
    <w:name w:val="Standard"/>
    <w:uiPriority w:val="99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Calibri" w:cs="Tahoma"/>
      <w:color w:val="000000"/>
      <w:kern w:val="2"/>
      <w:sz w:val="24"/>
      <w:szCs w:val="24"/>
      <w:lang w:val="uk-UA" w:eastAsia="zh-CN" w:bidi="hi-IN"/>
    </w:rPr>
  </w:style>
  <w:style w:type="paragraph" w:styleId="BalloonText">
    <w:name w:val="Balloon Text"/>
    <w:basedOn w:val="Normal"/>
    <w:link w:val="31"/>
    <w:uiPriority w:val="99"/>
    <w:semiHidden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pPr>
      <w:spacing w:before="0" w:after="160"/>
      <w:ind w:left="720"/>
      <w:contextualSpacing/>
    </w:pPr>
    <w:rPr/>
  </w:style>
  <w:style w:type="paragraph" w:styleId="NormalWeb">
    <w:name w:val="Normal (Web)"/>
    <w:basedOn w:val="Normal"/>
    <w:uiPriority w:val="99"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user3" w:customStyle="1">
    <w:name w:val="Вміст таблиці (user)"/>
    <w:basedOn w:val="Normal"/>
    <w:uiPriority w:val="99"/>
    <w:qFormat/>
    <w:rsid w:val="00092c5d"/>
    <w:pPr>
      <w:widowControl w:val="false"/>
      <w:suppressLineNumbers/>
    </w:pPr>
    <w:rPr/>
  </w:style>
  <w:style w:type="paragraph" w:styleId="user4" w:customStyle="1">
    <w:name w:val="Заголовок таблиці (user)"/>
    <w:basedOn w:val="user3"/>
    <w:uiPriority w:val="99"/>
    <w:qFormat/>
    <w:rsid w:val="00092c5d"/>
    <w:pPr>
      <w:jc w:val="center"/>
    </w:pPr>
    <w:rPr>
      <w:b/>
      <w:bCs/>
    </w:rPr>
  </w:style>
  <w:style w:type="paragraph" w:styleId="user5" w:customStyle="1">
    <w:name w:val="Верхній і нижній колонтитули (user)"/>
    <w:basedOn w:val="Normal"/>
    <w:qFormat/>
    <w:pPr/>
    <w:rPr/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user5"/>
    <w:link w:val="2"/>
    <w:uiPriority w:val="99"/>
    <w:rsid w:val="00092c5d"/>
    <w:pPr/>
    <w:rPr/>
  </w:style>
  <w:style w:type="paragraph" w:styleId="Footer">
    <w:name w:val="footer"/>
    <w:basedOn w:val="Normal"/>
    <w:link w:val="3"/>
    <w:uiPriority w:val="99"/>
    <w:rsid w:val="00092c5d"/>
    <w:pPr>
      <w:tabs>
        <w:tab w:val="clear" w:pos="708"/>
        <w:tab w:val="center" w:pos="4819" w:leader="none"/>
        <w:tab w:val="right" w:pos="9639" w:leader="none"/>
      </w:tabs>
      <w:spacing w:lineRule="auto" w:line="240" w:before="0" w:after="0"/>
    </w:pPr>
    <w:rPr/>
  </w:style>
  <w:style w:type="paragraph" w:styleId="western" w:customStyle="1">
    <w:name w:val="western"/>
    <w:basedOn w:val="Normal"/>
    <w:uiPriority w:val="99"/>
    <w:qFormat/>
    <w:rsid w:val="00092c5d"/>
    <w:pPr>
      <w:suppressAutoHyphens w:val="false"/>
      <w:spacing w:lineRule="auto" w:line="288" w:beforeAutospacing="1" w:after="142"/>
    </w:pPr>
    <w:rPr>
      <w:rFonts w:ascii="Times New Roman" w:hAnsi="Times New Roman" w:eastAsia="Times New Roman" w:cs="Times New Roman"/>
      <w:sz w:val="24"/>
      <w:szCs w:val="24"/>
      <w:lang w:eastAsia="uk-UA"/>
    </w:rPr>
  </w:style>
  <w:style w:type="paragraph" w:styleId="Style51" w:customStyle="1">
    <w:name w:val="Style5"/>
    <w:basedOn w:val="Normal"/>
    <w:uiPriority w:val="99"/>
    <w:qFormat/>
    <w:rsid w:val="00092c5d"/>
    <w:pPr>
      <w:widowControl w:val="false"/>
      <w:spacing w:lineRule="exact" w:line="312" w:before="0" w:after="0"/>
      <w:ind w:firstLine="550"/>
      <w:jc w:val="both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paragraph" w:styleId="Style17" w:customStyle="1">
    <w:name w:val="Типовий"/>
    <w:uiPriority w:val="99"/>
    <w:qFormat/>
    <w:rsid w:val="00092c5d"/>
    <w:pPr>
      <w:widowControl/>
      <w:suppressAutoHyphens w:val="true"/>
      <w:bidi w:val="0"/>
      <w:spacing w:lineRule="auto" w:line="288" w:before="160" w:after="0"/>
      <w:jc w:val="left"/>
    </w:pPr>
    <w:rPr>
      <w:rFonts w:ascii="Helvetica Neue" w:hAnsi="Helvetica Neue" w:eastAsia="Calibri" w:cs="Arial Unicode MS"/>
      <w:color w:val="000000"/>
      <w:kern w:val="0"/>
      <w:sz w:val="24"/>
      <w:szCs w:val="24"/>
      <w:lang w:val="uk-UA" w:eastAsia="uk-UA" w:bidi="ar-SA"/>
    </w:rPr>
  </w:style>
  <w:style w:type="paragraph" w:styleId="Style18" w:customStyle="1">
    <w:name w:val="Без интервала"/>
    <w:uiPriority w:val="99"/>
    <w:qFormat/>
    <w:rsid w:val="00092c5d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uk-UA" w:eastAsia="zh-CN" w:bidi="ar-SA"/>
    </w:rPr>
  </w:style>
  <w:style w:type="paragraph" w:styleId="TableParagraph" w:customStyle="1">
    <w:name w:val="Table Paragraph"/>
    <w:basedOn w:val="Normal"/>
    <w:uiPriority w:val="99"/>
    <w:qFormat/>
    <w:rsid w:val="00092c5d"/>
    <w:pPr>
      <w:widowControl w:val="false"/>
      <w:suppressAutoHyphens w:val="false"/>
      <w:spacing w:lineRule="auto" w:line="240" w:before="0" w:after="0"/>
    </w:pPr>
    <w:rPr>
      <w:lang w:val="en-US"/>
    </w:rPr>
  </w:style>
  <w:style w:type="paragraph" w:styleId="NoSpacing">
    <w:name w:val="No Spacing"/>
    <w:uiPriority w:val="99"/>
    <w:qFormat/>
    <w:rsid w:val="00092c5d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--12" w:customStyle="1">
    <w:name w:val="Текст-синій-12"/>
    <w:basedOn w:val="Normal"/>
    <w:uiPriority w:val="99"/>
    <w:qFormat/>
    <w:pPr>
      <w:ind w:firstLine="567"/>
      <w:jc w:val="both"/>
    </w:pPr>
    <w:rPr>
      <w:color w:val="22517D"/>
      <w:szCs w:val="26"/>
    </w:rPr>
  </w:style>
  <w:style w:type="paragraph" w:styleId="normal1" w:customStyle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"/>
      <w:color w:val="auto"/>
      <w:kern w:val="0"/>
      <w:sz w:val="20"/>
      <w:szCs w:val="20"/>
      <w:lang w:val="uk-UA" w:eastAsia="zh-CN" w:bidi="hi-IN"/>
    </w:rPr>
  </w:style>
  <w:style w:type="paragraph" w:styleId="Style19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0" w:customStyle="1">
    <w:name w:val="Верхній колонтитул ліворуч"/>
    <w:basedOn w:val="Header"/>
    <w:qFormat/>
    <w:pPr>
      <w:suppressLineNumbers/>
      <w:tabs>
        <w:tab w:val="clear" w:pos="708"/>
        <w:tab w:val="center" w:pos="4677" w:leader="none"/>
        <w:tab w:val="right" w:pos="9355" w:leader="none"/>
      </w:tabs>
    </w:pPr>
    <w:rPr/>
  </w:style>
  <w:style w:type="numbering" w:styleId="user6" w:customStyle="1">
    <w:name w:val="Без маркерів (user)"/>
    <w:uiPriority w:val="99"/>
    <w:semiHidden/>
    <w:unhideWhenUsed/>
    <w:qFormat/>
  </w:style>
  <w:style w:type="numbering" w:styleId="Style21" w:customStyle="1">
    <w:name w:val="Без маркерів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a">
    <w:name w:val="Table Grid"/>
    <w:basedOn w:val="a2"/>
    <w:uiPriority w:val="99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oter" Target="footer3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3181</TotalTime>
  <Application>LibreOffice/25.2.7.2$Windows_X86_64 LibreOffice_project/5cbfd1ab6520636bb5f7b99185aa69bd7456825d</Application>
  <AppVersion>15.0000</AppVersion>
  <Pages>12</Pages>
  <Words>2403</Words>
  <Characters>17617</Characters>
  <CharactersWithSpaces>19680</CharactersWithSpaces>
  <Paragraphs>383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2026-01-14T07:13:00Z</dcterms:created>
  <dc:creator>Карпук Оксана</dc:creator>
  <dc:description/>
  <dc:language>uk-UA</dc:language>
  <cp:lastModifiedBy/>
  <cp:lastPrinted>2026-08-19T11:13:00Z</cp:lastPrinted>
  <dcterms:modified xsi:type="dcterms:W3CDTF">2026-08-27T16:31:34Z</dcterms:modified>
  <cp:revision>159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9896b244-8cfb-4ef9-ab50-8fb55cad08a6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