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5A870" w14:textId="77777777" w:rsidR="00221A18" w:rsidRDefault="00000000" w:rsidP="00221A18">
      <w:pPr>
        <w:pStyle w:val="ab"/>
        <w:spacing w:before="0" w:after="0" w:line="240" w:lineRule="auto"/>
        <w:ind w:left="4395" w:firstLine="708"/>
        <w:rPr>
          <w:rFonts w:ascii="Times New Roman" w:eastAsiaTheme="minorHAnsi" w:hAnsi="Times New Roman" w:cstheme="minorBidi"/>
          <w:color w:val="000000"/>
          <w:lang w:val="uk-UA"/>
        </w:rPr>
      </w:pPr>
      <w:r>
        <w:rPr>
          <w:rFonts w:ascii="Times New Roman" w:eastAsiaTheme="minorHAnsi" w:hAnsi="Times New Roman" w:cstheme="minorBidi"/>
          <w:color w:val="000000"/>
          <w:lang w:val="uk-UA"/>
        </w:rPr>
        <w:t>Додаток 1</w:t>
      </w:r>
    </w:p>
    <w:p w14:paraId="2C098074" w14:textId="5BC83853" w:rsidR="005D25C5" w:rsidRDefault="00000000" w:rsidP="00221A18">
      <w:pPr>
        <w:pStyle w:val="ab"/>
        <w:spacing w:before="0" w:after="0" w:line="240" w:lineRule="auto"/>
        <w:ind w:left="4395" w:firstLine="708"/>
        <w:rPr>
          <w:rFonts w:ascii="Times New Roman" w:hAnsi="Times New Roman"/>
          <w:color w:val="000000"/>
          <w:lang w:val="uk-UA"/>
        </w:rPr>
      </w:pPr>
      <w:r>
        <w:rPr>
          <w:rFonts w:ascii="Times New Roman" w:hAnsi="Times New Roman"/>
          <w:color w:val="000000"/>
          <w:lang w:val="uk-UA"/>
        </w:rPr>
        <w:t>до рішення виконавчого комітету</w:t>
      </w:r>
    </w:p>
    <w:p w14:paraId="03919F10" w14:textId="77777777" w:rsidR="005D25C5" w:rsidRDefault="00000000" w:rsidP="00221A18">
      <w:pPr>
        <w:spacing w:after="0" w:line="240" w:lineRule="auto"/>
        <w:ind w:left="510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міської ради </w:t>
      </w:r>
    </w:p>
    <w:p w14:paraId="048FCFC7" w14:textId="150A41A8" w:rsidR="005D25C5" w:rsidRDefault="00000000" w:rsidP="00221A18">
      <w:pPr>
        <w:spacing w:after="0" w:line="240" w:lineRule="auto"/>
        <w:ind w:left="510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_____________ № ___________</w:t>
      </w:r>
    </w:p>
    <w:p w14:paraId="1C22CA28" w14:textId="77777777" w:rsidR="005D25C5" w:rsidRDefault="005D25C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DB2113B" w14:textId="77777777" w:rsidR="005D25C5" w:rsidRDefault="005D25C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34C072F" w14:textId="77777777" w:rsidR="005D25C5" w:rsidRDefault="000000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ЗАГАЛЬНІ ВКАЗІВКИ</w:t>
      </w:r>
    </w:p>
    <w:p w14:paraId="06BC6E91" w14:textId="77777777" w:rsidR="005D25C5" w:rsidRDefault="00000000">
      <w:pPr>
        <w:spacing w:after="0" w:line="240" w:lineRule="auto"/>
        <w:ind w:left="-567" w:right="-284" w:firstLine="70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тарифів на теплову енергію, послуги з постачання теплової енергії </w:t>
      </w:r>
    </w:p>
    <w:p w14:paraId="05EA7803" w14:textId="2D49749B" w:rsidR="005D25C5" w:rsidRDefault="00000000">
      <w:pPr>
        <w:spacing w:after="0" w:line="240" w:lineRule="auto"/>
        <w:ind w:left="-567" w:right="-284" w:firstLine="70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та постачання гарячої води, що надаються </w:t>
      </w:r>
      <w:r w:rsidR="00221A18"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ержавним комунальним </w:t>
      </w:r>
    </w:p>
    <w:p w14:paraId="0F0ABB92" w14:textId="77777777" w:rsidR="005D25C5" w:rsidRDefault="00000000">
      <w:pPr>
        <w:spacing w:after="0" w:line="240" w:lineRule="auto"/>
        <w:ind w:left="-567" w:right="-284" w:firstLine="70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підприємством «Луцьктепло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</w:p>
    <w:p w14:paraId="29CA9786" w14:textId="77777777" w:rsidR="005D25C5" w:rsidRDefault="005D25C5">
      <w:pPr>
        <w:spacing w:after="0" w:line="240" w:lineRule="auto"/>
        <w:ind w:left="-567" w:right="-284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C23AE18" w14:textId="77777777" w:rsidR="005D25C5" w:rsidRDefault="0000000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Встановлені цим рішенням:</w:t>
      </w:r>
    </w:p>
    <w:p w14:paraId="5FDAB452" w14:textId="520E3BD0" w:rsidR="005D25C5" w:rsidRDefault="0000000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1. Двоставкові тарифи на теплову енергію застосовуються для нарахування споживачам плати за фактично спожиту теплову енергію, використану споживачем для потреб опалення, вентиляції приміщень (в т</w:t>
      </w:r>
      <w:r w:rsidR="00357C85">
        <w:rPr>
          <w:rFonts w:ascii="Times New Roman" w:hAnsi="Times New Roman" w:cs="Times New Roman"/>
          <w:sz w:val="28"/>
          <w:szCs w:val="28"/>
          <w:lang w:val="uk-UA"/>
        </w:rPr>
        <w:t xml:space="preserve">ому числі </w:t>
      </w:r>
      <w:r>
        <w:rPr>
          <w:rFonts w:ascii="Times New Roman" w:hAnsi="Times New Roman" w:cs="Times New Roman"/>
          <w:sz w:val="28"/>
          <w:szCs w:val="28"/>
          <w:lang w:val="uk-UA"/>
        </w:rPr>
        <w:t>при визначенні кількості теплової енергії на загальнобудинкові потреби, розрахунку теплових втрат від транзитних стояків при влаштуванні індивідуального опалення тощо):</w:t>
      </w:r>
    </w:p>
    <w:p w14:paraId="64449351" w14:textId="77777777" w:rsidR="005D25C5" w:rsidRDefault="0000000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умовно-змінна частина двоставкового тарифу на послуги з постачання теплової енергії – вартість одиниці теплової енергії, визначена з розрахунку на 1 Гкал теплової енергії або відповідно до норми споживання, як грошовий вираз змінної частини планованих економічно обґрунтованих прямих витрат, що змінюються прямо пропорційно зміні обсягу теплової енергії та сплачуються лише в опалювальний сезон.</w:t>
      </w:r>
    </w:p>
    <w:p w14:paraId="35D468FC" w14:textId="1EE4218C" w:rsidR="005D25C5" w:rsidRDefault="0000000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умовно-постійна частина двоставкового тарифу на послуги з постачання теплової енергії</w:t>
      </w:r>
      <w:r w:rsidR="00535461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535461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плата за одиницю теплового навантаження об’єктів теплоспоживання на опалення (1 Гкал/год) </w:t>
      </w:r>
      <w:r w:rsidR="00535461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грошовий вираз планованих економічно обґрунтованих витрат, крім тих, що віднесені до умовно-змінних витрат, що включаються до повної собівартості теплової енергії, є постійними і не змінюються прямо пропорційно зміні обсягу теплової енергії для надання послуг з постачання теплової енергії</w:t>
      </w:r>
      <w:bookmarkStart w:id="0" w:name="n1334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сплачується рівними частинами (щомісяця) протягом року незалежно від часу виникнення витрат.</w:t>
      </w:r>
    </w:p>
    <w:p w14:paraId="30CC6E3B" w14:textId="77777777" w:rsidR="005D25C5" w:rsidRDefault="00000000">
      <w:pPr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 Одноставкові тарифи на послугу з постачання теплової енергії застосовуються виключно для визначення вартості теплової енергії, для розрахунку двоставкового тарифу, обсягів теплової енергії, що використовується для підігріву гарячої води.</w:t>
      </w:r>
    </w:p>
    <w:p w14:paraId="2DAD8961" w14:textId="77777777" w:rsidR="005D25C5" w:rsidRDefault="00000000">
      <w:pPr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Тарифи на постачання гарячої води є одноставковими, застосовуються для розрахунку плати за фактично спожитий обсяг гарячої води згідно з показами засобів обліку або затвердженої органом місцевого самоврядування норми споживання (у разі відсутності засобу обліку) та включають в себе витрати теплової енергії на функціонування внутрішньобудинкової системи гарячого водопостачання.</w:t>
      </w:r>
    </w:p>
    <w:p w14:paraId="757C0DB3" w14:textId="54438E8C" w:rsidR="005D25C5" w:rsidRDefault="00000000" w:rsidP="00535461">
      <w:pPr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 Формування тарифів на виробництво, транспортування та постачання теплової енергії, постачання теплової енергії та постачання гарячої води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здійснюється для чотирьох категорій споживачів: населення, бюджетні установи, релігійні організації, інші споживачі.</w:t>
      </w:r>
    </w:p>
    <w:p w14:paraId="33268676" w14:textId="77777777" w:rsidR="005D25C5" w:rsidRDefault="00000000">
      <w:pPr>
        <w:tabs>
          <w:tab w:val="left" w:pos="993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5. При розрахунку т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арифів на послугу з постачання теплової енергії плановий обсяг виробництва теплової енергії розраховано відповідно до Норм та вказівок по нормуванню витрат палива та теплової енергії на опалення житлових та громадських споруд, а також на господарсько-побутові потреби в Україні (КТМ 204 України 244-94), (далі – КТМ 204), даних налаштувань індивідуальних режимних карт теплогенеруючого устаткування та з урахуванням таких показників:</w:t>
      </w:r>
    </w:p>
    <w:p w14:paraId="68012F36" w14:textId="77777777" w:rsidR="005D25C5" w:rsidRDefault="00000000">
      <w:pPr>
        <w:spacing w:after="0" w:line="240" w:lineRule="auto"/>
        <w:ind w:firstLine="567"/>
        <w:jc w:val="both"/>
        <w:rPr>
          <w:color w:val="FF0000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середня температура зовнішнього повітря в опалювальний період визначена на підставі даних Волинського обласного центру з гідрометеорології про фактичну температуру за період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2021–2025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років та становить +2,19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С;</w:t>
      </w:r>
    </w:p>
    <w:p w14:paraId="107D1C5D" w14:textId="63A2A44B" w:rsidR="005D25C5" w:rsidRDefault="00000000">
      <w:pPr>
        <w:spacing w:after="0" w:line="240" w:lineRule="auto"/>
        <w:ind w:firstLine="567"/>
        <w:jc w:val="both"/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тривалість опалювального періоду на рівні 168 діб з кількістю днів зі стійкою середньою добовою температурою зовнішнього повітря +8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нижче  (враховуючи середню тривалість опалювальних періодів за останні 5</w:t>
      </w:r>
      <w:r w:rsidR="00535461">
        <w:rPr>
          <w:rFonts w:ascii="Times New Roman" w:eastAsia="Calibri" w:hAnsi="Times New Roman" w:cs="Times New Roman"/>
          <w:sz w:val="28"/>
          <w:szCs w:val="28"/>
          <w:lang w:val="uk-UA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років).</w:t>
      </w:r>
    </w:p>
    <w:p w14:paraId="2AB5C4EC" w14:textId="599B179D" w:rsidR="005D25C5" w:rsidRDefault="0000000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6. Розрахунки за використану теплову енергію та гарячу воду згідно з показами засобів обліку здійснюються з моменту опломбування їх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з’єднувальних частин до вузла обліку представником підприємства.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Неопломбовані засоби обліку не можуть здійснювати облік, до експлуатації не допускаються.</w:t>
      </w:r>
      <w:r w:rsidR="005354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rvts0"/>
          <w:rFonts w:ascii="Times New Roman" w:hAnsi="Times New Roman" w:cs="Times New Roman"/>
          <w:sz w:val="28"/>
          <w:szCs w:val="28"/>
          <w:lang w:val="uk-UA"/>
        </w:rPr>
        <w:t>Засоби вимірювальної техніки, які зберігаються та не використовуються протягом 24 місяців від дати виготовлення та первинної повірки, підлягають позачерговій повірці безпосередньо перед прийняттям на абонентський облік (уведенням в експлуатацію).</w:t>
      </w:r>
    </w:p>
    <w:p w14:paraId="1A5060DC" w14:textId="4E32DA16" w:rsidR="005D25C5" w:rsidRDefault="00000000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7. Розподіл обсягів спожитих послуг з постачання теплової енергії та гарячої води здійснюється відповідно до Методики розподілу між споживачами обсягів спожитих у будівлі комунальних послуг, затвердженої наказом Міністерства регіонального розвитку, будівництва та житлово-комунального господарства від 22.11.2018 № 315</w:t>
      </w:r>
      <w:r w:rsidR="005354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із змінами, внесеними  наказами Міністерства розвитку громад та територій від 28.12.2021 № 358 та від 26.03.2022 № 61</w:t>
      </w:r>
      <w:r>
        <w:rPr>
          <w:rFonts w:ascii="Times New Roman" w:hAnsi="Times New Roman" w:cs="Times New Roman"/>
          <w:sz w:val="28"/>
          <w:szCs w:val="28"/>
          <w:lang w:val="uk-UA"/>
        </w:rPr>
        <w:t>. Для визначення фактичних обсягів спожитої теплової енергії в будинках без вузлів комерційного обліку теплової енергії використовуються висновки з енергетичного обстеження (аудиту) і розрахунку максимального теплового навантаження багатоквартирних житлових будинків.</w:t>
      </w:r>
    </w:p>
    <w:p w14:paraId="18A0AA92" w14:textId="77777777" w:rsidR="005D25C5" w:rsidRDefault="0000000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 У разі самовільного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розпломбування, відсутності чи пошкодження пломб підприємства, порушення цілісності засобів обліку, втручання в їх роботу чи </w:t>
      </w:r>
      <w:r>
        <w:rPr>
          <w:rFonts w:ascii="Times New Roman" w:hAnsi="Times New Roman" w:cs="Times New Roman"/>
          <w:sz w:val="28"/>
          <w:szCs w:val="28"/>
          <w:lang w:val="uk-UA"/>
        </w:rPr>
        <w:t>виявлення факту зворотного руху облікового механізму лічильника гарячої води,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поживачам проводиться нарахування плати за послугу за затвердженими нормами споживання з моменту останнього контрольного зняття показань лічильника(ів).</w:t>
      </w:r>
    </w:p>
    <w:p w14:paraId="66BC63ED" w14:textId="50B85CEF" w:rsidR="005D25C5" w:rsidRDefault="0000000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9. Припинення нарахувань за послугу з постачання гарячої води можлив</w:t>
      </w:r>
      <w:r w:rsidR="009E67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разі тимчасового призупинення її надання шляхом опломбування працівниками підприємства запірних вентилів у приміщенні Споживача за умови справності запірної арматури та технічної можливості її опломбування після подання Споживачем письмової заяви та оплати послуг з опломбування вводу(ів). Перевірка факту опломбування вводу(ів) гарячої води здійснюється не рідше одного разу на рік.</w:t>
      </w:r>
    </w:p>
    <w:p w14:paraId="64526079" w14:textId="77777777" w:rsidR="005D25C5" w:rsidRDefault="00000000">
      <w:pPr>
        <w:tabs>
          <w:tab w:val="left" w:pos="0"/>
        </w:tabs>
        <w:suppressAutoHyphens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10. Відновлення надання послуги з постачання гарячої води проводиться шляхом зняття працівниками підприємства пломб із запірних вентилів у приміщенні Споживача за умови подання ним письмової заяви та оплати послуг з розпломбування вводу(ів).</w:t>
      </w:r>
    </w:p>
    <w:p w14:paraId="474BF8F1" w14:textId="284DE7F5" w:rsidR="005D25C5" w:rsidRDefault="00000000">
      <w:pPr>
        <w:tabs>
          <w:tab w:val="left" w:pos="709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 У разі відмови споживача надати доступ </w:t>
      </w:r>
      <w:r w:rsidR="009E67C8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помешкання для перевірки факту опломбування вводів гарячої води до визначеного терміну або виявлення фактів самовільного їх розпломбування, плата за послугу з постачання гарячої води нараховується за нормами споживання з моменту здійснення останнього задокументованого факту перевірки опломбування вводів.</w:t>
      </w:r>
    </w:p>
    <w:p w14:paraId="489A2079" w14:textId="55306E16" w:rsidR="005D25C5" w:rsidRDefault="00000000">
      <w:pPr>
        <w:tabs>
          <w:tab w:val="left" w:pos="709"/>
          <w:tab w:val="left" w:pos="993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12. Якщо кількість зареєстрованих в квартирі рівна «0», у разі відсутності засобів обліку гарячої води, нарахування плати за послугу з постачання гарячої води проводиться по затвердженій нормі споживання на 1</w:t>
      </w:r>
      <w:r w:rsidR="009E67C8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особу та тарифу за 1 куб.м.</w:t>
      </w:r>
    </w:p>
    <w:p w14:paraId="5BDCA383" w14:textId="0BAAAD38" w:rsidR="005D25C5" w:rsidRDefault="00000000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13. Споживач зобов’язаний забезпечувати представнику ДКП</w:t>
      </w:r>
      <w:r w:rsidR="009E67C8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«Луцьктепло» доступ до квартирних мереж для огляду транзитних трубопроводів у випадку індивідуального опалення. При виявленні факту самовільного зняття теплової ізоляції на транзитних трубопроводах, або невідповідності її товщини проєктним даним, споживач оплачує за втрати теплової енергії неізольованими стояками.</w:t>
      </w:r>
    </w:p>
    <w:p w14:paraId="3A79C576" w14:textId="7D019F55" w:rsidR="005D25C5" w:rsidRDefault="00000000">
      <w:pPr>
        <w:tabs>
          <w:tab w:val="left" w:pos="993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14. У разі самовільного під'єднання до мереж (систем) централізованого опалення та/або постачання гарячої води, </w:t>
      </w:r>
      <w:r>
        <w:rPr>
          <w:rFonts w:ascii="Times New Roman" w:hAnsi="Times New Roman" w:cs="Times New Roman"/>
          <w:sz w:val="28"/>
          <w:szCs w:val="28"/>
          <w:lang w:val="uk-UA"/>
        </w:rPr>
        <w:t>нарахування плати за послугу проводиться по діючих тарифах та затвердженим нормативом, враховуючи кількість зареєстрованих, опалювальну площу</w:t>
      </w:r>
      <w:r w:rsidR="007A463A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7A463A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теплове навантаження, з моменту останнього обстеження, проведеного в приміщенні.</w:t>
      </w:r>
    </w:p>
    <w:p w14:paraId="6C9916C8" w14:textId="3F0C5835" w:rsidR="005D25C5" w:rsidRDefault="00000000">
      <w:pPr>
        <w:tabs>
          <w:tab w:val="left" w:pos="993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15. Обслуговування (огляд, опломбування</w:t>
      </w:r>
      <w:r w:rsidR="007A46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r w:rsidR="007A46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розпломбування, періодична повірка (у тому числі демонтаж, транспортування та монтаж), ремонт засобів вимірювальної техніки) та заміна вузлів розподільного обліку (квартирних лічильників) здійснюються за рахунок власників таких вузлів обліку.</w:t>
      </w:r>
    </w:p>
    <w:p w14:paraId="480BEB78" w14:textId="77777777" w:rsidR="005D25C5" w:rsidRDefault="00000000">
      <w:pPr>
        <w:tabs>
          <w:tab w:val="left" w:pos="993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16. У разі невиконання періодичної повірки засобу(ів) обліку гарячої води у встановлені терміни (з врахуванням вимог постанови Кабінету Міністрів України від 07.04.2023 № 440):</w:t>
      </w:r>
    </w:p>
    <w:p w14:paraId="0C553B54" w14:textId="4E8DC345" w:rsidR="005D25C5" w:rsidRDefault="0000000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нарахування плати за послугу з постачання гарячої води по особовому рахунку абонентів категорії «населення» проводити згідно із нормою споживання та відповідно до кількості осіб, зареєстрованих у квартирі з врахуванням періоду надання послуги;</w:t>
      </w:r>
    </w:p>
    <w:p w14:paraId="3CD1CC19" w14:textId="3A203D00" w:rsidR="005D25C5" w:rsidRDefault="00000000">
      <w:pPr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нарахування плати за послугу з постачання гарячої води по особовому рахунку абонентів категорії «бюджетні установи», «інші споживачі» та «релігійні організації» проводиться відповідно до договірних умов за умови відсутності приладу(-ів) обліку.</w:t>
      </w:r>
    </w:p>
    <w:p w14:paraId="578FB8F7" w14:textId="77777777" w:rsidR="005D25C5" w:rsidRDefault="00000000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Після проведення споживачем періодичної повірки лічильників гарячої води: </w:t>
      </w:r>
    </w:p>
    <w:p w14:paraId="3FB7CC6C" w14:textId="2ECE6FAC" w:rsidR="005D25C5" w:rsidRDefault="007A463A" w:rsidP="007A463A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000000" w:rsidRPr="007A463A">
        <w:rPr>
          <w:rFonts w:ascii="Times New Roman" w:eastAsia="Times New Roman" w:hAnsi="Times New Roman" w:cs="Times New Roman"/>
          <w:sz w:val="28"/>
          <w:szCs w:val="28"/>
          <w:lang w:val="uk-UA"/>
        </w:rPr>
        <w:t>а умови позитивних результатів (документального підтвердження проходження повірки) такої повірки, проводиться перерахунок нарахувань за послугу з постачання гарячої води відповідно до показів повірених засобів розподільного обліку не більше ніж за 12 розрахункових періодів;</w:t>
      </w:r>
    </w:p>
    <w:p w14:paraId="092A2C45" w14:textId="77777777" w:rsidR="005D25C5" w:rsidRPr="007A463A" w:rsidRDefault="00000000" w:rsidP="007A46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  <w:lang w:val="uk-UA"/>
        </w:rPr>
      </w:pPr>
      <w:r w:rsidRPr="007A46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умови </w:t>
      </w:r>
      <w:r w:rsidRPr="007A463A">
        <w:rPr>
          <w:rFonts w:ascii="Times New Roman" w:hAnsi="Times New Roman" w:cs="Times New Roman"/>
          <w:sz w:val="28"/>
          <w:szCs w:val="28"/>
          <w:lang w:val="uk-UA"/>
        </w:rPr>
        <w:t>негативних результатів такої повірки, нарахування за послугу з постачання гарячої води проводиться</w:t>
      </w:r>
      <w:r w:rsidRPr="007A46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згідно з нормами</w:t>
      </w:r>
      <w:r w:rsidRPr="007A46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46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споживання </w:t>
      </w:r>
      <w:r w:rsidRPr="007A463A">
        <w:rPr>
          <w:rFonts w:ascii="Times New Roman" w:hAnsi="Times New Roman" w:cs="Times New Roman"/>
          <w:sz w:val="28"/>
          <w:szCs w:val="28"/>
          <w:lang w:val="uk-UA"/>
        </w:rPr>
        <w:t>та відповідно до кількості осіб, зареєстрованих в квартирі,</w:t>
      </w:r>
      <w:r w:rsidRPr="007A46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 моменту прийняття в експлуатацію засобу(ів) обліку після проведення ремонту (з метрологічною повіркою) або прийняття на абонентський облік нового(их) засобу(ів) розподільного обліку.</w:t>
      </w:r>
    </w:p>
    <w:p w14:paraId="31F10F29" w14:textId="44DC4A21" w:rsidR="005D25C5" w:rsidRDefault="00000000">
      <w:pPr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невиконання споживачами періодичної повірки засобу(ів) обліку теплової енергії до встановленого терміну, нарахування плати за послугу з постачання теплової енергії здійснюється по діючих тарифах та затверджених нормах споживання, враховуючи опалювальну площу</w:t>
      </w:r>
      <w:r w:rsidR="007A463A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7A463A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теплове навантаження, до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моменту прийняття в експлуатацію засобу(ів) обліку після проведення повірки або прийняття на абонентський облік нового(их) засобу(ів) обліку. </w:t>
      </w:r>
    </w:p>
    <w:p w14:paraId="07DF654D" w14:textId="6771EA8F" w:rsidR="005D25C5" w:rsidRDefault="00000000">
      <w:pPr>
        <w:tabs>
          <w:tab w:val="left" w:pos="993"/>
        </w:tabs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17. У разі виявлення самовільної добудови до приміщення споживача та ненадання доступу в приміщення для можливості проведення обстеження підприємство проводить заміри по зовнішніх розмірах добудови та здійснює додаткове нарахування за послугу з постачання теплової енергії з початку опалювального сезону, з подальшим коригуванням плати після проведення обстеження і надання технічної документації на добудову.</w:t>
      </w:r>
    </w:p>
    <w:p w14:paraId="203DE070" w14:textId="77777777" w:rsidR="005D25C5" w:rsidRDefault="00000000">
      <w:pPr>
        <w:tabs>
          <w:tab w:val="left" w:pos="993"/>
        </w:tabs>
        <w:spacing w:after="0" w:line="240" w:lineRule="auto"/>
        <w:ind w:firstLine="567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18. Якщо причиною ненадання або надання неякісних послуг з постачання теплової енергії споживачам є самовільне регулювання мешканцями будинку подачі теплової енергії на вводі в будинок запірною арматурою відповідно до складених актів-претензій, перерахунок плати за послугу з постачання теплової енергії власникам цих приміщень не проводиться.</w:t>
      </w:r>
    </w:p>
    <w:p w14:paraId="00D7FBA3" w14:textId="77777777" w:rsidR="005D25C5" w:rsidRDefault="005D2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861F78" w14:textId="77777777" w:rsidR="009E67C8" w:rsidRDefault="009E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DD529C" w14:textId="77777777" w:rsidR="005D25C5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Керуючий справами </w:t>
      </w:r>
    </w:p>
    <w:p w14:paraId="5DB725EE" w14:textId="77777777" w:rsidR="005D25C5" w:rsidRDefault="0000000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Наталія ЮРЧЕНКО</w:t>
      </w:r>
    </w:p>
    <w:p w14:paraId="5636F932" w14:textId="77777777" w:rsidR="005D25C5" w:rsidRDefault="005D25C5">
      <w:pPr>
        <w:pStyle w:val="af3"/>
        <w:spacing w:after="0" w:line="240" w:lineRule="auto"/>
        <w:ind w:firstLine="0"/>
        <w:jc w:val="left"/>
        <w:rPr>
          <w:rFonts w:ascii="Times New Roman" w:hAnsi="Times New Roman" w:cs="Times New Roman"/>
        </w:rPr>
      </w:pPr>
    </w:p>
    <w:p w14:paraId="787AB819" w14:textId="77777777" w:rsidR="00E65E46" w:rsidRDefault="00E65E46">
      <w:pPr>
        <w:pStyle w:val="af3"/>
        <w:spacing w:after="0" w:line="240" w:lineRule="auto"/>
        <w:ind w:firstLine="0"/>
        <w:jc w:val="left"/>
        <w:rPr>
          <w:rFonts w:ascii="Times New Roman" w:hAnsi="Times New Roman" w:cs="Times New Roman"/>
        </w:rPr>
      </w:pPr>
    </w:p>
    <w:p w14:paraId="1602D5EC" w14:textId="4843A93C" w:rsidR="005D25C5" w:rsidRDefault="00E65E46">
      <w:pPr>
        <w:pStyle w:val="af3"/>
        <w:spacing w:after="0" w:line="240" w:lineRule="auto"/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Карпук</w:t>
      </w:r>
      <w:r w:rsidR="00000000">
        <w:rPr>
          <w:rFonts w:ascii="Times New Roman" w:hAnsi="Times New Roman" w:cs="Times New Roman"/>
          <w:sz w:val="24"/>
          <w:szCs w:val="24"/>
        </w:rPr>
        <w:t xml:space="preserve"> 777 9</w:t>
      </w:r>
      <w:r>
        <w:rPr>
          <w:rFonts w:ascii="Times New Roman" w:hAnsi="Times New Roman" w:cs="Times New Roman"/>
          <w:sz w:val="24"/>
          <w:szCs w:val="24"/>
        </w:rPr>
        <w:t>32</w:t>
      </w:r>
    </w:p>
    <w:p w14:paraId="05D581A6" w14:textId="77777777" w:rsidR="005D25C5" w:rsidRDefault="005D25C5">
      <w:pPr>
        <w:pStyle w:val="af0"/>
        <w:tabs>
          <w:tab w:val="left" w:pos="993"/>
        </w:tabs>
        <w:spacing w:after="0" w:line="240" w:lineRule="auto"/>
        <w:ind w:left="0"/>
        <w:jc w:val="both"/>
      </w:pPr>
    </w:p>
    <w:sectPr w:rsidR="005D25C5">
      <w:headerReference w:type="default" r:id="rId8"/>
      <w:pgSz w:w="11906" w:h="16838"/>
      <w:pgMar w:top="1134" w:right="567" w:bottom="1418" w:left="1985" w:header="567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FA187" w14:textId="77777777" w:rsidR="0046414D" w:rsidRDefault="0046414D">
      <w:pPr>
        <w:spacing w:after="0" w:line="240" w:lineRule="auto"/>
      </w:pPr>
      <w:r>
        <w:separator/>
      </w:r>
    </w:p>
  </w:endnote>
  <w:endnote w:type="continuationSeparator" w:id="0">
    <w:p w14:paraId="2F4A97DC" w14:textId="77777777" w:rsidR="0046414D" w:rsidRDefault="00464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CE070" w14:textId="77777777" w:rsidR="0046414D" w:rsidRDefault="0046414D">
      <w:pPr>
        <w:spacing w:after="0" w:line="240" w:lineRule="auto"/>
      </w:pPr>
      <w:r>
        <w:separator/>
      </w:r>
    </w:p>
  </w:footnote>
  <w:footnote w:type="continuationSeparator" w:id="0">
    <w:p w14:paraId="5F8A5D12" w14:textId="77777777" w:rsidR="0046414D" w:rsidRDefault="00464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3030002"/>
      <w:docPartObj>
        <w:docPartGallery w:val="Page Numbers (Top of Page)"/>
        <w:docPartUnique/>
      </w:docPartObj>
    </w:sdtPr>
    <w:sdtContent>
      <w:p w14:paraId="6242106D" w14:textId="77777777" w:rsidR="005D25C5" w:rsidRDefault="00000000">
        <w:pPr>
          <w:spacing w:after="0" w:line="240" w:lineRule="auto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1B7D208F" w14:textId="77777777" w:rsidR="005D25C5" w:rsidRDefault="00000000">
        <w:pPr>
          <w:tabs>
            <w:tab w:val="left" w:pos="5387"/>
          </w:tabs>
          <w:spacing w:after="0" w:line="240" w:lineRule="auto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 1</w:t>
        </w:r>
      </w:p>
      <w:p w14:paraId="2A56C433" w14:textId="77777777" w:rsidR="005D25C5" w:rsidRDefault="00000000">
        <w:pPr>
          <w:spacing w:after="0" w:line="240" w:lineRule="auto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C3685"/>
    <w:multiLevelType w:val="multilevel"/>
    <w:tmpl w:val="BA3C15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895F3A"/>
    <w:multiLevelType w:val="multilevel"/>
    <w:tmpl w:val="9C16A74C"/>
    <w:lvl w:ilvl="0">
      <w:start w:val="17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num w:numId="1" w16cid:durableId="607659405">
    <w:abstractNumId w:val="1"/>
  </w:num>
  <w:num w:numId="2" w16cid:durableId="186151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5C5"/>
    <w:rsid w:val="00221A18"/>
    <w:rsid w:val="002846EF"/>
    <w:rsid w:val="002C7624"/>
    <w:rsid w:val="00357C85"/>
    <w:rsid w:val="0046414D"/>
    <w:rsid w:val="00535461"/>
    <w:rsid w:val="005D25C5"/>
    <w:rsid w:val="007A463A"/>
    <w:rsid w:val="00906BF0"/>
    <w:rsid w:val="009E67C8"/>
    <w:rsid w:val="00A724C7"/>
    <w:rsid w:val="00D6296B"/>
    <w:rsid w:val="00DC0D6C"/>
    <w:rsid w:val="00E65E46"/>
    <w:rsid w:val="00FB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A3458"/>
  <w15:docId w15:val="{5B76715D-CDEA-405B-996A-BC7CF37D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5368"/>
    <w:rPr>
      <w:b/>
      <w:bCs/>
    </w:rPr>
  </w:style>
  <w:style w:type="character" w:styleId="a4">
    <w:name w:val="Emphasis"/>
    <w:basedOn w:val="a0"/>
    <w:uiPriority w:val="20"/>
    <w:qFormat/>
    <w:rsid w:val="00E25368"/>
    <w:rPr>
      <w:i/>
      <w:iCs/>
    </w:rPr>
  </w:style>
  <w:style w:type="character" w:styleId="a5">
    <w:name w:val="Hyperlink"/>
    <w:uiPriority w:val="99"/>
    <w:unhideWhenUsed/>
    <w:rsid w:val="002C3F76"/>
    <w:rPr>
      <w:color w:val="0000FF"/>
      <w:u w:val="single"/>
    </w:rPr>
  </w:style>
  <w:style w:type="character" w:customStyle="1" w:styleId="rvts0">
    <w:name w:val="rvts0"/>
    <w:basedOn w:val="a0"/>
    <w:qFormat/>
    <w:rsid w:val="00A270E8"/>
  </w:style>
  <w:style w:type="character" w:customStyle="1" w:styleId="apple-converted-space">
    <w:name w:val="apple-converted-space"/>
    <w:basedOn w:val="a0"/>
    <w:qFormat/>
    <w:rsid w:val="0075415A"/>
  </w:style>
  <w:style w:type="character" w:customStyle="1" w:styleId="a6">
    <w:name w:val="Текст выноски Знак"/>
    <w:basedOn w:val="a0"/>
    <w:uiPriority w:val="99"/>
    <w:semiHidden/>
    <w:qFormat/>
    <w:rsid w:val="00117FFD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basedOn w:val="a0"/>
    <w:uiPriority w:val="99"/>
    <w:semiHidden/>
    <w:qFormat/>
    <w:rsid w:val="00532F8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Нижній колонтитул Знак"/>
    <w:basedOn w:val="a0"/>
    <w:link w:val="a8"/>
    <w:uiPriority w:val="99"/>
    <w:qFormat/>
    <w:rsid w:val="00711D09"/>
    <w:rPr>
      <w:sz w:val="22"/>
    </w:rPr>
  </w:style>
  <w:style w:type="character" w:customStyle="1" w:styleId="a9">
    <w:name w:val="Верхній колонтитул Знак"/>
    <w:basedOn w:val="a0"/>
    <w:link w:val="aa"/>
    <w:uiPriority w:val="99"/>
    <w:qFormat/>
    <w:rsid w:val="00711D09"/>
    <w:rPr>
      <w:sz w:val="22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">
    <w:name w:val="Покажчик"/>
    <w:basedOn w:val="a"/>
    <w:qFormat/>
    <w:pPr>
      <w:suppressLineNumbers/>
    </w:pPr>
    <w:rPr>
      <w:rFonts w:cs="Arial"/>
    </w:rPr>
  </w:style>
  <w:style w:type="paragraph" w:customStyle="1" w:styleId="1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List Paragraph"/>
    <w:basedOn w:val="a"/>
    <w:uiPriority w:val="34"/>
    <w:qFormat/>
    <w:rsid w:val="004343C4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qFormat/>
    <w:rsid w:val="00C605A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uiPriority w:val="99"/>
    <w:semiHidden/>
    <w:unhideWhenUsed/>
    <w:qFormat/>
    <w:rsid w:val="00117FF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uiPriority w:val="99"/>
    <w:semiHidden/>
    <w:unhideWhenUsed/>
    <w:qFormat/>
    <w:rsid w:val="00532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pPr>
      <w:ind w:firstLine="545"/>
      <w:jc w:val="both"/>
    </w:pPr>
    <w:rPr>
      <w:sz w:val="28"/>
      <w:lang w:val="uk-UA"/>
    </w:rPr>
  </w:style>
  <w:style w:type="paragraph" w:customStyle="1" w:styleId="af4">
    <w:name w:val="Верхній і нижній колонтитули"/>
    <w:basedOn w:val="a"/>
    <w:qFormat/>
    <w:pPr>
      <w:suppressLineNumbers/>
      <w:tabs>
        <w:tab w:val="center" w:pos="4677"/>
        <w:tab w:val="right" w:pos="9355"/>
      </w:tabs>
    </w:pPr>
  </w:style>
  <w:style w:type="paragraph" w:styleId="aa">
    <w:name w:val="header"/>
    <w:basedOn w:val="af4"/>
    <w:link w:val="a9"/>
    <w:uiPriority w:val="99"/>
  </w:style>
  <w:style w:type="paragraph" w:styleId="a8">
    <w:name w:val="footer"/>
    <w:basedOn w:val="a"/>
    <w:link w:val="a7"/>
    <w:uiPriority w:val="99"/>
    <w:unhideWhenUsed/>
    <w:rsid w:val="00711D09"/>
    <w:pPr>
      <w:tabs>
        <w:tab w:val="center" w:pos="4986"/>
        <w:tab w:val="right" w:pos="9973"/>
      </w:tabs>
      <w:spacing w:after="0" w:line="240" w:lineRule="auto"/>
    </w:pPr>
  </w:style>
  <w:style w:type="table" w:styleId="af5">
    <w:name w:val="Table Grid"/>
    <w:basedOn w:val="a1"/>
    <w:rsid w:val="00E25368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B37CD-1BBE-4258-8B3E-AE533439B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6369</Words>
  <Characters>3631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Ірина Демидюк</cp:lastModifiedBy>
  <cp:revision>28</cp:revision>
  <cp:lastPrinted>2023-08-21T13:50:00Z</cp:lastPrinted>
  <dcterms:created xsi:type="dcterms:W3CDTF">2023-07-25T12:53:00Z</dcterms:created>
  <dcterms:modified xsi:type="dcterms:W3CDTF">2026-09-09T10:30:00Z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