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824019327" r:id="rId2"/>
        </w:object>
      </w:r>
    </w:p>
    <w:p>
      <w:pPr>
        <w:pStyle w:val="Normal"/>
        <w:widowControl w:val="false"/>
        <w:jc w:val="center"/>
        <w:rPr>
          <w:sz w:val="18"/>
          <w:szCs w:val="15"/>
        </w:rPr>
      </w:pPr>
      <w:r>
        <w:rPr>
          <w:b/>
          <w:szCs w:val="28"/>
        </w:rPr>
        <w:t>ЛУЦЬКА  МІСЬКА  РАДА</w:t>
      </w:r>
    </w:p>
    <w:p>
      <w:pPr>
        <w:pStyle w:val="Normal"/>
        <w:widowControl w:val="false"/>
        <w:rPr>
          <w:sz w:val="18"/>
          <w:szCs w:val="15"/>
        </w:rPr>
      </w:pPr>
      <w:r>
        <w:rPr>
          <w:sz w:val="18"/>
          <w:szCs w:val="15"/>
        </w:rPr>
      </w:r>
    </w:p>
    <w:p>
      <w:pPr>
        <w:pStyle w:val="2"/>
        <w:widowControl w:val="false"/>
        <w:numPr>
          <w:ilvl w:val="1"/>
          <w:numId w:val="1"/>
        </w:numPr>
        <w:tabs>
          <w:tab w:val="clear" w:pos="708"/>
          <w:tab w:val="left" w:pos="4218" w:leader="none"/>
          <w:tab w:val="left" w:pos="4674" w:leader="none"/>
        </w:tabs>
        <w:rPr>
          <w:sz w:val="40"/>
          <w:szCs w:val="34"/>
        </w:rPr>
      </w:pPr>
      <w:r>
        <w:rPr>
          <w:sz w:val="32"/>
          <w:szCs w:val="32"/>
        </w:rPr>
        <w:t>Р І Ш Е Н Н Я</w:t>
      </w:r>
    </w:p>
    <w:p>
      <w:pPr>
        <w:pStyle w:val="Normal"/>
        <w:widowControl w:val="false"/>
        <w:jc w:val="center"/>
        <w:rPr>
          <w:b/>
          <w:b/>
          <w:bCs/>
          <w:sz w:val="40"/>
          <w:szCs w:val="34"/>
        </w:rPr>
      </w:pPr>
      <w:r>
        <w:rPr>
          <w:b/>
          <w:bCs/>
          <w:sz w:val="40"/>
          <w:szCs w:val="34"/>
        </w:rPr>
      </w:r>
    </w:p>
    <w:p>
      <w:pPr>
        <w:pStyle w:val="Normal"/>
        <w:widowControl w:val="false"/>
        <w:tabs>
          <w:tab w:val="clear" w:pos="708"/>
          <w:tab w:val="left" w:pos="4687" w:leader="none"/>
        </w:tabs>
        <w:jc w:val="both"/>
        <w:rPr>
          <w:lang w:val="uk-UA"/>
        </w:rPr>
      </w:pPr>
      <w:r>
        <w:rPr>
          <w:sz w:val="24"/>
        </w:rPr>
        <w:t xml:space="preserve">________________                                        </w:t>
      </w:r>
      <w:r>
        <w:rPr>
          <w:sz w:val="24"/>
          <w:lang w:val="uk-UA"/>
        </w:rPr>
        <w:t xml:space="preserve">м. </w:t>
      </w:r>
      <w:r>
        <w:rPr>
          <w:sz w:val="24"/>
        </w:rPr>
        <w:t>Луцьк                                         №______________</w:t>
      </w:r>
    </w:p>
    <w:p>
      <w:pPr>
        <w:pStyle w:val="Normal"/>
        <w:widowControl w:val="false"/>
        <w:rPr>
          <w:lang w:val="uk-UA"/>
        </w:rPr>
      </w:pPr>
      <w:r>
        <w:rPr>
          <w:lang w:val="uk-UA"/>
        </w:rPr>
      </w:r>
    </w:p>
    <w:p>
      <w:pPr>
        <w:pStyle w:val="Normal"/>
        <w:widowControl w:val="false"/>
        <w:rPr/>
      </w:pPr>
      <w:r>
        <w:rPr>
          <w:rStyle w:val="Style12"/>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Про надання згоди ПрАТ «СКФ УКРАЇНА»</w:t>
      </w:r>
    </w:p>
    <w:p>
      <w:pPr>
        <w:pStyle w:val="Normal"/>
        <w:widowControl w:val="false"/>
        <w:rPr/>
      </w:pPr>
      <w:r>
        <w:rPr>
          <w:rStyle w:val="Style12"/>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на    передачу   в   суборенду   ПрАТ «ВГП»</w:t>
      </w:r>
    </w:p>
    <w:p>
      <w:pPr>
        <w:pStyle w:val="Normal"/>
        <w:widowControl w:val="false"/>
        <w:rPr/>
      </w:pPr>
      <w:r>
        <w:rPr>
          <w:rStyle w:val="Style12"/>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орендованої  земельної  ділянки  для  будів-</w:t>
      </w:r>
    </w:p>
    <w:p>
      <w:pPr>
        <w:pStyle w:val="Normal"/>
        <w:widowControl w:val="false"/>
        <w:rPr/>
      </w:pPr>
      <w:r>
        <w:rPr>
          <w:rStyle w:val="Style12"/>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ництва  та   обслуговування  зони  технічної</w:t>
      </w:r>
    </w:p>
    <w:p>
      <w:pPr>
        <w:pStyle w:val="Normal"/>
        <w:widowControl w:val="false"/>
        <w:rPr/>
      </w:pPr>
      <w:r>
        <w:rPr>
          <w:rStyle w:val="Style12"/>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інфраструктури  (11.02)   на   вул. Виробни-</w:t>
      </w:r>
    </w:p>
    <w:p>
      <w:pPr>
        <w:pStyle w:val="Normal"/>
        <w:widowControl w:val="false"/>
        <w:rPr/>
      </w:pPr>
      <w:r>
        <w:rPr>
          <w:rStyle w:val="Style12"/>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чій, 34 у м. Луцьку (площею 0,1656 га)</w:t>
      </w:r>
    </w:p>
    <w:p>
      <w:pPr>
        <w:pStyle w:val="Normal"/>
        <w:widowControl w:val="false"/>
        <w:jc w:val="both"/>
        <w:rPr>
          <w:sz w:val="26"/>
          <w:szCs w:val="26"/>
          <w:lang w:val="uk-UA"/>
        </w:rPr>
      </w:pPr>
      <w:r>
        <w:rPr>
          <w:sz w:val="26"/>
          <w:szCs w:val="26"/>
          <w:lang w:val="uk-UA"/>
        </w:rPr>
      </w:r>
    </w:p>
    <w:p>
      <w:pPr>
        <w:pStyle w:val="Normal"/>
        <w:widowControl w:val="false"/>
        <w:suppressAutoHyphens w:val="true"/>
        <w:bidi w:val="0"/>
        <w:spacing w:before="0" w:after="0"/>
        <w:ind w:left="0" w:right="0" w:firstLine="567"/>
        <w:jc w:val="both"/>
        <w:rPr/>
      </w:pPr>
      <w:r>
        <w:rPr>
          <w:rStyle w:val="Style12"/>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Розглянувши заяву ПРИВАТНОГО АКЦІОНЕРНОГО ТОВАРИСТВА «СКФ УКРАЇНА» та ПРИВАТНОГО АКЦІОНЕРНОГО ТОВАРИСТВА «ВГП» щодо надання згоди на передачу орендованої земельної ділянки в суборенду для будівництва та обслуговування зони технічної інфраструктури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на вул. Виробничій, 34 у м. Луцьку, витяг з Державного земельного кадастру про земельну ділянку від 09.07.2026</w:t>
        <w:br/>
        <w:t xml:space="preserve">№ НВ-9973145332026, план земельної ділянки, що передається в суборенду на вул. Виробничій, 34 у м. Луцьку погоджений орендарем та суборендарем, договір користування технологічною естакадою від 02.09.2026, відповідно до якого ПРИВАТНИМ АКЦІОНЕРНИМ ТОВАРИСТВОМ «СКФ УКРАЇНА» передано в оренду ПРИВАТНОМУ АКЦІОНЕРНОМУ ТОВАРИСТВУ «ВГП» технологічну естакаду на вул. Виробничій, 34 у м. Луцьку, враховуючи договір оренди землі, укладений між Луцькою міською радою та ПРИВАТНИМ АКЦІОНЕРНИМ ТОВАРИСТВОМ «СКФ УКРАЇНА» від 24.02.2015 (право оренди на земельну ділянку зареєстровано у Державному реєстрі речових прав на нерухоме майно від 02.04.2015, номер запису про інше речове право: 9273221), </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 xml:space="preserve">поновлений додатковою угодою № 1 про поновлення договору оренди землі від 30.12.2025 (реєстрація змін до іншого речового права на земельну ділянку в Державному реєстрі речових прав на нерухоме майно від 30.12.2025),  </w:t>
      </w:r>
      <w:r>
        <w:rPr>
          <w:rStyle w:val="Style12"/>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 xml:space="preserve">керуючись статтями 12, 93, 96, 122 Земельного кодексу України, статтею 8 Закону України «Про оренду землі», статтями 26, 33 Закону України «Про місцеве самоврядування в Україні», Законом України «Про адміністративну процедуру», </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 xml:space="preserve">Законом України «Про адміністративні послуги», </w:t>
      </w:r>
      <w:r>
        <w:rPr>
          <w:rStyle w:val="Style12"/>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статтями 4, 6 Закону України «Про державну реєстрацію речових прав на нерухоме майно та їх обтяжень», міська рада</w:t>
      </w:r>
    </w:p>
    <w:p>
      <w:pPr>
        <w:pStyle w:val="Normal"/>
        <w:widowControl w:val="false"/>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6"/>
          <w:szCs w:val="26"/>
          <w:highlight w:val="white"/>
          <w:lang w:val="uk-UA" w:eastAsia="zh-CN" w:bidi="ar-SA"/>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r>
    </w:p>
    <w:p>
      <w:pPr>
        <w:pStyle w:val="Normal"/>
        <w:widowControl w:val="false"/>
        <w:rPr/>
      </w:pPr>
      <w:r>
        <w:rPr>
          <w:rStyle w:val="Style12"/>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ВИРІШИЛА:</w:t>
      </w:r>
    </w:p>
    <w:p>
      <w:pPr>
        <w:pStyle w:val="Normal"/>
        <w:widowControl w:val="false"/>
        <w:jc w:val="both"/>
        <w:rPr>
          <w:rFonts w:ascii="Times New Roman" w:hAnsi="Times New Roman" w:eastAsia="Times New Roman" w:cs="Times New Roman"/>
          <w:b w:val="false"/>
          <w:b w:val="false"/>
          <w:bCs w:val="false"/>
          <w:i w:val="false"/>
          <w:i w:val="false"/>
          <w:iCs w:val="false"/>
          <w:caps w:val="false"/>
          <w:smallCaps w:val="false"/>
          <w:strike w:val="false"/>
          <w:dstrike w:val="false"/>
          <w:color w:val="auto"/>
          <w:spacing w:val="-4"/>
          <w:kern w:val="0"/>
          <w:sz w:val="26"/>
          <w:szCs w:val="26"/>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r>
    </w:p>
    <w:p>
      <w:pPr>
        <w:pStyle w:val="Normal"/>
        <w:widowControl w:val="false"/>
        <w:ind w:firstLine="567"/>
        <w:jc w:val="both"/>
        <w:rPr/>
      </w:pPr>
      <w:r>
        <w:rPr>
          <w:rStyle w:val="Style12"/>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1. Надати згоду ПРИВАТНОМУ АКЦІОНЕРНОМУ ТОВАРИСТВУ «СКФ УКРАЇНА» на передачу орендованої земельної ділянки площею 0,1656 га з кадастровим номером 0710100000:32:110:0010 на вул. Виробничій, 34 у м. Луцьку, в суборенду ПРИВАТНОМУ АКЦІОНЕРНОМУ ТОВАРИСТВУ «ВГП» строком до 02 квітня 2035 року для будівництва та обслуговування зони технічної інфраструктури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згідно з додатком.</w:t>
      </w:r>
    </w:p>
    <w:p>
      <w:pPr>
        <w:pStyle w:val="Normal"/>
        <w:widowControl w:val="false"/>
        <w:ind w:firstLine="567"/>
        <w:jc w:val="both"/>
        <w:rPr/>
      </w:pPr>
      <w:r>
        <w:rPr>
          <w:rStyle w:val="Style12"/>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2. Зобов’язати ПРИВАТНЕ АКЦІОНЕРНЕ ТОВАРИСТВО «СКФ УКРАЇНА» та ПРИВАТНЕ АКЦІОНЕРНЕ ТОВАРИСТВО «ВГП» укласти договір суборенди землі на вказаних в рішенні умовах, оформити інші документи, необхідні для вчинення цієї угоди.</w:t>
      </w:r>
    </w:p>
    <w:p>
      <w:pPr>
        <w:pStyle w:val="Normal"/>
        <w:widowControl w:val="false"/>
        <w:ind w:firstLine="567"/>
        <w:jc w:val="both"/>
        <w:rPr/>
      </w:pPr>
      <w:r>
        <w:rPr>
          <w:rStyle w:val="Style12"/>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 xml:space="preserve">3. Передбачити, що умови договору суборенди землі, укладеного між ПРИВАТНИМ АКЦІОНЕРНИМ ТОВАРИСТВОМ «СКФ УКРАЇНА» та ПРИВАТНИМ АКЦІОНЕРНИМ ТОВАРИСТВОМ «ВГП», повинні обмежуватись та не повинні суперечити умовам договору оренди землі на земельну ділянку площею </w:t>
      </w:r>
      <w:r>
        <w:rPr>
          <w:rStyle w:val="Style12"/>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0</w:t>
      </w:r>
      <w:r>
        <w:rPr>
          <w:rStyle w:val="Style12"/>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w:t>
      </w:r>
      <w:r>
        <w:rPr>
          <w:rStyle w:val="Style12"/>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1656</w:t>
      </w:r>
      <w:r>
        <w:rPr>
          <w:rStyle w:val="Style12"/>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 га з кадастровим номером 0710100000:32:110:00</w:t>
      </w:r>
      <w:r>
        <w:rPr>
          <w:rStyle w:val="Style12"/>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10</w:t>
      </w:r>
      <w:r>
        <w:rPr>
          <w:rStyle w:val="Style12"/>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 xml:space="preserve"> на вул. Виробничій, 34 у м. Луцьку, укладеному між Луцькою міською радою та ПРИВАТНИМ АКЦІОНЕРНИМ ТОВАРИСТВОМ «СКФ УКРАЇНА» від </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24.02.2015 (право оренди на земельну ділянку зареєстровано у Державному реєстрі речових прав на нерухоме майно від 02.04.2015, номер запису про інше речове право: 9273221), поновлен</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ому</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 xml:space="preserve"> додатковою угодою № 1 про поновлення договору оренди землі від 30.12.2025 (реєстрація змін до іншого речового права на земельну ділянку в Державному реєстрі речових прав на нерухоме майно від 30.12.2025)</w:t>
      </w:r>
      <w:r>
        <w:rPr>
          <w:rStyle w:val="Style12"/>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w:t>
      </w:r>
    </w:p>
    <w:p>
      <w:pPr>
        <w:pStyle w:val="Normal"/>
        <w:widowControl w:val="false"/>
        <w:ind w:firstLine="567"/>
        <w:jc w:val="both"/>
        <w:rPr/>
      </w:pPr>
      <w:r>
        <w:rPr>
          <w:rStyle w:val="Style12"/>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4. Зобов’язати ПРИВАТНЕ АКЦІОНЕРНЕ ТОВАРИСТВО «ВГП»:</w:t>
      </w:r>
    </w:p>
    <w:p>
      <w:pPr>
        <w:pStyle w:val="Normal"/>
        <w:widowControl w:val="false"/>
        <w:ind w:firstLine="567"/>
        <w:jc w:val="both"/>
        <w:rPr/>
      </w:pPr>
      <w:r>
        <w:rPr>
          <w:rStyle w:val="Style12"/>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4.1. Зареєструвати право суборенди земельної ділянки в порядку, визначеному чинним законодавством України.</w:t>
      </w:r>
    </w:p>
    <w:p>
      <w:pPr>
        <w:pStyle w:val="Normal"/>
        <w:widowControl w:val="false"/>
        <w:ind w:firstLine="567"/>
        <w:jc w:val="both"/>
        <w:rPr/>
      </w:pPr>
      <w:r>
        <w:rPr>
          <w:rStyle w:val="Style12"/>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4.2. Виконувати обов’язки землекористувача відповідно до вимог статті 96 Земельного кодексу України.</w:t>
      </w:r>
    </w:p>
    <w:p>
      <w:pPr>
        <w:pStyle w:val="Normal"/>
        <w:widowControl w:val="false"/>
        <w:ind w:firstLine="567"/>
        <w:jc w:val="both"/>
        <w:rPr/>
      </w:pPr>
      <w:r>
        <w:rPr>
          <w:rStyle w:val="Style12"/>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4.3.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pPr>
      <w:r>
        <w:rPr>
          <w:rStyle w:val="Style12"/>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5. У разі, якщо ПРИВАТНИМ АКЦІОНЕРНИМ ТОВАРИСТВОМ «СКФ УКРАЇНА» та ПРИВАТНИМ АКЦІОНЕРНИМ ТОВАРИСТВОМ «ВГП» за погодженням Луцької міської ради, яка діє від імені Луцької міської територіальної громади, не підписано договір суборенди землі впродовж шести календарних місяців з моменту прийняття рішення, воно буде відкликане.</w:t>
      </w:r>
    </w:p>
    <w:p>
      <w:pPr>
        <w:pStyle w:val="Normal"/>
        <w:widowControl w:val="false"/>
        <w:suppressAutoHyphens w:val="true"/>
        <w:bidi w:val="0"/>
        <w:ind w:left="0" w:right="0" w:firstLine="567"/>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6.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strike w:val="false"/>
          <w:dstrike w:val="false"/>
          <w:color w:val="auto"/>
          <w:spacing w:val="-4"/>
          <w:kern w:val="0"/>
          <w:sz w:val="26"/>
          <w:szCs w:val="26"/>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strike w:val="false"/>
          <w:dstrike w:val="false"/>
          <w:color w:val="auto"/>
          <w:spacing w:val="-4"/>
          <w:kern w:val="0"/>
          <w:sz w:val="26"/>
          <w:szCs w:val="26"/>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r>
    </w:p>
    <w:p>
      <w:pPr>
        <w:pStyle w:val="Normal"/>
        <w:widowControl w:val="false"/>
        <w:bidi w:val="0"/>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Секретар міської ради                                                                      Андрій РАЗУМОВСЬКИЙ</w:t>
      </w:r>
    </w:p>
    <w:p>
      <w:pPr>
        <w:pStyle w:val="Normal"/>
        <w:rPr>
          <w:rFonts w:eastAsia="Times New Roman" w:cs="Times New Roman"/>
          <w:b w:val="false"/>
          <w:b w:val="false"/>
          <w:bCs w:val="false"/>
          <w:i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r>
    </w:p>
    <w:p>
      <w:pPr>
        <w:pStyle w:val="Normal"/>
        <w:rPr>
          <w:rFonts w:eastAsia="Times New Roman" w:cs="Times New Roman"/>
          <w:b w:val="false"/>
          <w:b w:val="false"/>
          <w:bCs/>
          <w:i w:val="false"/>
          <w:i w:val="false"/>
          <w:iCs w:val="false"/>
          <w:caps w:val="false"/>
          <w:smallCaps w:val="false"/>
          <w:strike w:val="false"/>
          <w:dstrike w:val="false"/>
          <w:color w:val="000000"/>
          <w:spacing w:val="-4"/>
          <w:kern w:val="0"/>
          <w:sz w:val="28"/>
          <w:szCs w:val="28"/>
          <w:highlight w:val="white"/>
          <w:u w:val="none"/>
          <w:shd w:fill="FFFFFF" w:val="clear"/>
          <w:lang w:val="uk-UA" w:eastAsia="ru-RU" w:bidi="ar-SA"/>
        </w:rPr>
      </w:pPr>
      <w:r>
        <w:rPr>
          <w:rFonts w:eastAsia="Times New Roman" w:cs="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ru-RU" w:bidi="ar-SA"/>
        </w:rPr>
      </w:r>
    </w:p>
    <w:p>
      <w:pPr>
        <w:pStyle w:val="Normal"/>
        <w:widowControl w:val="false"/>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4"/>
          <w:szCs w:val="24"/>
          <w:highlight w:val="white"/>
          <w:u w:val="none"/>
          <w:shd w:fill="FFFFFF" w:val="clear"/>
          <w:em w:val="none"/>
          <w:lang w:val="ru-RU" w:eastAsia="zh-CN" w:bidi="ar-SA"/>
        </w:rPr>
        <w:t>Гула 777 873</w:t>
      </w:r>
    </w:p>
    <w:sectPr>
      <w:type w:val="nextPage"/>
      <w:pgSz w:w="11906" w:h="16838"/>
      <w:pgMar w:left="1701" w:right="567" w:gutter="0" w:header="0" w:top="567" w:footer="0" w:bottom="1816"/>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Courier New">
    <w:charset w:val="cc"/>
    <w:family w:val="roman"/>
    <w:pitch w:val="variable"/>
  </w:font>
  <w:font w:name="Wingdings">
    <w:charset w:val="cc"/>
    <w:family w:val="roman"/>
    <w:pitch w:val="variable"/>
  </w:font>
  <w:font w:name="Symbo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embedSystemFonts/>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ab7025"/>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ab7025"/>
    <w:pPr>
      <w:keepNext w:val="true"/>
      <w:numPr>
        <w:ilvl w:val="0"/>
        <w:numId w:val="1"/>
      </w:numPr>
      <w:jc w:val="center"/>
      <w:outlineLvl w:val="0"/>
    </w:pPr>
    <w:rPr>
      <w:b/>
      <w:bCs/>
      <w:sz w:val="32"/>
      <w:lang w:val="uk-UA"/>
    </w:rPr>
  </w:style>
  <w:style w:type="paragraph" w:styleId="2">
    <w:name w:val="Heading 2"/>
    <w:basedOn w:val="Normal"/>
    <w:next w:val="Normal"/>
    <w:link w:val="Heading2Char"/>
    <w:uiPriority w:val="99"/>
    <w:qFormat/>
    <w:rsid w:val="00ab7025"/>
    <w:pPr>
      <w:keepNext w:val="true"/>
      <w:numPr>
        <w:ilvl w:val="1"/>
        <w:numId w:val="1"/>
      </w:numPr>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8d0a14"/>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8d0a14"/>
    <w:rPr>
      <w:rFonts w:ascii="Cambria" w:hAnsi="Cambria" w:cs="Times New Roman"/>
      <w:b/>
      <w:bCs/>
      <w:i/>
      <w:iCs/>
      <w:sz w:val="28"/>
      <w:szCs w:val="28"/>
      <w:lang w:val="ru-RU" w:eastAsia="zh-CN"/>
    </w:rPr>
  </w:style>
  <w:style w:type="character" w:styleId="WW8Num1zfalse" w:customStyle="1">
    <w:name w:val="WW8Num1zfalse"/>
    <w:uiPriority w:val="99"/>
    <w:qFormat/>
    <w:rsid w:val="00ab7025"/>
    <w:rPr/>
  </w:style>
  <w:style w:type="character" w:styleId="WW8Num1ztrue" w:customStyle="1">
    <w:name w:val="WW8Num1ztrue"/>
    <w:uiPriority w:val="99"/>
    <w:qFormat/>
    <w:rsid w:val="00ab7025"/>
    <w:rPr/>
  </w:style>
  <w:style w:type="character" w:styleId="WW8Num1ztrue7" w:customStyle="1">
    <w:name w:val="WW8Num1ztrue7"/>
    <w:uiPriority w:val="99"/>
    <w:qFormat/>
    <w:rsid w:val="00ab7025"/>
    <w:rPr/>
  </w:style>
  <w:style w:type="character" w:styleId="WW8Num1ztrue6" w:customStyle="1">
    <w:name w:val="WW8Num1ztrue6"/>
    <w:uiPriority w:val="99"/>
    <w:qFormat/>
    <w:rsid w:val="00ab7025"/>
    <w:rPr/>
  </w:style>
  <w:style w:type="character" w:styleId="WW8Num1ztrue5" w:customStyle="1">
    <w:name w:val="WW8Num1ztrue5"/>
    <w:uiPriority w:val="99"/>
    <w:qFormat/>
    <w:rsid w:val="00ab7025"/>
    <w:rPr/>
  </w:style>
  <w:style w:type="character" w:styleId="WW8Num1ztrue4" w:customStyle="1">
    <w:name w:val="WW8Num1ztrue4"/>
    <w:uiPriority w:val="99"/>
    <w:qFormat/>
    <w:rsid w:val="00ab7025"/>
    <w:rPr/>
  </w:style>
  <w:style w:type="character" w:styleId="WW8Num1ztrue3" w:customStyle="1">
    <w:name w:val="WW8Num1ztrue3"/>
    <w:uiPriority w:val="99"/>
    <w:qFormat/>
    <w:rsid w:val="00ab7025"/>
    <w:rPr/>
  </w:style>
  <w:style w:type="character" w:styleId="WW8Num1ztrue2" w:customStyle="1">
    <w:name w:val="WW8Num1ztrue2"/>
    <w:uiPriority w:val="99"/>
    <w:qFormat/>
    <w:rsid w:val="00ab7025"/>
    <w:rPr/>
  </w:style>
  <w:style w:type="character" w:styleId="WW8Num1ztrue1" w:customStyle="1">
    <w:name w:val="WW8Num1ztrue1"/>
    <w:uiPriority w:val="99"/>
    <w:qFormat/>
    <w:rsid w:val="00ab7025"/>
    <w:rPr/>
  </w:style>
  <w:style w:type="character" w:styleId="WW8Num1z0" w:customStyle="1">
    <w:name w:val="WW8Num1z0"/>
    <w:uiPriority w:val="99"/>
    <w:qFormat/>
    <w:rsid w:val="00ab7025"/>
    <w:rPr>
      <w:rFonts w:ascii="Times New Roman" w:hAnsi="Times New Roman" w:eastAsia="MS Mincho"/>
    </w:rPr>
  </w:style>
  <w:style w:type="character" w:styleId="WW8Num1z1" w:customStyle="1">
    <w:name w:val="WW8Num1z1"/>
    <w:uiPriority w:val="99"/>
    <w:qFormat/>
    <w:rsid w:val="00ab7025"/>
    <w:rPr>
      <w:rFonts w:ascii="Courier New" w:hAnsi="Courier New"/>
    </w:rPr>
  </w:style>
  <w:style w:type="character" w:styleId="WW8Num1z2" w:customStyle="1">
    <w:name w:val="WW8Num1z2"/>
    <w:uiPriority w:val="99"/>
    <w:qFormat/>
    <w:rsid w:val="00ab7025"/>
    <w:rPr>
      <w:rFonts w:ascii="Wingdings" w:hAnsi="Wingdings"/>
    </w:rPr>
  </w:style>
  <w:style w:type="character" w:styleId="WW8Num1z3" w:customStyle="1">
    <w:name w:val="WW8Num1z3"/>
    <w:uiPriority w:val="99"/>
    <w:qFormat/>
    <w:rsid w:val="00ab7025"/>
    <w:rPr>
      <w:rFonts w:ascii="Symbol" w:hAnsi="Symbol"/>
    </w:rPr>
  </w:style>
  <w:style w:type="character" w:styleId="WW8Num2z0" w:customStyle="1">
    <w:name w:val="WW8Num2z0"/>
    <w:uiPriority w:val="99"/>
    <w:qFormat/>
    <w:rsid w:val="00ab7025"/>
    <w:rPr>
      <w:rFonts w:ascii="Symbol" w:hAnsi="Symbol"/>
    </w:rPr>
  </w:style>
  <w:style w:type="character" w:styleId="WW8Num2z1" w:customStyle="1">
    <w:name w:val="WW8Num2z1"/>
    <w:uiPriority w:val="99"/>
    <w:qFormat/>
    <w:rsid w:val="00ab7025"/>
    <w:rPr>
      <w:rFonts w:ascii="Courier New" w:hAnsi="Courier New"/>
    </w:rPr>
  </w:style>
  <w:style w:type="character" w:styleId="WW8Num2z2" w:customStyle="1">
    <w:name w:val="WW8Num2z2"/>
    <w:uiPriority w:val="99"/>
    <w:qFormat/>
    <w:rsid w:val="00ab7025"/>
    <w:rPr>
      <w:rFonts w:ascii="Wingdings" w:hAnsi="Wingdings"/>
    </w:rPr>
  </w:style>
  <w:style w:type="character" w:styleId="WW8Num2z3" w:customStyle="1">
    <w:name w:val="WW8Num2z3"/>
    <w:uiPriority w:val="99"/>
    <w:qFormat/>
    <w:rsid w:val="00ab7025"/>
    <w:rPr>
      <w:rFonts w:ascii="Symbol" w:hAnsi="Symbol"/>
    </w:rPr>
  </w:style>
  <w:style w:type="character" w:styleId="WW8Num3zfalse" w:customStyle="1">
    <w:name w:val="WW8Num3zfalse"/>
    <w:uiPriority w:val="99"/>
    <w:qFormat/>
    <w:rsid w:val="00ab7025"/>
    <w:rPr/>
  </w:style>
  <w:style w:type="character" w:styleId="WW8Num3ztrue" w:customStyle="1">
    <w:name w:val="WW8Num3ztrue"/>
    <w:uiPriority w:val="99"/>
    <w:qFormat/>
    <w:rsid w:val="00ab7025"/>
    <w:rPr/>
  </w:style>
  <w:style w:type="character" w:styleId="WWWW8Num3ztrue" w:customStyle="1">
    <w:name w:val="WW-WW8Num3ztrue"/>
    <w:uiPriority w:val="99"/>
    <w:qFormat/>
    <w:rsid w:val="00ab7025"/>
    <w:rPr/>
  </w:style>
  <w:style w:type="character" w:styleId="WWWW8Num3ztrue1" w:customStyle="1">
    <w:name w:val="WW-WW8Num3ztrue1"/>
    <w:uiPriority w:val="99"/>
    <w:qFormat/>
    <w:rsid w:val="00ab7025"/>
    <w:rPr/>
  </w:style>
  <w:style w:type="character" w:styleId="WWWW8Num3ztrue2" w:customStyle="1">
    <w:name w:val="WW-WW8Num3ztrue2"/>
    <w:uiPriority w:val="99"/>
    <w:qFormat/>
    <w:rsid w:val="00ab7025"/>
    <w:rPr/>
  </w:style>
  <w:style w:type="character" w:styleId="WWWW8Num3ztrue3" w:customStyle="1">
    <w:name w:val="WW-WW8Num3ztrue3"/>
    <w:uiPriority w:val="99"/>
    <w:qFormat/>
    <w:rsid w:val="00ab7025"/>
    <w:rPr/>
  </w:style>
  <w:style w:type="character" w:styleId="WWWW8Num3ztrue4" w:customStyle="1">
    <w:name w:val="WW-WW8Num3ztrue4"/>
    <w:uiPriority w:val="99"/>
    <w:qFormat/>
    <w:rsid w:val="00ab7025"/>
    <w:rPr/>
  </w:style>
  <w:style w:type="character" w:styleId="WWWW8Num3ztrue5" w:customStyle="1">
    <w:name w:val="WW-WW8Num3ztrue5"/>
    <w:uiPriority w:val="99"/>
    <w:qFormat/>
    <w:rsid w:val="00ab7025"/>
    <w:rPr/>
  </w:style>
  <w:style w:type="character" w:styleId="WWWW8Num3ztrue6" w:customStyle="1">
    <w:name w:val="WW-WW8Num3ztrue6"/>
    <w:uiPriority w:val="99"/>
    <w:qFormat/>
    <w:rsid w:val="00ab7025"/>
    <w:rPr/>
  </w:style>
  <w:style w:type="character" w:styleId="11" w:customStyle="1">
    <w:name w:val="Основной шрифт абзаца1"/>
    <w:uiPriority w:val="99"/>
    <w:qFormat/>
    <w:rsid w:val="00ab7025"/>
    <w:rPr/>
  </w:style>
  <w:style w:type="character" w:styleId="BodyTextChar" w:customStyle="1">
    <w:name w:val="Body Text Char"/>
    <w:basedOn w:val="DefaultParagraphFont"/>
    <w:uiPriority w:val="99"/>
    <w:semiHidden/>
    <w:qFormat/>
    <w:locked/>
    <w:rsid w:val="008d0a14"/>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8d0a14"/>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sid w:val="008d0a14"/>
    <w:rPr>
      <w:rFonts w:cs="Times New Roman"/>
      <w:sz w:val="2"/>
      <w:lang w:val="ru-RU" w:eastAsia="zh-CN"/>
    </w:rPr>
  </w:style>
  <w:style w:type="character" w:styleId="Style12">
    <w:name w:val="Emphasis"/>
    <w:qFormat/>
    <w:rPr>
      <w:i/>
      <w:iCs/>
    </w:rPr>
  </w:style>
  <w:style w:type="paragraph" w:styleId="Style13" w:customStyle="1">
    <w:name w:val="Заголовок"/>
    <w:basedOn w:val="Normal"/>
    <w:next w:val="Style14"/>
    <w:uiPriority w:val="99"/>
    <w:qFormat/>
    <w:rsid w:val="00ab7025"/>
    <w:pPr>
      <w:keepNext w:val="true"/>
      <w:spacing w:before="240" w:after="120"/>
    </w:pPr>
    <w:rPr>
      <w:rFonts w:eastAsia="Microsoft YaHei" w:cs="Mangal"/>
      <w:szCs w:val="28"/>
    </w:rPr>
  </w:style>
  <w:style w:type="paragraph" w:styleId="Style14">
    <w:name w:val="Body Text"/>
    <w:basedOn w:val="Normal"/>
    <w:link w:val="BodyTextChar"/>
    <w:uiPriority w:val="99"/>
    <w:rsid w:val="00ab7025"/>
    <w:pPr>
      <w:spacing w:before="0" w:after="120"/>
    </w:pPr>
    <w:rPr/>
  </w:style>
  <w:style w:type="paragraph" w:styleId="Style15">
    <w:name w:val="List"/>
    <w:basedOn w:val="Style14"/>
    <w:uiPriority w:val="99"/>
    <w:rsid w:val="00ab7025"/>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Caption">
    <w:name w:val="caption"/>
    <w:basedOn w:val="Normal"/>
    <w:uiPriority w:val="99"/>
    <w:qFormat/>
    <w:rsid w:val="00ab7025"/>
    <w:pPr>
      <w:suppressLineNumbers/>
      <w:spacing w:before="120" w:after="120"/>
    </w:pPr>
    <w:rPr>
      <w:rFonts w:cs="Mangal"/>
      <w:i/>
      <w:iCs/>
    </w:rPr>
  </w:style>
  <w:style w:type="paragraph" w:styleId="12" w:customStyle="1">
    <w:name w:val="Указатель1"/>
    <w:basedOn w:val="Normal"/>
    <w:uiPriority w:val="99"/>
    <w:qFormat/>
    <w:rsid w:val="00ab7025"/>
    <w:pPr>
      <w:suppressLineNumbers/>
    </w:pPr>
    <w:rPr>
      <w:rFonts w:cs="Mangal"/>
    </w:rPr>
  </w:style>
  <w:style w:type="paragraph" w:styleId="Style18">
    <w:name w:val="Body Text Indent"/>
    <w:basedOn w:val="Normal"/>
    <w:link w:val="BodyTextIndentChar"/>
    <w:uiPriority w:val="99"/>
    <w:rsid w:val="00ab7025"/>
    <w:pPr>
      <w:ind w:firstLine="545"/>
      <w:jc w:val="both"/>
    </w:pPr>
    <w:rPr>
      <w:lang w:val="uk-UA"/>
    </w:rPr>
  </w:style>
  <w:style w:type="paragraph" w:styleId="13" w:customStyle="1">
    <w:name w:val="Текст1"/>
    <w:basedOn w:val="Normal"/>
    <w:uiPriority w:val="99"/>
    <w:qFormat/>
    <w:rsid w:val="00ab7025"/>
    <w:pPr/>
    <w:rPr>
      <w:rFonts w:ascii="Courier New" w:hAnsi="Courier New" w:cs="Courier New"/>
      <w:sz w:val="20"/>
      <w:szCs w:val="20"/>
    </w:rPr>
  </w:style>
  <w:style w:type="paragraph" w:styleId="BalloonText">
    <w:name w:val="Balloon Text"/>
    <w:basedOn w:val="Normal"/>
    <w:link w:val="BalloonTextChar"/>
    <w:uiPriority w:val="99"/>
    <w:qFormat/>
    <w:rsid w:val="00ab7025"/>
    <w:pPr/>
    <w:rPr>
      <w:rFonts w:ascii="Tahoma" w:hAnsi="Tahoma" w:cs="Tahoma"/>
      <w:sz w:val="16"/>
      <w:szCs w:val="16"/>
    </w:rPr>
  </w:style>
  <w:style w:type="numbering" w:styleId="Style19" w:default="1">
    <w:name w:val="Без маркерів"/>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Normal_Wordconv</Template>
  <TotalTime>527</TotalTime>
  <Application>LibreOffice/7.4.0.3$Windows_X86_64 LibreOffice_project/f85e47c08ddd19c015c0114a68350214f7066f5a</Application>
  <AppVersion>15.0000</AppVersion>
  <Pages>2</Pages>
  <Words>648</Words>
  <Characters>4252</Characters>
  <CharactersWithSpaces>5054</CharactersWithSpaces>
  <Paragraphs>23</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2022-08-01T13:46:00Z</dcterms:created>
  <dc:creator>*</dc:creator>
  <dc:description/>
  <dc:language>uk-UA</dc:language>
  <cp:lastModifiedBy/>
  <dcterms:modified xsi:type="dcterms:W3CDTF">2026-09-10T12:12:36Z</dcterms:modified>
  <cp:revision>157</cp:revision>
  <dc:subject/>
  <dc:title> </dc:title>
</cp:coreProperties>
</file>

<file path=docProps/custom.xml><?xml version="1.0" encoding="utf-8"?>
<Properties xmlns="http://schemas.openxmlformats.org/officeDocument/2006/custom-properties" xmlns:vt="http://schemas.openxmlformats.org/officeDocument/2006/docPropsVTypes"/>
</file>