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5pt;height:59.25pt;mso-wrap-distance-right:0pt" filled="f" o:ole="">
            <v:imagedata r:id="rId3" o:title=""/>
          </v:shape>
          <o:OLEObject Type="Embed" ProgID="PBrush" ShapeID="ole_rId2" DrawAspect="Content" ObjectID="_964950438" r:id="rId2"/>
        </w:object>
      </w:r>
    </w:p>
    <w:p>
      <w:pPr>
        <w:pStyle w:val="Normal"/>
        <w:jc w:val="center"/>
        <w:rPr>
          <w:sz w:val="16"/>
          <w:szCs w:val="16"/>
        </w:rPr>
      </w:pPr>
      <w:r>
        <w:rPr>
          <w:sz w:val="16"/>
          <w:szCs w:val="16"/>
        </w:rPr>
      </w:r>
    </w:p>
    <w:p>
      <w:pPr>
        <w:pStyle w:val="Heading1"/>
        <w:jc w:val="center"/>
        <w:rPr>
          <w:rFonts w:ascii="Times New Roman" w:hAnsi="Times New Roman"/>
        </w:rPr>
      </w:pPr>
      <w:r>
        <w:rPr>
          <w:rFonts w:ascii="Times New Roman" w:hAnsi="Times New Roman"/>
          <w:sz w:val="28"/>
          <w:szCs w:val="28"/>
        </w:rPr>
        <w:t>ЛУЦЬКА  МІСЬКА  РАДА</w:t>
      </w:r>
    </w:p>
    <w:p>
      <w:pPr>
        <w:pStyle w:val="Normal"/>
        <w:rPr>
          <w:sz w:val="20"/>
          <w:szCs w:val="20"/>
        </w:rPr>
      </w:pPr>
      <w:r>
        <w:rPr>
          <w:sz w:val="20"/>
          <w:szCs w:val="20"/>
        </w:rPr>
      </w:r>
    </w:p>
    <w:p>
      <w:pPr>
        <w:pStyle w:val="Heading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tabs>
          <w:tab w:val="clear" w:pos="708"/>
          <w:tab w:val="left" w:pos="4305" w:leader="none"/>
          <w:tab w:val="left" w:pos="7590" w:leader="none"/>
        </w:tabs>
        <w:jc w:val="center"/>
        <w:rPr/>
      </w:pPr>
      <w:r>
        <w:rPr/>
        <w:t>_______________</w:t>
        <w:tab/>
        <w:t>м. Луцьк</w:t>
        <w:tab/>
        <w:t>№____________</w:t>
      </w:r>
    </w:p>
    <w:p>
      <w:pPr>
        <w:pStyle w:val="Normal"/>
        <w:tabs>
          <w:tab w:val="clear" w:pos="708"/>
          <w:tab w:val="left" w:pos="4305" w:leader="none"/>
          <w:tab w:val="left" w:pos="7590" w:leader="none"/>
        </w:tabs>
        <w:jc w:val="center"/>
        <w:rPr>
          <w:sz w:val="20"/>
          <w:szCs w:val="20"/>
        </w:rPr>
      </w:pPr>
      <w:r>
        <w:rPr>
          <w:sz w:val="20"/>
          <w:szCs w:val="20"/>
        </w:rPr>
      </w:r>
    </w:p>
    <w:p>
      <w:pPr>
        <w:pStyle w:val="Normal"/>
        <w:widowControl w:val="false"/>
        <w:suppressAutoHyphens w:val="true"/>
        <w:bidi w:val="0"/>
        <w:spacing w:before="0" w:after="0"/>
        <w:ind w:hanging="0" w:left="0" w:right="4592"/>
        <w:jc w:val="both"/>
        <w:rPr>
          <w:rFonts w:ascii="Times New Roman" w:hAnsi="Times New Roman"/>
          <w:lang w:val="uk-UA" w:eastAsia="zh-CN"/>
        </w:rPr>
      </w:pPr>
      <w:r>
        <w:rPr>
          <w:rFonts w:cs="Times New Roman"/>
          <w:sz w:val="28"/>
          <w:szCs w:val="28"/>
          <w:lang w:val="uk-UA" w:eastAsia="zh-CN"/>
        </w:rPr>
        <w:t xml:space="preserve">Про надання громадянам Бляшук Т.В., Горбатюк А.П., Курику В.Л. дозволу на проведення експертної грошової оцінки земельної ділянки комунальної власності </w:t>
      </w:r>
      <w:r>
        <w:rPr>
          <w:rFonts w:eastAsia="Times New Roman" w:cs="Times New Roman"/>
          <w:sz w:val="28"/>
          <w:szCs w:val="28"/>
          <w:lang w:val="uk-UA" w:eastAsia="zh-CN"/>
        </w:rPr>
        <w:t xml:space="preserve">на вул. Конякіна, 2-Б у м. Луцьку </w:t>
      </w:r>
    </w:p>
    <w:p>
      <w:pPr>
        <w:pStyle w:val="Normal"/>
        <w:widowControl w:val="false"/>
        <w:suppressAutoHyphens w:val="true"/>
        <w:bidi w:val="0"/>
        <w:ind w:hanging="0" w:left="0" w:right="0"/>
        <w:jc w:val="both"/>
        <w:rPr>
          <w:rFonts w:ascii="Times New Roman" w:hAnsi="Times New Roman" w:cs="Times New Roman"/>
          <w:sz w:val="28"/>
          <w:szCs w:val="28"/>
          <w:lang w:val="uk-UA" w:eastAsia="zh-CN"/>
        </w:rPr>
      </w:pPr>
      <w:r>
        <w:rPr>
          <w:rFonts w:cs="Times New Roman"/>
          <w:sz w:val="28"/>
          <w:szCs w:val="28"/>
          <w:lang w:val="uk-UA" w:eastAsia="zh-CN"/>
        </w:rPr>
      </w:r>
    </w:p>
    <w:p>
      <w:pPr>
        <w:pStyle w:val="Normal"/>
        <w:widowControl w:val="false"/>
        <w:suppressAutoHyphens w:val="true"/>
        <w:bidi w:val="0"/>
        <w:ind w:hanging="0" w:left="0" w:right="0"/>
        <w:jc w:val="both"/>
        <w:rPr>
          <w:rFonts w:ascii="Times New Roman" w:hAnsi="Times New Roman" w:cs="Times New Roman"/>
          <w:sz w:val="28"/>
          <w:szCs w:val="28"/>
          <w:lang w:val="uk-UA" w:eastAsia="zh-CN"/>
        </w:rPr>
      </w:pPr>
      <w:r>
        <w:rPr>
          <w:rFonts w:cs="Times New Roman"/>
          <w:sz w:val="28"/>
          <w:szCs w:val="28"/>
          <w:lang w:val="uk-UA" w:eastAsia="zh-CN"/>
        </w:rPr>
      </w:r>
    </w:p>
    <w:p>
      <w:pPr>
        <w:pStyle w:val="Normal"/>
        <w:widowControl/>
        <w:suppressAutoHyphens w:val="true"/>
        <w:bidi w:val="0"/>
        <w:ind w:firstLine="567" w:left="0" w:right="0"/>
        <w:jc w:val="both"/>
        <w:rPr>
          <w:rFonts w:ascii="Times New Roman" w:hAnsi="Times New Roman"/>
          <w:lang w:val="uk-UA" w:eastAsia="zh-CN"/>
        </w:rPr>
      </w:pPr>
      <w:r>
        <w:rPr>
          <w:sz w:val="28"/>
          <w:szCs w:val="28"/>
          <w:lang w:val="uk-UA" w:eastAsia="zh-CN"/>
        </w:rPr>
        <w:t xml:space="preserve">Розглянувши заяву </w:t>
      </w:r>
      <w:r>
        <w:rPr>
          <w:rFonts w:cs="Times New Roman"/>
          <w:sz w:val="28"/>
          <w:szCs w:val="28"/>
          <w:lang w:val="uk-UA" w:eastAsia="zh-CN"/>
        </w:rPr>
        <w:t xml:space="preserve">громадян Бляшук Тетяни Володимирівни, Горбатюк Аліни Петрівни, Курика Валерія Леонідовича </w:t>
      </w:r>
      <w:r>
        <w:rPr>
          <w:sz w:val="28"/>
          <w:szCs w:val="28"/>
          <w:lang w:val="uk-UA" w:eastAsia="zh-CN"/>
        </w:rPr>
        <w:t xml:space="preserve">про надання дозволу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sz w:val="28"/>
          <w:szCs w:val="28"/>
          <w:lang w:val="uk-UA" w:eastAsia="zh-CN"/>
        </w:rPr>
        <w:t xml:space="preserve">вул. Конякіна, 2-Б </w:t>
      </w:r>
      <w:r>
        <w:rPr>
          <w:sz w:val="28"/>
          <w:szCs w:val="28"/>
          <w:lang w:val="uk-UA" w:eastAsia="zh-CN"/>
        </w:rPr>
        <w:t xml:space="preserve">у м. Луцьку, площею 0,1252 га, кадастровим номером 0710100000:33:022:0026, </w:t>
      </w:r>
      <w:r>
        <w:rPr>
          <w:rFonts w:eastAsia="Times New Roman" w:cs="Times New Roman"/>
          <w:sz w:val="28"/>
          <w:szCs w:val="28"/>
          <w:lang w:val="uk-UA" w:eastAsia="zh-CN"/>
        </w:rPr>
        <w:t>видом</w:t>
      </w:r>
      <w:r>
        <w:rPr>
          <w:sz w:val="28"/>
          <w:szCs w:val="28"/>
          <w:lang w:val="uk-UA" w:eastAsia="zh-CN"/>
        </w:rPr>
        <w:t xml:space="preserve"> цільового призначення земельної ділянки: </w:t>
      </w:r>
      <w:r>
        <w:rPr>
          <w:rFonts w:eastAsia="Times New Roman" w:cs="Times New Roman"/>
          <w:b w:val="false"/>
          <w:bCs w:val="false"/>
          <w:spacing w:val="-4"/>
          <w:sz w:val="28"/>
          <w:szCs w:val="28"/>
          <w:lang w:val="uk-UA" w:eastAsia="zh-CN" w:bidi="ar-SA"/>
        </w:rPr>
        <w:t>12.04 − для розміщення та експлуатації будівель і споруд автомобільного транспорту та дорожнього господарства</w:t>
      </w:r>
      <w:r>
        <w:rPr>
          <w:rFonts w:eastAsia="Times New Roman" w:cs="Times New Roman"/>
          <w:b w:val="false"/>
          <w:bCs w:val="false"/>
          <w:spacing w:val="-4"/>
          <w:sz w:val="28"/>
          <w:szCs w:val="28"/>
          <w:lang w:val="uk-UA" w:eastAsia="zh-CN"/>
        </w:rPr>
        <w:t>, на</w:t>
      </w:r>
      <w:r>
        <w:rPr>
          <w:rFonts w:eastAsia="Times New Roman" w:cs="Times New Roman"/>
          <w:sz w:val="28"/>
          <w:szCs w:val="28"/>
          <w:lang w:val="uk-UA" w:eastAsia="zh-CN" w:bidi="hi-IN"/>
        </w:rPr>
        <w:t xml:space="preserve"> якій розташовані об’єкти нерухомого майна, а саме: нежитлове приміщення, гаражі по ремонту та обслуговуванню автомобілів та офісні приміщення /А-3/, загальною площею 830,7 кв.м, зареєстровані в Державному реєстрі речових прав на нерухоме майно з реєстраційним номером: 1651498007101, які належать на праві спільної часткової власності громадянам Бляшук Тетяні Володимирівні  (частка - 1/3), Горбатюк Аліні Петрівні (частка - 1/3), Курику Валерію Леонідовичу (частка - 1/3), та додані до неї документи, </w:t>
      </w:r>
      <w:r>
        <w:rPr>
          <w:sz w:val="28"/>
          <w:szCs w:val="28"/>
          <w:lang w:val="uk-UA" w:eastAsia="zh-CN"/>
        </w:rPr>
        <w:t xml:space="preserve">з метою підготовки земельної ділянки до продажу у власність, шляхом викупу, керуючись статтями 12, 81, </w:t>
      </w:r>
      <w:r>
        <w:rPr>
          <w:sz w:val="28"/>
          <w:szCs w:val="28"/>
          <w:lang w:val="en-US" w:eastAsia="zh-CN"/>
        </w:rPr>
        <w:t xml:space="preserve">86, 87, </w:t>
      </w:r>
      <w:r>
        <w:rPr>
          <w:sz w:val="28"/>
          <w:szCs w:val="28"/>
          <w:lang w:val="uk-UA" w:eastAsia="zh-CN"/>
        </w:rPr>
        <w:t>128 Земельного кодексу України, статтею 26 Закону України «Про місцеве самоврядування в Україні»,  статтями  5, 13, 20 Закону України «Про оцінку земель», витягом з Державного   земельного  кадастру  про  земельну  ділянку  від  11.12.2025 № НВ-4801373522025, витягом із технічної документації з нормативної грошової оцінки земельних ділянок від 05.03.2026 № НВ-0700162522026, інформаційною довідкою з Державного реєстру речових прав на нерухоме майно від 0</w:t>
      </w:r>
      <w:r>
        <w:rPr>
          <w:rFonts w:eastAsia="Times New Roman" w:cs="Times New Roman"/>
          <w:color w:val="auto"/>
          <w:kern w:val="0"/>
          <w:sz w:val="28"/>
          <w:szCs w:val="28"/>
          <w:lang w:val="uk-UA" w:eastAsia="zh-CN" w:bidi="ar-SA"/>
        </w:rPr>
        <w:t>4</w:t>
      </w:r>
      <w:r>
        <w:rPr>
          <w:sz w:val="28"/>
          <w:szCs w:val="28"/>
          <w:lang w:val="uk-UA" w:eastAsia="zh-CN"/>
        </w:rPr>
        <w:t>.0</w:t>
      </w:r>
      <w:r>
        <w:rPr>
          <w:rFonts w:eastAsia="Times New Roman" w:cs="Times New Roman"/>
          <w:color w:val="auto"/>
          <w:kern w:val="0"/>
          <w:sz w:val="28"/>
          <w:szCs w:val="28"/>
          <w:lang w:val="uk-UA" w:eastAsia="zh-CN" w:bidi="ar-SA"/>
        </w:rPr>
        <w:t>9</w:t>
      </w:r>
      <w:r>
        <w:rPr>
          <w:sz w:val="28"/>
          <w:szCs w:val="28"/>
          <w:lang w:val="uk-UA" w:eastAsia="zh-CN"/>
        </w:rPr>
        <w:t>.2026 № 492853995,  міська рада</w:t>
      </w:r>
    </w:p>
    <w:p>
      <w:pPr>
        <w:pStyle w:val="Normal"/>
        <w:widowControl w:val="false"/>
        <w:suppressAutoHyphens w:val="true"/>
        <w:bidi w:val="0"/>
        <w:ind w:hanging="0" w:left="0" w:right="0"/>
        <w:jc w:val="both"/>
        <w:rPr>
          <w:rFonts w:ascii="Times New Roman" w:hAnsi="Times New Roman" w:cs="Times New Roman"/>
          <w:sz w:val="28"/>
          <w:szCs w:val="28"/>
          <w:lang w:val="uk-UA" w:eastAsia="zh-CN"/>
        </w:rPr>
      </w:pPr>
      <w:r>
        <w:rPr>
          <w:rFonts w:cs="Times New Roman"/>
          <w:sz w:val="28"/>
          <w:szCs w:val="28"/>
          <w:lang w:val="uk-UA" w:eastAsia="zh-CN"/>
        </w:rPr>
      </w:r>
    </w:p>
    <w:p>
      <w:pPr>
        <w:pStyle w:val="Normal"/>
        <w:widowControl w:val="false"/>
        <w:suppressAutoHyphens w:val="true"/>
        <w:bidi w:val="0"/>
        <w:ind w:hanging="0" w:left="0" w:right="0"/>
        <w:jc w:val="both"/>
        <w:rPr>
          <w:rFonts w:ascii="Times New Roman" w:hAnsi="Times New Roman" w:cs="Times New Roman"/>
          <w:sz w:val="28"/>
          <w:szCs w:val="28"/>
          <w:lang w:val="uk-UA" w:eastAsia="zh-CN"/>
        </w:rPr>
      </w:pPr>
      <w:r>
        <w:rPr>
          <w:rFonts w:cs="Times New Roman"/>
          <w:sz w:val="28"/>
          <w:szCs w:val="28"/>
          <w:lang w:val="uk-UA" w:eastAsia="zh-CN"/>
        </w:rPr>
      </w:r>
    </w:p>
    <w:p>
      <w:pPr>
        <w:pStyle w:val="Normal"/>
        <w:widowControl w:val="false"/>
        <w:suppressAutoHyphens w:val="true"/>
        <w:bidi w:val="0"/>
        <w:ind w:hanging="0" w:left="0" w:right="0"/>
        <w:jc w:val="both"/>
        <w:rPr>
          <w:rFonts w:ascii="Times New Roman" w:hAnsi="Times New Roman" w:cs="Times New Roman"/>
          <w:sz w:val="28"/>
          <w:szCs w:val="28"/>
          <w:lang w:val="uk-UA" w:eastAsia="zh-CN"/>
        </w:rPr>
      </w:pPr>
      <w:r>
        <w:rPr>
          <w:rFonts w:cs="Times New Roman"/>
          <w:sz w:val="28"/>
          <w:szCs w:val="28"/>
          <w:lang w:val="uk-UA" w:eastAsia="zh-CN"/>
        </w:rPr>
      </w:r>
    </w:p>
    <w:p>
      <w:pPr>
        <w:pStyle w:val="Normal"/>
        <w:widowControl w:val="false"/>
        <w:suppressAutoHyphens w:val="true"/>
        <w:bidi w:val="0"/>
        <w:ind w:hanging="0" w:left="0" w:right="0"/>
        <w:jc w:val="both"/>
        <w:rPr>
          <w:rFonts w:ascii="Times New Roman" w:hAnsi="Times New Roman" w:cs="Times New Roman"/>
          <w:sz w:val="28"/>
          <w:szCs w:val="28"/>
          <w:lang w:val="uk-UA" w:eastAsia="zh-CN"/>
        </w:rPr>
      </w:pPr>
      <w:r>
        <w:rPr>
          <w:rFonts w:cs="Times New Roman"/>
          <w:sz w:val="28"/>
          <w:szCs w:val="28"/>
          <w:lang w:val="uk-UA" w:eastAsia="zh-CN"/>
        </w:rPr>
      </w:r>
    </w:p>
    <w:p>
      <w:pPr>
        <w:pStyle w:val="Normal"/>
        <w:rPr>
          <w:rFonts w:ascii="Times New Roman" w:hAnsi="Times New Roman"/>
          <w:lang w:val="uk-UA" w:eastAsia="zh-CN"/>
        </w:rPr>
      </w:pPr>
      <w:r>
        <w:rPr>
          <w:sz w:val="28"/>
          <w:szCs w:val="28"/>
          <w:lang w:val="uk-UA" w:eastAsia="zh-CN"/>
        </w:rPr>
        <w:t>ВИРІШИЛА:</w:t>
      </w:r>
    </w:p>
    <w:p>
      <w:pPr>
        <w:pStyle w:val="Normal"/>
        <w:rPr>
          <w:rFonts w:ascii="Times New Roman" w:hAnsi="Times New Roman"/>
          <w:lang w:val="uk-UA" w:eastAsia="zh-CN"/>
        </w:rPr>
      </w:pPr>
      <w:r>
        <w:rPr>
          <w:lang w:val="uk-UA" w:eastAsia="zh-CN"/>
        </w:rPr>
      </w:r>
    </w:p>
    <w:p>
      <w:pPr>
        <w:pStyle w:val="Normal"/>
        <w:widowControl/>
        <w:suppressAutoHyphens w:val="true"/>
        <w:bidi w:val="0"/>
        <w:spacing w:before="0" w:after="0"/>
        <w:ind w:firstLine="567" w:left="0" w:right="0"/>
        <w:jc w:val="both"/>
        <w:rPr/>
      </w:pPr>
      <w:r>
        <w:rPr>
          <w:sz w:val="28"/>
          <w:szCs w:val="28"/>
          <w:lang w:val="uk-UA" w:eastAsia="zh-CN"/>
        </w:rPr>
        <w:t xml:space="preserve">1. Надати </w:t>
      </w:r>
      <w:r>
        <w:rPr>
          <w:rFonts w:cs="Times New Roman"/>
          <w:sz w:val="28"/>
          <w:szCs w:val="28"/>
          <w:lang w:val="uk-UA" w:eastAsia="zh-CN"/>
        </w:rPr>
        <w:t xml:space="preserve">громадянам Бляшук Тетяні Володимирівні (частка земельної ділянки - 1/3, що становить 0,0418 га), Горбатюк Аліні Петрівні (частка земельної ділянки - 1/3, що становить 0,0417 га), Курику Валерію Леонідовичу (частка земельної ділянки - 1/3, що становить 0,0417 га) </w:t>
      </w:r>
      <w:r>
        <w:rPr>
          <w:sz w:val="28"/>
          <w:szCs w:val="28"/>
          <w:lang w:val="uk-UA" w:eastAsia="zh-CN"/>
        </w:rPr>
        <w:t xml:space="preserve">дозвіл на проведення експертної грошової оцінки земельної ділянки комунальної власності несільськогосподарського призначення на </w:t>
      </w:r>
      <w:r>
        <w:rPr>
          <w:rFonts w:eastAsia="Times New Roman" w:cs="Times New Roman"/>
          <w:sz w:val="28"/>
          <w:szCs w:val="28"/>
          <w:lang w:val="uk-UA" w:eastAsia="zh-CN"/>
        </w:rPr>
        <w:t>вул. Конякіна, 2-Б</w:t>
      </w:r>
      <w:r>
        <w:rPr>
          <w:sz w:val="28"/>
          <w:szCs w:val="28"/>
          <w:lang w:val="uk-UA" w:eastAsia="zh-CN"/>
        </w:rPr>
        <w:t xml:space="preserve"> у м. Луцьку, площею 0,1252 га, кадастровим номером 0710100000:33:022:0026, </w:t>
      </w:r>
      <w:r>
        <w:rPr>
          <w:rFonts w:eastAsia="Times New Roman" w:cs="Times New Roman"/>
          <w:spacing w:val="-4"/>
          <w:sz w:val="28"/>
          <w:szCs w:val="28"/>
          <w:lang w:val="uk-UA" w:eastAsia="zh-CN"/>
        </w:rPr>
        <w:t xml:space="preserve">видом цільового призначення земельної ділянки: </w:t>
      </w:r>
      <w:r>
        <w:rPr>
          <w:rFonts w:eastAsia="Times New Roman" w:cs="Times New Roman"/>
          <w:b w:val="false"/>
          <w:bCs w:val="false"/>
          <w:spacing w:val="-4"/>
          <w:sz w:val="28"/>
          <w:szCs w:val="28"/>
          <w:lang w:val="uk-UA" w:eastAsia="zh-CN" w:bidi="ar-SA"/>
        </w:rPr>
        <w:t>12.04 − для розміщення та експлуатації будівель і споруд автомобільного транспорту та дорожнього господарства</w:t>
      </w:r>
      <w:r>
        <w:rPr>
          <w:sz w:val="28"/>
          <w:szCs w:val="28"/>
          <w:lang w:val="uk-UA" w:eastAsia="zh-CN"/>
        </w:rPr>
        <w:t>, згідно з додатком.</w:t>
      </w:r>
    </w:p>
    <w:p>
      <w:pPr>
        <w:pStyle w:val="Normal"/>
        <w:widowControl/>
        <w:suppressAutoHyphens w:val="true"/>
        <w:bidi w:val="0"/>
        <w:spacing w:before="0" w:after="0"/>
        <w:ind w:firstLine="567" w:left="0" w:right="0"/>
        <w:jc w:val="both"/>
        <w:rPr/>
      </w:pPr>
      <w:r>
        <w:rPr>
          <w:sz w:val="28"/>
          <w:szCs w:val="28"/>
          <w:lang w:val="uk-UA" w:eastAsia="zh-CN"/>
        </w:rPr>
        <w:t xml:space="preserve">2. Зобов’язати </w:t>
      </w:r>
      <w:r>
        <w:rPr>
          <w:rFonts w:cs="Times New Roman"/>
          <w:sz w:val="28"/>
          <w:szCs w:val="28"/>
          <w:lang w:val="uk-UA" w:eastAsia="zh-CN"/>
        </w:rPr>
        <w:t>громадян Бляшук Тетяну Володимирівну, Горбатюк Аліну Петрівну, Курика Валерія Леонідовича</w:t>
      </w:r>
      <w:r>
        <w:rPr>
          <w:sz w:val="28"/>
          <w:szCs w:val="28"/>
          <w:lang w:val="uk-UA" w:eastAsia="zh-CN"/>
        </w:rPr>
        <w:t xml:space="preserve"> впродовж 30-ти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 та сплатити авансовий внесок в розмірі 20</w:t>
      </w:r>
      <w:r>
        <w:rPr>
          <w:sz w:val="12"/>
          <w:szCs w:val="12"/>
          <w:lang w:val="uk-UA" w:eastAsia="zh-CN"/>
        </w:rPr>
        <w:t xml:space="preserve"> </w:t>
      </w:r>
      <w:r>
        <w:rPr>
          <w:sz w:val="28"/>
          <w:szCs w:val="28"/>
          <w:lang w:val="uk-UA" w:eastAsia="zh-CN"/>
        </w:rPr>
        <w:t>% від нормативної грошової оцінки, що становить суму 131 112 (сто тридцять одна тисяча сто дванадцять) гривень 00 копійок, не пізніше 10 (десяти) календарних днів після укладення договору про оплату авансового внеску.</w:t>
      </w:r>
    </w:p>
    <w:p>
      <w:pPr>
        <w:pStyle w:val="Normal"/>
        <w:widowControl/>
        <w:suppressAutoHyphens w:val="true"/>
        <w:bidi w:val="0"/>
        <w:spacing w:before="0" w:after="0"/>
        <w:ind w:firstLine="567" w:left="0" w:right="0"/>
        <w:jc w:val="both"/>
        <w:rPr/>
      </w:pPr>
      <w:r>
        <w:rPr>
          <w:sz w:val="28"/>
          <w:szCs w:val="28"/>
          <w:lang w:val="uk-UA" w:eastAsia="zh-CN"/>
        </w:rPr>
        <w:t>3. Департаменту містобудування, земельних ресурсів та реклами Луцької міської ради забезпечити укладення виконавчим комітетом Луцької міської ради:</w:t>
      </w:r>
    </w:p>
    <w:p>
      <w:pPr>
        <w:pStyle w:val="Normal"/>
        <w:widowControl/>
        <w:suppressAutoHyphens w:val="true"/>
        <w:bidi w:val="0"/>
        <w:spacing w:before="0" w:after="0"/>
        <w:ind w:firstLine="567" w:left="0" w:right="0"/>
        <w:jc w:val="both"/>
        <w:rPr/>
      </w:pPr>
      <w:r>
        <w:rPr>
          <w:sz w:val="28"/>
          <w:szCs w:val="28"/>
          <w:lang w:val="uk-UA" w:eastAsia="zh-CN"/>
        </w:rPr>
        <w:t xml:space="preserve">3.1. Договору про оплату авансового внеску в рахунок оплати ціни земельної ділянки </w:t>
      </w:r>
      <w:r>
        <w:rPr>
          <w:rFonts w:eastAsia="Times New Roman" w:cs="Times New Roman"/>
          <w:color w:val="auto"/>
          <w:kern w:val="0"/>
          <w:sz w:val="28"/>
          <w:szCs w:val="28"/>
          <w:lang w:val="uk-UA" w:eastAsia="zh-CN" w:bidi="ar-SA"/>
        </w:rPr>
        <w:t>з громадянами Бляшук Тетяною Володимирівною, Горбатюк Аліною Петрівною, Куриком Валерієм Леонідовичем.</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3.2. Договору на проведення експертної грошової оцінки земельної ділянки з суб’єктом оціночної діяльності у сфері оцінки земель, який відповідно до Закону України «Про оцінку земель» має у своєму складі оцінювачів, внесених до Державного реєстру оцінювачів з експертної грошової оцінки земельних ділянок.</w:t>
      </w:r>
    </w:p>
    <w:p>
      <w:pPr>
        <w:pStyle w:val="Normal"/>
        <w:widowControl/>
        <w:suppressAutoHyphens w:val="true"/>
        <w:bidi w:val="0"/>
        <w:spacing w:before="0" w:after="0"/>
        <w:ind w:firstLine="567" w:left="0" w:right="0"/>
        <w:jc w:val="both"/>
        <w:rPr/>
      </w:pPr>
      <w:r>
        <w:rPr>
          <w:rFonts w:eastAsia="Times New Roman" w:cs="Times New Roman"/>
          <w:color w:val="auto"/>
          <w:kern w:val="0"/>
          <w:sz w:val="28"/>
          <w:szCs w:val="28"/>
          <w:lang w:val="uk-UA" w:eastAsia="zh-CN" w:bidi="ar-SA"/>
        </w:rPr>
        <w:t>4.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ind w:firstLine="540" w:left="0" w:right="0"/>
        <w:jc w:val="both"/>
        <w:rPr>
          <w:rFonts w:ascii="Times New Roman" w:hAnsi="Times New Roman"/>
          <w:sz w:val="28"/>
          <w:szCs w:val="28"/>
          <w:lang w:val="uk-UA" w:eastAsia="zh-CN"/>
        </w:rPr>
      </w:pPr>
      <w:r>
        <w:rPr>
          <w:sz w:val="28"/>
          <w:szCs w:val="28"/>
          <w:lang w:val="uk-UA" w:eastAsia="zh-CN"/>
        </w:rPr>
      </w:r>
    </w:p>
    <w:p>
      <w:pPr>
        <w:pStyle w:val="Normal"/>
        <w:jc w:val="both"/>
        <w:rPr>
          <w:rFonts w:ascii="Times New Roman" w:hAnsi="Times New Roman"/>
          <w:sz w:val="28"/>
          <w:szCs w:val="28"/>
          <w:lang w:val="uk-UA" w:eastAsia="zh-CN"/>
        </w:rPr>
      </w:pPr>
      <w:r>
        <w:rPr>
          <w:sz w:val="28"/>
          <w:szCs w:val="28"/>
          <w:lang w:val="uk-UA" w:eastAsia="zh-CN"/>
        </w:rPr>
      </w:r>
    </w:p>
    <w:p>
      <w:pPr>
        <w:pStyle w:val="Normal"/>
        <w:tabs>
          <w:tab w:val="clear" w:pos="708"/>
          <w:tab w:val="left" w:pos="580" w:leader="none"/>
          <w:tab w:val="left" w:pos="620" w:leader="none"/>
          <w:tab w:val="left" w:pos="720" w:leader="none"/>
          <w:tab w:val="left" w:pos="6570" w:leader="none"/>
        </w:tabs>
        <w:ind w:hanging="0" w:left="0" w:right="-185"/>
        <w:jc w:val="both"/>
        <w:rPr>
          <w:rFonts w:ascii="Times New Roman" w:hAnsi="Times New Roman"/>
        </w:rPr>
      </w:pPr>
      <w:r>
        <w:rPr>
          <w:rFonts w:eastAsia="Times New Roman" w:cs="Times New Roman"/>
          <w:color w:val="auto"/>
          <w:kern w:val="0"/>
          <w:sz w:val="28"/>
          <w:szCs w:val="28"/>
          <w:lang w:val="uk-UA" w:eastAsia="zh-CN" w:bidi="ar-SA"/>
        </w:rPr>
        <w:t>Секретар міської ради                                                Андрій РАЗУМОВСЬКИЙ</w:t>
      </w:r>
    </w:p>
    <w:p>
      <w:pPr>
        <w:pStyle w:val="Normal"/>
        <w:ind w:hanging="0" w:right="-185"/>
        <w:jc w:val="both"/>
        <w:rPr>
          <w:sz w:val="20"/>
          <w:szCs w:val="20"/>
        </w:rPr>
      </w:pPr>
      <w:r>
        <w:rPr>
          <w:sz w:val="20"/>
          <w:szCs w:val="20"/>
        </w:rPr>
      </w:r>
    </w:p>
    <w:p>
      <w:pPr>
        <w:pStyle w:val="Normal"/>
        <w:ind w:hanging="0" w:right="-185"/>
        <w:jc w:val="both"/>
        <w:rPr>
          <w:sz w:val="20"/>
          <w:szCs w:val="20"/>
        </w:rPr>
      </w:pPr>
      <w:r>
        <w:rPr>
          <w:sz w:val="20"/>
          <w:szCs w:val="20"/>
        </w:rPr>
      </w:r>
    </w:p>
    <w:p>
      <w:pPr>
        <w:pStyle w:val="Normal"/>
        <w:ind w:hanging="0" w:right="-185"/>
        <w:jc w:val="both"/>
        <w:rPr>
          <w:rFonts w:ascii="Times New Roman" w:hAnsi="Times New Roman"/>
        </w:rPr>
      </w:pPr>
      <w:r>
        <w:rPr>
          <w:rFonts w:eastAsia="Times New Roman" w:cs="Times New Roman"/>
          <w:b w:val="false"/>
          <w:bCs w:val="false"/>
          <w:i w:val="false"/>
          <w:iCs w:val="false"/>
          <w:color w:val="auto"/>
          <w:kern w:val="0"/>
          <w:sz w:val="24"/>
          <w:szCs w:val="24"/>
          <w:lang w:val="uk-UA" w:eastAsia="zh-CN" w:bidi="ar-SA"/>
        </w:rPr>
        <w:t>Гула</w:t>
      </w:r>
      <w:r>
        <w:rPr>
          <w:rFonts w:cs="Times New Roman"/>
          <w:b w:val="false"/>
          <w:bCs w:val="false"/>
          <w:i w:val="false"/>
          <w:iCs w:val="false"/>
          <w:sz w:val="24"/>
          <w:szCs w:val="24"/>
          <w:lang w:val="uk-UA" w:eastAsia="zh-CN" w:bidi="ar-SA"/>
        </w:rPr>
        <w:t xml:space="preserve"> 777 8</w:t>
      </w:r>
      <w:r>
        <w:rPr>
          <w:rFonts w:eastAsia="Times New Roman" w:cs="Times New Roman"/>
          <w:b w:val="false"/>
          <w:bCs w:val="false"/>
          <w:i w:val="false"/>
          <w:iCs w:val="false"/>
          <w:color w:val="auto"/>
          <w:kern w:val="0"/>
          <w:sz w:val="24"/>
          <w:szCs w:val="24"/>
          <w:lang w:val="uk-UA" w:eastAsia="zh-CN" w:bidi="ar-SA"/>
        </w:rPr>
        <w:t>7</w:t>
      </w:r>
      <w:bookmarkStart w:id="0" w:name="__DdeLink__1197_2182215361"/>
      <w:r>
        <w:rPr>
          <w:rFonts w:cs="Times New Roman"/>
          <w:b w:val="false"/>
          <w:bCs w:val="false"/>
          <w:i w:val="false"/>
          <w:iCs w:val="false"/>
          <w:sz w:val="24"/>
          <w:szCs w:val="24"/>
          <w:lang w:val="uk-UA" w:eastAsia="zh-CN" w:bidi="ar-SA"/>
        </w:rPr>
        <w:t>3</w:t>
      </w:r>
      <w:bookmarkEnd w:id="0"/>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2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d696a"/>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ru-RU" w:bidi="ar-SA"/>
    </w:rPr>
  </w:style>
  <w:style w:type="paragraph" w:styleId="Heading1" w:customStyle="1">
    <w:name w:val="Heading 1"/>
    <w:basedOn w:val="Normal"/>
    <w:next w:val="Normal"/>
    <w:link w:val="1"/>
    <w:qFormat/>
    <w:rsid w:val="000d696a"/>
    <w:pPr>
      <w:keepNext w:val="true"/>
      <w:spacing w:before="240" w:after="60"/>
      <w:outlineLvl w:val="0"/>
    </w:pPr>
    <w:rPr>
      <w:rFonts w:ascii="Arial" w:hAnsi="Arial" w:cs="Arial"/>
      <w:b/>
      <w:bCs/>
      <w:kern w:val="2"/>
      <w:sz w:val="32"/>
      <w:szCs w:val="32"/>
    </w:rPr>
  </w:style>
  <w:style w:type="paragraph" w:styleId="Heading2" w:customStyle="1">
    <w:name w:val="Heading 2"/>
    <w:basedOn w:val="Normal"/>
    <w:next w:val="Normal"/>
    <w:link w:val="2"/>
    <w:uiPriority w:val="9"/>
    <w:semiHidden/>
    <w:unhideWhenUsed/>
    <w:qFormat/>
    <w:rsid w:val="000d696a"/>
    <w:pPr>
      <w:keepNext w:val="true"/>
      <w:spacing w:before="240" w:after="60"/>
      <w:outlineLvl w:val="1"/>
    </w:pPr>
    <w:rPr>
      <w:rFonts w:ascii="Cambria" w:hAnsi="Cambria"/>
      <w:b/>
      <w:bCs/>
      <w:i/>
      <w:iCs/>
      <w:sz w:val="28"/>
      <w:szCs w:val="28"/>
    </w:rPr>
  </w:style>
  <w:style w:type="character" w:styleId="DefaultParagraphFont" w:default="1">
    <w:name w:val="Default Paragraph Font"/>
    <w:uiPriority w:val="1"/>
    <w:semiHidden/>
    <w:unhideWhenUsed/>
    <w:qFormat/>
    <w:rPr/>
  </w:style>
  <w:style w:type="character" w:styleId="1" w:customStyle="1">
    <w:name w:val="Заголовок 1 Знак"/>
    <w:basedOn w:val="DefaultParagraphFont"/>
    <w:qFormat/>
    <w:rsid w:val="000d696a"/>
    <w:rPr>
      <w:rFonts w:ascii="Arial" w:hAnsi="Arial" w:eastAsia="Times New Roman" w:cs="Arial"/>
      <w:b/>
      <w:bCs/>
      <w:kern w:val="2"/>
      <w:sz w:val="32"/>
      <w:szCs w:val="32"/>
      <w:lang w:eastAsia="ru-RU"/>
    </w:rPr>
  </w:style>
  <w:style w:type="character" w:styleId="2" w:customStyle="1">
    <w:name w:val="Заголовок 2 Знак"/>
    <w:basedOn w:val="DefaultParagraphFont"/>
    <w:uiPriority w:val="9"/>
    <w:semiHidden/>
    <w:qFormat/>
    <w:rsid w:val="000d696a"/>
    <w:rPr>
      <w:rFonts w:ascii="Cambria" w:hAnsi="Cambria" w:eastAsia="Times New Roman" w:cs="Times New Roman"/>
      <w:b/>
      <w:bCs/>
      <w:i/>
      <w:iCs/>
      <w:sz w:val="28"/>
      <w:szCs w:val="28"/>
      <w:lang w:eastAsia="ru-RU"/>
    </w:rPr>
  </w:style>
  <w:style w:type="character" w:styleId="11" w:customStyle="1">
    <w:name w:val="Заголовок 1 Знак1"/>
    <w:basedOn w:val="DefaultParagraphFont"/>
    <w:qFormat/>
    <w:rsid w:val="00c02f05"/>
    <w:rPr>
      <w:rFonts w:ascii="Times New Roman" w:hAnsi="Times New Roman" w:eastAsia="Times New Roman" w:cs="Times New Roman"/>
      <w:b/>
      <w:bCs/>
      <w:sz w:val="32"/>
      <w:szCs w:val="24"/>
      <w:lang w:eastAsia="ru-RU"/>
    </w:rPr>
  </w:style>
  <w:style w:type="character" w:styleId="21" w:customStyle="1">
    <w:name w:val="Заголовок 2 Знак1"/>
    <w:basedOn w:val="DefaultParagraphFont"/>
    <w:qFormat/>
    <w:rsid w:val="00c02f05"/>
    <w:rPr>
      <w:rFonts w:ascii="Arial" w:hAnsi="Arial" w:eastAsia="Times New Roman" w:cs="Arial"/>
      <w:b/>
      <w:bCs/>
      <w:i/>
      <w:iCs/>
      <w:sz w:val="28"/>
      <w:szCs w:val="28"/>
      <w:lang w:eastAsia="ru-RU"/>
    </w:rPr>
  </w:style>
  <w:style w:type="paragraph" w:styleId="Style12" w:customStyle="1">
    <w:name w:val="Заголовок"/>
    <w:basedOn w:val="Normal"/>
    <w:next w:val="BodyText"/>
    <w:qFormat/>
    <w:rsid w:val="00c7405a"/>
    <w:pPr>
      <w:keepNext w:val="true"/>
      <w:spacing w:before="240" w:after="120"/>
    </w:pPr>
    <w:rPr>
      <w:rFonts w:ascii="Liberation Sans" w:hAnsi="Liberation Sans" w:eastAsia="Microsoft YaHei" w:cs="Lucida Sans"/>
      <w:sz w:val="28"/>
      <w:szCs w:val="28"/>
    </w:rPr>
  </w:style>
  <w:style w:type="paragraph" w:styleId="BodyText">
    <w:name w:val="Body Text"/>
    <w:basedOn w:val="Normal"/>
    <w:rsid w:val="00c7405a"/>
    <w:pPr>
      <w:spacing w:lineRule="auto" w:line="276" w:before="0" w:after="140"/>
    </w:pPr>
    <w:rPr/>
  </w:style>
  <w:style w:type="paragraph" w:styleId="List">
    <w:name w:val="List"/>
    <w:basedOn w:val="BodyText"/>
    <w:rsid w:val="00c7405a"/>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3" w:customStyle="1">
    <w:name w:val="Покажчик"/>
    <w:basedOn w:val="Normal"/>
    <w:qFormat/>
    <w:rsid w:val="00c7405a"/>
    <w:pPr>
      <w:suppressLineNumbers/>
    </w:pPr>
    <w:rPr>
      <w:rFonts w:cs="Lucida Sans"/>
    </w:rPr>
  </w:style>
  <w:style w:type="paragraph" w:styleId="Caption1" w:customStyle="1">
    <w:name w:val="caption1"/>
    <w:basedOn w:val="Normal"/>
    <w:qFormat/>
    <w:rsid w:val="00c7405a"/>
    <w:pPr>
      <w:suppressLineNumbers/>
      <w:spacing w:before="120" w:after="120"/>
    </w:pPr>
    <w:rPr>
      <w:rFonts w:cs="Lucida Sans"/>
      <w:i/>
      <w:iCs/>
    </w:rPr>
  </w:style>
  <w:style w:type="numbering" w:styleId="Style14" w:default="1">
    <w:name w:val="Без маркерів"/>
    <w:uiPriority w:val="99"/>
    <w:semiHidden/>
    <w:unhideWhenUsed/>
    <w:qFormat/>
  </w:style>
  <w:style w:type="table" w:default="1" w:styleId="a1">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134</TotalTime>
  <Application>LibreOffice/7.6.2.1$Windows_X86_64 LibreOffice_project/56f7684011345957bbf33a7ee678afaf4d2ba333</Application>
  <AppVersion>15.0000</AppVersion>
  <Pages>2</Pages>
  <Words>532</Words>
  <Characters>3488</Characters>
  <CharactersWithSpaces>4068</CharactersWithSpaces>
  <Paragraphs>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2022-02-22T13:50:00Z</dcterms:created>
  <dc:creator>nkhmel</dc:creator>
  <dc:description/>
  <dc:language>uk-UA</dc:language>
  <cp:lastModifiedBy/>
  <cp:lastPrinted>2026-06-11T12:37:12Z</cp:lastPrinted>
  <dcterms:modified xsi:type="dcterms:W3CDTF">2026-09-04T18:03:32Z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file>