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6120" w:hang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Додаток</w:t>
      </w:r>
    </w:p>
    <w:p>
      <w:pPr>
        <w:pStyle w:val="Normal"/>
        <w:ind w:left="6120" w:hang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до рішення міської ради</w:t>
      </w:r>
    </w:p>
    <w:p>
      <w:pPr>
        <w:pStyle w:val="Normal"/>
        <w:ind w:left="6120" w:hang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від ___________ № _____</w:t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Комплексна програма охорони довкілля 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Луцької міської територіальної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громади на 2022</w:t>
      </w:r>
      <w:r>
        <w:rPr>
          <w:color w:val="000000"/>
          <w:sz w:val="28"/>
          <w:szCs w:val="28"/>
        </w:rPr>
        <w:t>–</w:t>
      </w:r>
      <w:r>
        <w:rPr>
          <w:rFonts w:cs="Times New Roman" w:ascii="Times New Roman" w:hAnsi="Times New Roman"/>
          <w:color w:val="000000"/>
          <w:sz w:val="28"/>
          <w:szCs w:val="28"/>
        </w:rPr>
        <w:t>2030 роки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Паспорт Програми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</w:r>
    </w:p>
    <w:tbl>
      <w:tblPr>
        <w:tblW w:w="9488" w:type="dxa"/>
        <w:jc w:val="left"/>
        <w:tblInd w:w="-23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19"/>
        <w:gridCol w:w="3815"/>
        <w:gridCol w:w="4954"/>
      </w:tblGrid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Ініціатор розроблення програми</w:t>
            </w:r>
          </w:p>
          <w:p>
            <w:pPr>
              <w:pStyle w:val="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Луцька міська рада</w:t>
            </w:r>
          </w:p>
        </w:tc>
      </w:tr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Розробник програми</w:t>
            </w:r>
          </w:p>
          <w:p>
            <w:pPr>
              <w:pStyle w:val="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Відділ екології Луцької міської ради</w:t>
            </w:r>
          </w:p>
        </w:tc>
      </w:tr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Співрозробники програми</w:t>
            </w:r>
          </w:p>
          <w:p>
            <w:pPr>
              <w:pStyle w:val="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3"/>
              <w:snapToGrid w:val="false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Виконавчі органи міської ради, підприємства, установи, організації</w:t>
            </w:r>
          </w:p>
        </w:tc>
      </w:tr>
      <w:tr>
        <w:trPr>
          <w:trHeight w:val="716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Відповідальний виконавець програми</w:t>
            </w:r>
          </w:p>
          <w:p>
            <w:pPr>
              <w:pStyle w:val="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Відділ екології Луцької міської ради, департамент житлово-комунального господарства, підприємства, установи, організації</w:t>
            </w:r>
          </w:p>
        </w:tc>
      </w:tr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Учасники програми</w:t>
            </w:r>
          </w:p>
          <w:p>
            <w:pPr>
              <w:pStyle w:val="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3"/>
              <w:snapToGrid w:val="false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Виконавчі органи міської ради, підприємства, установи, організації</w:t>
            </w:r>
          </w:p>
        </w:tc>
      </w:tr>
      <w:tr>
        <w:trPr>
          <w:trHeight w:val="327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Термін реалізації програми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2022–2030 роки</w:t>
            </w:r>
          </w:p>
        </w:tc>
      </w:tr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Загальний обсяг фінансових ресурсів, необхідних для реалізації програми,</w:t>
            </w:r>
          </w:p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всього, у тому числі: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snapToGrid w:val="false"/>
              <w:ind w:left="-83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snapToGrid w:val="false"/>
              <w:ind w:left="-83" w:hanging="0"/>
              <w:jc w:val="center"/>
              <w:rPr>
                <w:color w:val="000000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149 734,0  млн. грн</w:t>
            </w:r>
          </w:p>
        </w:tc>
      </w:tr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8.1.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коштів бюджету Луцької міської територіальної громади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snapToGrid w:val="false"/>
              <w:ind w:left="-83" w:hanging="0"/>
              <w:jc w:val="center"/>
              <w:rPr>
                <w:color w:val="000000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87 245,0  млн. грн</w:t>
            </w:r>
          </w:p>
        </w:tc>
      </w:tr>
      <w:tr>
        <w:trPr>
          <w:trHeight w:val="481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9.2.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коштів інших джерел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62 489,0 млн. грн/</w:t>
            </w:r>
          </w:p>
        </w:tc>
      </w:tr>
    </w:tbl>
    <w:p>
      <w:pPr>
        <w:pStyle w:val="Normal"/>
        <w:spacing w:before="0" w:after="200"/>
        <w:jc w:val="center"/>
        <w:rPr>
          <w:rFonts w:ascii="Times New Roman" w:hAnsi="Times New Roman" w:cs="Times New Roman"/>
          <w:b/>
          <w:b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before="0" w:after="20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Секретар міської ради</w:t>
        <w:tab/>
        <w:tab/>
        <w:tab/>
        <w:tab/>
        <w:tab/>
        <w:tab/>
        <w:tab/>
        <w:tab/>
        <w:tab/>
        <w:tab/>
        <w:t xml:space="preserve">      Андрій РАЗУМОВСЬКИЙ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  <w:bookmarkStart w:id="0" w:name="__DdeLink__2216_591011220"/>
      <w:bookmarkStart w:id="1" w:name="__DdeLink__2216_591011220"/>
      <w:bookmarkEnd w:id="1"/>
    </w:p>
    <w:p>
      <w:pPr>
        <w:sectPr>
          <w:headerReference w:type="default" r:id="rId2"/>
          <w:type w:val="nextPage"/>
          <w:pgSz w:w="11906" w:h="16838"/>
          <w:pgMar w:left="1985" w:right="567" w:header="709" w:top="766" w:footer="0" w:bottom="1134" w:gutter="0"/>
          <w:pgNumType w:start="2" w:fmt="decimal"/>
          <w:formProt w:val="false"/>
          <w:textDirection w:val="lrTb"/>
          <w:docGrid w:type="default" w:linePitch="100" w:charSpace="8192"/>
        </w:sectPr>
        <w:pStyle w:val="Normal"/>
        <w:rPr/>
      </w:pPr>
      <w:r>
        <w:rPr>
          <w:rFonts w:cs="Times New Roman" w:ascii="Times New Roman" w:hAnsi="Times New Roman"/>
          <w:color w:val="000000"/>
          <w:sz w:val="24"/>
        </w:rPr>
        <w:t>Лисак 724 160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color w:val="000000"/>
          <w:sz w:val="28"/>
          <w:szCs w:val="28"/>
        </w:rPr>
        <w:t>Додаток 1</w:t>
      </w:r>
    </w:p>
    <w:p>
      <w:pPr>
        <w:pStyle w:val="Normal"/>
        <w:ind w:left="4876" w:hanging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                                                                   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до </w:t>
      </w:r>
      <w:r>
        <w:rPr>
          <w:rFonts w:ascii="Times New Roman" w:hAnsi="Times New Roman"/>
          <w:sz w:val="28"/>
          <w:szCs w:val="28"/>
        </w:rPr>
        <w:t>Комплексної програми охорони</w:t>
      </w:r>
    </w:p>
    <w:p>
      <w:pPr>
        <w:pStyle w:val="Normal"/>
        <w:ind w:left="4876" w:hanging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довкілля Луцької міської </w:t>
      </w:r>
    </w:p>
    <w:p>
      <w:pPr>
        <w:pStyle w:val="Normal"/>
        <w:ind w:left="4876" w:hanging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територіальної громади</w:t>
      </w:r>
    </w:p>
    <w:p>
      <w:pPr>
        <w:pStyle w:val="Normal"/>
        <w:ind w:left="4876" w:hanging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на 2022</w:t>
      </w:r>
      <w:r>
        <w:rPr>
          <w:color w:val="000000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  <w:lang w:val="uk-UA"/>
        </w:rPr>
        <w:t>30</w:t>
      </w:r>
      <w:r>
        <w:rPr>
          <w:rFonts w:ascii="Times New Roman" w:hAnsi="Times New Roman"/>
          <w:sz w:val="28"/>
          <w:szCs w:val="28"/>
        </w:rPr>
        <w:t xml:space="preserve"> роки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11"/>
        <w:numPr>
          <w:ilvl w:val="0"/>
          <w:numId w:val="1"/>
        </w:numPr>
        <w:rPr>
          <w:rFonts w:ascii="Times New Roman" w:hAnsi="Times New Roman" w:cs="Times New Roman"/>
          <w:b w:val="false"/>
          <w:b w:val="false"/>
          <w:color w:val="000000"/>
          <w:sz w:val="28"/>
          <w:szCs w:val="28"/>
        </w:rPr>
      </w:pPr>
      <w:r>
        <w:rPr>
          <w:rFonts w:cs="Times New Roman" w:ascii="Times New Roman" w:hAnsi="Times New Roman"/>
          <w:b w:val="false"/>
          <w:color w:val="000000"/>
          <w:sz w:val="28"/>
          <w:szCs w:val="28"/>
        </w:rPr>
        <w:t xml:space="preserve">Ресурсне забезпечення 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Комплексної програми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охорони довкілля </w:t>
      </w:r>
    </w:p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Луцької міської територіальної громади на 2022–20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>30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роки</w:t>
      </w:r>
    </w:p>
    <w:tbl>
      <w:tblPr>
        <w:tblW w:w="15687" w:type="dxa"/>
        <w:jc w:val="left"/>
        <w:tblInd w:w="-52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000"/>
        <w:gridCol w:w="1080"/>
        <w:gridCol w:w="1082"/>
        <w:gridCol w:w="1139"/>
        <w:gridCol w:w="1184"/>
        <w:gridCol w:w="1186"/>
        <w:gridCol w:w="1139"/>
        <w:gridCol w:w="1249"/>
        <w:gridCol w:w="1247"/>
        <w:gridCol w:w="1366"/>
        <w:gridCol w:w="2013"/>
      </w:tblGrid>
      <w:tr>
        <w:trPr>
          <w:trHeight w:val="364" w:hRule="atLeast"/>
          <w:cantSplit w:val="true"/>
        </w:trPr>
        <w:tc>
          <w:tcPr>
            <w:tcW w:w="3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numPr>
                <w:ilvl w:val="1"/>
                <w:numId w:val="1"/>
              </w:numPr>
              <w:spacing w:before="240" w:after="60"/>
              <w:jc w:val="center"/>
              <w:rPr>
                <w:rFonts w:ascii="Times New Roman" w:hAnsi="Times New Roman"/>
                <w:sz w:val="28"/>
              </w:rPr>
            </w:pPr>
            <w:bookmarkStart w:id="2" w:name="_GoBack"/>
            <w:bookmarkEnd w:id="2"/>
            <w:r>
              <w:rPr>
                <w:rFonts w:cs="Times New Roman" w:ascii="Times New Roman" w:hAnsi="Times New Roman"/>
                <w:b w:val="false"/>
                <w:i w:val="false"/>
                <w:color w:val="000000"/>
                <w:sz w:val="28"/>
              </w:rPr>
              <w:t>Обсяг коштів, які планується залучити на виконання Програми за джерелами фінансування, тис. грн</w:t>
            </w:r>
          </w:p>
        </w:tc>
        <w:tc>
          <w:tcPr>
            <w:tcW w:w="106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Роки</w:t>
            </w:r>
          </w:p>
        </w:tc>
        <w:tc>
          <w:tcPr>
            <w:tcW w:w="20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ind w:left="-81" w:right="-81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Загальний обсяг фінансування, тис. грн</w:t>
            </w:r>
          </w:p>
        </w:tc>
      </w:tr>
      <w:tr>
        <w:trPr>
          <w:trHeight w:val="886" w:hRule="atLeast"/>
          <w:cantSplit w:val="true"/>
        </w:trPr>
        <w:tc>
          <w:tcPr>
            <w:tcW w:w="30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2022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2023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2024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A933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2026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A933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2027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158466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2028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lang w:val="uk-UA"/>
              </w:rPr>
              <w:t>2029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2030</w:t>
            </w:r>
          </w:p>
        </w:tc>
        <w:tc>
          <w:tcPr>
            <w:tcW w:w="201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>
          <w:trHeight w:val="784" w:hRule="atLeast"/>
          <w:cantSplit w:val="true"/>
        </w:trPr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Обсяг фінансових ресурсів всього,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у тому числі: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ind w:left="-83" w:right="-120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20341,0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C9211E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3</w:t>
            </w:r>
            <w:r>
              <w:rPr>
                <w:rFonts w:cs="Times New Roman" w:ascii="Times New Roman" w:hAnsi="Times New Roman"/>
                <w:color w:val="000000"/>
                <w:sz w:val="24"/>
                <w:lang w:val="en-US"/>
              </w:rPr>
              <w:t>4 496,0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C9211E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20896,0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00A933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lang w:val="en-US"/>
              </w:rPr>
              <w:t>21031,0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14160,0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8260,0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13500,0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8400,0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8650,0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</w:rPr>
              <w:t>149 734,0</w:t>
            </w:r>
          </w:p>
        </w:tc>
      </w:tr>
      <w:tr>
        <w:trPr>
          <w:trHeight w:val="1238" w:hRule="atLeast"/>
          <w:cantSplit w:val="true"/>
        </w:trPr>
        <w:tc>
          <w:tcPr>
            <w:tcW w:w="300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коштів бюджету Луцької міської територіальної громади/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в т.ч. спецфонд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right="-120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3760,0</w:t>
            </w:r>
          </w:p>
        </w:tc>
        <w:tc>
          <w:tcPr>
            <w:tcW w:w="108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C9211E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12075,0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C9211E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9030,0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00A933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lang w:val="en-US"/>
              </w:rPr>
              <w:t>9410,0</w:t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14160,0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8260,0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13500,0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8400,0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8650,0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</w:rPr>
              <w:t>87 245,0</w:t>
            </w:r>
          </w:p>
        </w:tc>
      </w:tr>
      <w:tr>
        <w:trPr>
          <w:trHeight w:val="300" w:hRule="atLeast"/>
          <w:cantSplit w:val="true"/>
        </w:trPr>
        <w:tc>
          <w:tcPr>
            <w:tcW w:w="300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right="-120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1912,0</w:t>
            </w:r>
          </w:p>
        </w:tc>
        <w:tc>
          <w:tcPr>
            <w:tcW w:w="108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C9211E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4265,0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2100,0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00A933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6510,0</w:t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10160,0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5710,0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6100,0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6400,0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6500,0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</w:rPr>
              <w:t>49 656,0</w:t>
            </w:r>
          </w:p>
        </w:tc>
      </w:tr>
      <w:tr>
        <w:trPr>
          <w:trHeight w:val="680" w:hRule="atLeast"/>
          <w:cantSplit w:val="true"/>
        </w:trPr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коштів обласного бюджету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right="-120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500,0</w:t>
            </w:r>
          </w:p>
        </w:tc>
        <w:tc>
          <w:tcPr>
            <w:tcW w:w="108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C9211E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565,0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color w:val="00A933"/>
                <w:sz w:val="24"/>
              </w:rPr>
            </w:pPr>
            <w:r>
              <w:rPr>
                <w:rFonts w:ascii="Times New Roman" w:hAnsi="Times New Roman"/>
                <w:color w:val="158466"/>
                <w:sz w:val="24"/>
              </w:rPr>
              <w:t>---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color w:val="00A933"/>
                <w:sz w:val="24"/>
              </w:rPr>
            </w:pPr>
            <w:r>
              <w:rPr>
                <w:rFonts w:ascii="Times New Roman" w:hAnsi="Times New Roman"/>
                <w:color w:val="158466"/>
                <w:sz w:val="24"/>
              </w:rPr>
              <w:t>---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158466"/>
              </w:rPr>
            </w:pPr>
            <w:r>
              <w:rPr>
                <w:rFonts w:ascii="Times New Roman" w:hAnsi="Times New Roman"/>
                <w:color w:val="158466"/>
                <w:sz w:val="24"/>
              </w:rPr>
              <w:t>---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158466"/>
                <w:sz w:val="24"/>
              </w:rPr>
              <w:t>---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/>
            </w:pPr>
            <w:r>
              <w:rPr>
                <w:rFonts w:ascii="Times New Roman" w:hAnsi="Times New Roman"/>
                <w:color w:val="158466"/>
                <w:sz w:val="24"/>
              </w:rPr>
              <w:t>---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1065,0</w:t>
            </w:r>
          </w:p>
        </w:tc>
      </w:tr>
      <w:tr>
        <w:trPr>
          <w:trHeight w:val="665" w:hRule="atLeast"/>
          <w:cantSplit w:val="true"/>
        </w:trPr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коштів державного бюджету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right="-12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08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color w:val="00A933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color w:val="00A933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color w:val="00A933"/>
                <w:sz w:val="24"/>
              </w:rPr>
            </w:pPr>
            <w:r>
              <w:rPr>
                <w:rFonts w:ascii="Times New Roman" w:hAnsi="Times New Roman"/>
                <w:color w:val="158466"/>
                <w:sz w:val="24"/>
              </w:rPr>
              <w:t>---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/>
            </w:pPr>
            <w:r>
              <w:rPr>
                <w:rFonts w:ascii="Times New Roman" w:hAnsi="Times New Roman"/>
                <w:color w:val="158466"/>
                <w:sz w:val="24"/>
              </w:rPr>
              <w:t>---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00A933"/>
              </w:rPr>
            </w:pPr>
            <w:r>
              <w:rPr>
                <w:rFonts w:ascii="Times New Roman" w:hAnsi="Times New Roman"/>
                <w:color w:val="158466"/>
                <w:sz w:val="24"/>
              </w:rPr>
              <w:t>---</w:t>
            </w:r>
          </w:p>
        </w:tc>
      </w:tr>
      <w:tr>
        <w:trPr>
          <w:trHeight w:val="332" w:hRule="atLeast"/>
          <w:cantSplit w:val="true"/>
        </w:trPr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коштів інших джерел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16081,0</w:t>
            </w:r>
          </w:p>
        </w:tc>
        <w:tc>
          <w:tcPr>
            <w:tcW w:w="108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21856,0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11866,0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color w:val="00A933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11621,0</w:t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color w:val="00A933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color w:val="00A933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color w:val="00A933"/>
                <w:sz w:val="24"/>
              </w:rPr>
            </w:pPr>
            <w:r>
              <w:rPr>
                <w:rFonts w:ascii="Times New Roman" w:hAnsi="Times New Roman"/>
                <w:color w:val="158466"/>
                <w:sz w:val="24"/>
              </w:rPr>
              <w:t>---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/>
            </w:pPr>
            <w:r>
              <w:rPr>
                <w:rFonts w:ascii="Times New Roman" w:hAnsi="Times New Roman"/>
                <w:color w:val="158466"/>
                <w:sz w:val="24"/>
              </w:rPr>
              <w:t>---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61424,0</w:t>
            </w:r>
          </w:p>
        </w:tc>
      </w:tr>
    </w:tbl>
    <w:p>
      <w:pPr>
        <w:pStyle w:val="Normal"/>
        <w:rPr>
          <w:rFonts w:ascii="Times New Roman" w:hAnsi="Times New Roman" w:cs="Times New Roman"/>
          <w:color w:val="000000"/>
          <w:sz w:val="24"/>
        </w:rPr>
      </w:pPr>
      <w:r>
        <w:rPr>
          <w:rFonts w:cs="Times New Roman" w:ascii="Times New Roman" w:hAnsi="Times New Roman"/>
          <w:color w:val="000000"/>
          <w:sz w:val="24"/>
        </w:rPr>
      </w:r>
    </w:p>
    <w:p>
      <w:pPr>
        <w:sectPr>
          <w:headerReference w:type="default" r:id="rId3"/>
          <w:type w:val="nextPage"/>
          <w:pgSz w:orient="landscape" w:w="16838" w:h="11906"/>
          <w:pgMar w:left="850" w:right="850" w:header="709" w:top="1219" w:footer="0" w:bottom="227" w:gutter="0"/>
          <w:pgNumType w:start="2" w:fmt="decimal"/>
          <w:formProt w:val="false"/>
          <w:textDirection w:val="lrTb"/>
          <w:docGrid w:type="default" w:linePitch="100" w:charSpace="8192"/>
        </w:sectPr>
        <w:pStyle w:val="Normal"/>
        <w:rPr/>
      </w:pPr>
      <w:r>
        <w:rPr>
          <w:rFonts w:cs="Times New Roman" w:ascii="Times New Roman" w:hAnsi="Times New Roman"/>
          <w:color w:val="000000"/>
          <w:sz w:val="24"/>
        </w:rPr>
        <w:t>Лисак 724 160</w:t>
      </w:r>
    </w:p>
    <w:p>
      <w:pPr>
        <w:pStyle w:val="Normal"/>
        <w:tabs>
          <w:tab w:val="clear" w:pos="306"/>
          <w:tab w:val="left" w:pos="4815" w:leader="none"/>
          <w:tab w:val="left" w:pos="9300" w:leader="none"/>
        </w:tabs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ab/>
        <w:tab/>
        <w:t>Додаток 2</w:t>
      </w:r>
    </w:p>
    <w:p>
      <w:pPr>
        <w:pStyle w:val="Normal"/>
        <w:ind w:left="9298" w:hanging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до </w:t>
      </w:r>
      <w:r>
        <w:rPr>
          <w:rFonts w:ascii="Times New Roman" w:hAnsi="Times New Roman"/>
          <w:sz w:val="28"/>
          <w:szCs w:val="28"/>
        </w:rPr>
        <w:t>Комплексної програми охорони</w:t>
      </w:r>
    </w:p>
    <w:p>
      <w:pPr>
        <w:pStyle w:val="Normal"/>
        <w:ind w:left="9298" w:hanging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довкілля Луцької міської </w:t>
      </w:r>
    </w:p>
    <w:p>
      <w:pPr>
        <w:pStyle w:val="Normal"/>
        <w:ind w:left="9298" w:hanging="0"/>
        <w:jc w:val="both"/>
        <w:rPr/>
      </w:pPr>
      <w:r>
        <w:rPr>
          <w:rFonts w:ascii="Times New Roman" w:hAnsi="Times New Roman"/>
          <w:sz w:val="28"/>
          <w:szCs w:val="28"/>
        </w:rPr>
        <w:t>територіальної громади</w:t>
      </w:r>
    </w:p>
    <w:p>
      <w:pPr>
        <w:pStyle w:val="Normal"/>
        <w:ind w:left="9241" w:hanging="0"/>
        <w:rPr/>
      </w:pPr>
      <w:r>
        <w:rPr>
          <w:rFonts w:ascii="Times New Roman" w:hAnsi="Times New Roman"/>
          <w:sz w:val="28"/>
          <w:szCs w:val="28"/>
        </w:rPr>
        <w:t>на 2022</w:t>
      </w:r>
      <w:r>
        <w:rPr>
          <w:color w:val="000000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>2030 роки</w:t>
      </w:r>
    </w:p>
    <w:p>
      <w:pPr>
        <w:pStyle w:val="Normal"/>
        <w:ind w:left="9072" w:hanging="0"/>
        <w:rPr/>
      </w:pPr>
      <w:r>
        <w:rPr/>
      </w:r>
    </w:p>
    <w:p>
      <w:pPr>
        <w:pStyle w:val="Normal"/>
        <w:widowControl/>
        <w:jc w:val="center"/>
        <w:rPr>
          <w:rFonts w:ascii="Times New Roman" w:hAnsi="Times New Roman" w:eastAsia="SimSun;宋体" w:cs="Times New Roman"/>
          <w:color w:val="000000"/>
          <w:sz w:val="28"/>
          <w:szCs w:val="28"/>
        </w:rPr>
      </w:pPr>
      <w:r>
        <w:rPr>
          <w:rFonts w:eastAsia="SimSun;宋体" w:cs="Times New Roman" w:ascii="Times New Roman" w:hAnsi="Times New Roman"/>
          <w:color w:val="000000"/>
          <w:sz w:val="28"/>
          <w:szCs w:val="28"/>
        </w:rPr>
        <w:t>Перелік завдань, заходів та результативні показники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Комплексної програми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охорони довкілля Луцької міської територіальної</w:t>
      </w:r>
    </w:p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громади  на 2022–2030 роки</w:t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tbl>
      <w:tblPr>
        <w:tblW w:w="15765" w:type="dxa"/>
        <w:jc w:val="left"/>
        <w:tblInd w:w="109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43"/>
        <w:gridCol w:w="4447"/>
        <w:gridCol w:w="2100"/>
        <w:gridCol w:w="1245"/>
        <w:gridCol w:w="1304"/>
        <w:gridCol w:w="1591"/>
        <w:gridCol w:w="2834"/>
      </w:tblGrid>
      <w:tr>
        <w:trPr/>
        <w:tc>
          <w:tcPr>
            <w:tcW w:w="2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Назва завдання</w:t>
            </w:r>
          </w:p>
        </w:tc>
        <w:tc>
          <w:tcPr>
            <w:tcW w:w="44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Назва заходу</w:t>
            </w:r>
          </w:p>
        </w:tc>
        <w:tc>
          <w:tcPr>
            <w:tcW w:w="2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Виконавці</w:t>
            </w:r>
          </w:p>
        </w:tc>
        <w:tc>
          <w:tcPr>
            <w:tcW w:w="12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Терміни виконання</w:t>
            </w:r>
          </w:p>
        </w:tc>
        <w:tc>
          <w:tcPr>
            <w:tcW w:w="2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Фінансування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Результативні показники</w:t>
            </w:r>
          </w:p>
        </w:tc>
      </w:tr>
      <w:tr>
        <w:trPr/>
        <w:tc>
          <w:tcPr>
            <w:tcW w:w="224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21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124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Джерела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Обсяги, тис. грн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3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І. Охорона і раціональне використання водних ресурсів</w:t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3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1. Біологічна меліорація водойм (зариблення, в т.ч. розробка наукового обґрунтування)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Збереження та примноження  біоресурсів, покращення стану водойм</w:t>
            </w:r>
          </w:p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</w:tr>
      <w:tr>
        <w:trPr>
          <w:trHeight w:val="2250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tLeast" w:line="24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2. Заходи щодо відновлення і підтримання сприятливого гідрологічного режиму, санітарного  стану та благоустрою  річок та водойм, створення водоохоронних зон (в т.ч. розробка проектної документації)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комітет, виконавчі органи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 xml:space="preserve">2029 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2030</w:t>
            </w:r>
          </w:p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920,0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1000,0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1000,0 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0" w:hanging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  <w:lang w:val="en-US"/>
              </w:rPr>
              <w:t>2700,0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C9211E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>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1000,0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1000,0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санітарно-екологічного стану водойм,  встановлення меж природоохоронних територій, забезпечення їх охорони.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Утримання в належному стані прибережних захисних смуг та водоохоронних зон річок та водойм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2028</w:t>
            </w:r>
          </w:p>
          <w:p>
            <w:pPr>
              <w:pStyle w:val="Normal"/>
              <w:jc w:val="center"/>
              <w:rPr>
                <w:color w:val="15846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2029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2030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158466"/>
                <w:sz w:val="24"/>
              </w:rPr>
            </w:pPr>
            <w:r>
              <w:rPr>
                <w:rFonts w:ascii="Times New Roman" w:hAnsi="Times New Roman"/>
                <w:color w:val="158466"/>
                <w:sz w:val="24"/>
              </w:rPr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b w:val="false"/>
                <w:bCs w:val="false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600,0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600,0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700,0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750,0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u w:val="none"/>
              </w:rPr>
              <w:t>700,0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1000,0</w:t>
            </w:r>
          </w:p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1000,0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Попередження заростання та замулення водних об’єктів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6"/>
              <w:spacing w:before="0" w:after="0"/>
              <w:jc w:val="both"/>
              <w:rPr>
                <w:rFonts w:ascii="Times New Roman" w:hAnsi="Times New Roman"/>
                <w:color w:val="000000"/>
                <w:spacing w:val="2"/>
                <w:lang w:val="uk-UA"/>
              </w:rPr>
            </w:pPr>
            <w:r>
              <w:rPr>
                <w:rFonts w:ascii="Times New Roman" w:hAnsi="Times New Roman"/>
                <w:color w:val="000000"/>
                <w:spacing w:val="2"/>
                <w:lang w:val="uk-UA"/>
              </w:rPr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ЖКГ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C9211E"/>
                <w:sz w:val="24"/>
              </w:rPr>
            </w:pPr>
            <w:r>
              <w:rPr>
                <w:rFonts w:ascii="Times New Roman" w:hAnsi="Times New Roman"/>
                <w:color w:val="C9211E"/>
                <w:sz w:val="24"/>
              </w:rPr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C9211E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>500,0</w:t>
            </w:r>
          </w:p>
          <w:p>
            <w:pPr>
              <w:pStyle w:val="Normal"/>
              <w:jc w:val="center"/>
              <w:rPr>
                <w:color w:val="C9211E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>500,0</w:t>
            </w:r>
          </w:p>
          <w:p>
            <w:pPr>
              <w:pStyle w:val="Normal"/>
              <w:jc w:val="center"/>
              <w:rPr>
                <w:color w:val="C9211E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>500,0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Санітарне прибирання, покращення рекреаційних можливостей використання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Очищення русел річок від повалених дерев, догляд за прибережними захисними смугами та водоохоронними зонами  (видалення аварійних, сухостійних, вітровальних, фаутних дерев) з метою покращення гідрологічного режиму та санітарного стану водних об'єктів</w:t>
            </w:r>
          </w:p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ЖКГ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2029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2030</w:t>
            </w:r>
          </w:p>
          <w:p>
            <w:pPr>
              <w:pStyle w:val="Normal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600,0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600,0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700,0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6"/>
              <w:spacing w:before="0" w:after="0"/>
              <w:ind w:left="-57" w:hanging="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pacing w:val="2"/>
                <w:lang w:val="uk-UA"/>
              </w:rPr>
              <w:t>Покращення гідрологічного режиму та санітарного стану водних об'єктів, відновлення судноплавства на р. Стир</w:t>
            </w:r>
          </w:p>
        </w:tc>
      </w:tr>
      <w:tr>
        <w:trPr>
          <w:trHeight w:val="614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6"/>
              <w:spacing w:before="0" w:after="0"/>
              <w:jc w:val="both"/>
              <w:rPr/>
            </w:pPr>
            <w:r>
              <w:rPr>
                <w:rFonts w:ascii="Times New Roman" w:hAnsi="Times New Roman"/>
                <w:color w:val="000000"/>
                <w:spacing w:val="2"/>
                <w:lang w:val="uk-UA"/>
              </w:rPr>
              <w:t>5. Відновлення гідрологічного режиму та санітарного стану заплави р. Стир в районі вул. Гнідавська — вул. Ковельська в м. Луцьку (в т.ч. розробка/коригування проєкту)</w:t>
            </w:r>
          </w:p>
          <w:p>
            <w:pPr>
              <w:pStyle w:val="Style36"/>
              <w:spacing w:before="0" w:after="0"/>
              <w:jc w:val="both"/>
              <w:rPr>
                <w:rFonts w:ascii="Times New Roman" w:hAnsi="Times New Roman"/>
                <w:color w:val="000000"/>
                <w:spacing w:val="2"/>
                <w:lang w:val="uk-UA"/>
              </w:rPr>
            </w:pPr>
            <w:r>
              <w:rPr>
                <w:rFonts w:ascii="Times New Roman" w:hAnsi="Times New Roman"/>
                <w:color w:val="000000"/>
                <w:spacing w:val="2"/>
                <w:lang w:val="uk-UA"/>
              </w:rPr>
            </w:r>
          </w:p>
          <w:p>
            <w:pPr>
              <w:pStyle w:val="Style36"/>
              <w:spacing w:before="0" w:after="0"/>
              <w:jc w:val="both"/>
              <w:rPr>
                <w:rFonts w:ascii="Times New Roman" w:hAnsi="Times New Roman"/>
                <w:color w:val="000000"/>
                <w:spacing w:val="2"/>
                <w:lang w:val="uk-UA"/>
              </w:rPr>
            </w:pPr>
            <w:r>
              <w:rPr>
                <w:rFonts w:ascii="Times New Roman" w:hAnsi="Times New Roman"/>
                <w:color w:val="000000"/>
                <w:spacing w:val="2"/>
                <w:lang w:val="uk-UA"/>
              </w:rPr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ЖКГ/ Виконавчий комітет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  <w:p>
            <w:pPr>
              <w:pStyle w:val="Normal"/>
              <w:jc w:val="center"/>
              <w:rPr>
                <w:color w:val="15846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2029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2030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158466"/>
                <w:sz w:val="24"/>
              </w:rPr>
            </w:pPr>
            <w:r>
              <w:rPr>
                <w:rFonts w:ascii="Times New Roman" w:hAnsi="Times New Roman"/>
                <w:color w:val="158466"/>
                <w:sz w:val="24"/>
              </w:rPr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Відповідно до ПКД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Очищення заплави від мулових осадів, поглиблення водойми, відновлення водообміну в гідрологічній системі 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6"/>
              <w:spacing w:before="0" w:after="0"/>
              <w:jc w:val="both"/>
              <w:rPr>
                <w:highlight w:val="yellow"/>
              </w:rPr>
            </w:pPr>
            <w:r>
              <w:rPr>
                <w:rFonts w:cs="Times New Roman" w:ascii="Times New Roman" w:hAnsi="Times New Roman"/>
                <w:color w:val="000000"/>
                <w:spacing w:val="2"/>
                <w:lang w:val="uk-UA"/>
              </w:rPr>
              <w:t>6. Реконструкція та відновлення водойми на території с. Прилуцьке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ЖКГ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Бюджет громади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highlight w:val="yellow"/>
              </w:rPr>
            </w:pPr>
            <w:bookmarkStart w:id="3" w:name="__DdeLink__1797_1591253645"/>
            <w:r>
              <w:rPr>
                <w:rFonts w:ascii="Times New Roman" w:hAnsi="Times New Roman"/>
                <w:color w:val="000000"/>
                <w:sz w:val="24"/>
              </w:rPr>
              <w:t>Відповідно до ПКД</w:t>
            </w:r>
            <w:bookmarkEnd w:id="3"/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Відновлення  водойми, розвиток рекреаційного потенціалу території, адаптація до кліматичних змін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6"/>
              <w:spacing w:before="0" w:after="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pacing w:val="2"/>
                <w:lang w:val="uk-UA"/>
              </w:rPr>
              <w:t>7. Будівництво локальних очисних споруд дощової каналізації на основних скидах у відкриті водойми міста (в т.ч. розробка проєкту)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/>
                <w:b/>
                <w:bCs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u w:val="none"/>
              </w:rPr>
              <w:t>Виконавчі органи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2028</w:t>
            </w:r>
          </w:p>
          <w:p>
            <w:pPr>
              <w:pStyle w:val="Normal"/>
              <w:jc w:val="center"/>
              <w:rPr>
                <w:color w:val="15846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2029</w:t>
            </w:r>
          </w:p>
          <w:p>
            <w:pPr>
              <w:pStyle w:val="Normal"/>
              <w:jc w:val="center"/>
              <w:rPr>
                <w:color w:val="15846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2030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Бюджет громади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Відповідно до ПКД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Покращить якість води у поверхневих водних об’єктах, не допускатиме   руйнування берегів водних об’єктів  на випусках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highlight w:val="yellow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8. Р</w:t>
            </w:r>
            <w:r>
              <w:rPr>
                <w:rFonts w:ascii="Times New Roman" w:hAnsi="Times New Roman"/>
                <w:color w:val="000000"/>
                <w:sz w:val="24"/>
              </w:rPr>
              <w:t>еконструкція гідротехнічних споруд (дамби, греблі, шлюзи, канали тощо)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/>
                <w:b/>
                <w:bCs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u w:val="none"/>
              </w:rPr>
              <w:t>Виконавчі органи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highlight w:val="yellow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15846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15846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2028</w:t>
            </w:r>
          </w:p>
          <w:p>
            <w:pPr>
              <w:pStyle w:val="Normal"/>
              <w:jc w:val="center"/>
              <w:rPr>
                <w:color w:val="15846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2029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2030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158466"/>
                <w:sz w:val="24"/>
              </w:rPr>
            </w:pPr>
            <w:r>
              <w:rPr>
                <w:rFonts w:ascii="Times New Roman" w:hAnsi="Times New Roman"/>
                <w:color w:val="158466"/>
                <w:sz w:val="24"/>
              </w:rPr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Бюджет громади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Відповідно до ПКД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Забезпечення стійкості штучно створених водних систем, можливість при потребі регулювати рівень води у об’єктах при настанні несприятливих явищ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повені, засухи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)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9. Роботи, пов'язані з поліпшенням технічного стану та благоустрою водойм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ЖКГ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Бюджет громади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Підвищить рекреаційний потенціал території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10. Паспортизація малих річок і водойм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Бюджет громади/</w:t>
            </w: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в т.ч. спецфонд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Створення передумов для збереження та раціонального використання водних ресурсів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11. Паспортизація гідротехнічних споруд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Виконавчий комітет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Бюджет громади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Створення передумов для збереження, захисту, надання в оренду</w:t>
            </w:r>
          </w:p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12. Реконструкція маслобензовловлювача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«Теремно Хліб»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якості стічних вод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13. Проведення лабораторного контролю за якісним складом стічних вод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«СКФ Україна»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якості стічних вод</w:t>
            </w:r>
          </w:p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14. Реконструкція радіального відстійника очисних споруд промислової каналізації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«Луцька КФК»</w:t>
            </w:r>
          </w:p>
          <w:p>
            <w:pPr>
              <w:pStyle w:val="Normal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якості стічних вод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15. Встановлення  ротаційного сепаратора для очищення води після установки з виготовлення картону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«Луцька картонно-паперова фабрика»</w:t>
            </w:r>
          </w:p>
          <w:p>
            <w:pPr>
              <w:pStyle w:val="Normal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якості стічних вод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16. Будівництво локальних очисних споруд стічних вод на дільниці галтування ролика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«СКФ Україна»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5500,0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якості стічних вод</w:t>
            </w:r>
          </w:p>
        </w:tc>
      </w:tr>
      <w:tr>
        <w:trPr>
          <w:trHeight w:val="1151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17. Реконструкція системи очищення дощових вод та розробка концепції повторного використання дощових  стоків для технічних потреб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«СКФ Україна»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якості очищення зливових стоків, раціональне використання природних ресурсів</w:t>
            </w:r>
          </w:p>
        </w:tc>
      </w:tr>
      <w:tr>
        <w:trPr>
          <w:trHeight w:val="1146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18. Розчищення русла та укріплення берегів р. Сапалаївка в місці скиду зливових вод з очисних споруд підприємства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«БАС Моторс»</w:t>
            </w:r>
          </w:p>
          <w:p>
            <w:pPr>
              <w:pStyle w:val="Normal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Попередження руйнування берегів річки, замулення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19. Проведення лабораторного контролю за якісним складом стічних вод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«БАС Моторс»</w:t>
            </w:r>
          </w:p>
          <w:p>
            <w:pPr>
              <w:pStyle w:val="Normal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якості стічних вод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20. Реконструкція насосного обладнання на очисних спорудах зливових вод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«БАС Моторс»</w:t>
            </w:r>
          </w:p>
          <w:p>
            <w:pPr>
              <w:pStyle w:val="Normal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Забезпечення безперебійної роботи та очищення стоків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3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21. Заходи на проведення очистки меліоративних каналів на території Центрального парку культури і відпочинку ім. Лесі Українки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ЖГК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Обласний бюджет/ Бюджет громади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500,0/500,0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500,0/1500,0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санітарного стану парку та водойм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</w:tr>
      <w:tr>
        <w:trPr/>
        <w:tc>
          <w:tcPr>
            <w:tcW w:w="224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3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  <w:lang w:bidi="ar-SA"/>
              </w:rPr>
              <w:t>22. Заходи з охорони підземних вод та ліквідації джерел їх забруднення, а саме</w:t>
            </w:r>
            <w:bookmarkStart w:id="4" w:name="__DdeLink__262_139132664"/>
            <w:r>
              <w:rPr>
                <w:rFonts w:ascii="Times New Roman" w:hAnsi="Times New Roman"/>
                <w:color w:val="000000"/>
                <w:sz w:val="24"/>
                <w:lang w:bidi="ar-SA"/>
              </w:rPr>
              <w:t xml:space="preserve"> розробка проєктно-кошторисної документації встановлення санітарно-захисних зон свердловин питного водопостачання</w:t>
            </w:r>
            <w:bookmarkEnd w:id="4"/>
            <w:r>
              <w:rPr>
                <w:rFonts w:ascii="Times New Roman" w:hAnsi="Times New Roman"/>
                <w:color w:val="000000"/>
                <w:sz w:val="24"/>
                <w:lang w:bidi="ar-SA"/>
              </w:rPr>
              <w:t xml:space="preserve"> та влаштування захисних огорож</w:t>
            </w:r>
          </w:p>
          <w:p>
            <w:pPr>
              <w:pStyle w:val="Style33"/>
              <w:jc w:val="both"/>
              <w:rPr>
                <w:rFonts w:ascii="Times New Roman" w:hAnsi="Times New Roman"/>
                <w:color w:val="000000"/>
                <w:sz w:val="24"/>
                <w:lang w:bidi="ar-SA"/>
              </w:rPr>
            </w:pPr>
            <w:r>
              <w:rPr>
                <w:rFonts w:ascii="Times New Roman" w:hAnsi="Times New Roman"/>
                <w:color w:val="000000"/>
                <w:sz w:val="24"/>
                <w:lang w:bidi="ar-SA"/>
              </w:rPr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306"/>
                <w:tab w:val="left" w:pos="0" w:leader="none"/>
              </w:tabs>
              <w:suppressAutoHyphens w:val="true"/>
              <w:bidi w:val="0"/>
              <w:spacing w:before="0" w:after="0"/>
              <w:ind w:left="0" w:right="-113" w:hanging="0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КП «Луцькводоканал»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Бюджет громади</w:t>
            </w: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/ в т.ч. спецфонд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850,0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Охорона підземних вод (джерел питного водопостачання)</w:t>
            </w:r>
          </w:p>
        </w:tc>
      </w:tr>
      <w:tr>
        <w:trPr/>
        <w:tc>
          <w:tcPr>
            <w:tcW w:w="224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23. Придбання обладнання для очищення поверхневих вод від забруднення, надмірної водної рослинності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306"/>
                <w:tab w:val="left" w:pos="0" w:leader="none"/>
              </w:tabs>
              <w:suppressAutoHyphens w:val="true"/>
              <w:bidi w:val="0"/>
              <w:spacing w:before="0" w:after="0"/>
              <w:ind w:left="0" w:right="-113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Виконавчий комітет, виконавчі органи, КП </w:t>
            </w:r>
            <w:r>
              <w:rPr>
                <w:rFonts w:eastAsia="NSimSun" w:cs="Mangal;Liberation Mono" w:ascii="Times New Roman" w:hAnsi="Times New Roman"/>
                <w:b w:val="false"/>
                <w:bCs w:val="false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Парки та сквери</w:t>
            </w:r>
            <w:r>
              <w:rPr>
                <w:rFonts w:eastAsia="NSimSun" w:cs="Mangal;Liberation Mono" w:ascii="Times New Roman" w:hAnsi="Times New Roman"/>
                <w:b w:val="false"/>
                <w:bCs w:val="false"/>
                <w:sz w:val="24"/>
                <w:szCs w:val="24"/>
              </w:rPr>
              <w:t>»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2028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Segoe UI" w:cs="Tahoma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</w:rPr>
              <w:t>Бюджет громади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0/5000,0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Покращення санітарного стану парків та водойм</w:t>
            </w:r>
          </w:p>
          <w:p>
            <w:pPr>
              <w:pStyle w:val="Normal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ІІ. Охорона атмосферного повітря</w:t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1. Придбання обладнання та обслуговування системи моніторингу атмосферного повітря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2029</w:t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2030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Забезпечення доступу громадян до екологічної інформації та оперативного реагування на виклики</w:t>
            </w:r>
          </w:p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2. Реконструкція вентиляційної системи від деревообробного обладнання столярної майстерні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«Теремно Хліб»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3. Проведення режимно-налагоджувальних робіт на котлоагрегатах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ДКП </w:t>
            </w:r>
            <w:r>
              <w:rPr>
                <w:rFonts w:eastAsia="NSimSun" w:cs="Mangal;Liberation Mono" w:ascii="Times New Roman" w:hAnsi="Times New Roman"/>
                <w:color w:val="000000"/>
                <w:sz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</w:rPr>
              <w:t>Луцьктепло</w:t>
            </w:r>
            <w:r>
              <w:rPr>
                <w:rFonts w:eastAsia="NSimSun" w:cs="Mangal;Liberation Mono"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245,0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270,0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360,0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360,0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4. Проведення лабораторного контролю викидів забруднювальних речовин в атмосферне повітря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«СКФ Україна»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5. Проведення інвентаризації джерел викидів забруднювальних речовин в атмосферне повітря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«СКФ Україна»</w:t>
            </w:r>
          </w:p>
          <w:p>
            <w:pPr>
              <w:pStyle w:val="Normal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6. Організація виробництва для очищення газопилового потоку (реконструкція ПГОУ)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«СКФ Україна»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7. Організація виробництва для очищення газопилового потоку (реконструкція ПГОУ)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«БАС Моторс»</w:t>
            </w:r>
          </w:p>
          <w:p>
            <w:pPr>
              <w:pStyle w:val="Normal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8. Проведення лабораторного контролю викидів забруднюючих речовин в атмосферне повітря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«БАС Моторс»</w:t>
            </w:r>
          </w:p>
          <w:p>
            <w:pPr>
              <w:pStyle w:val="Normal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9. Проведення режимно-налагоджувальних робіт на котлоагрегатах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«БАС Моторс»</w:t>
            </w:r>
          </w:p>
          <w:p>
            <w:pPr>
              <w:pStyle w:val="Normal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ІІІ. Охорона і  використання земель</w:t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24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1. Моніторинг стану забруднення ґрунтів</w:t>
            </w:r>
          </w:p>
          <w:p>
            <w:pPr>
              <w:pStyle w:val="Normal"/>
              <w:spacing w:lineRule="atLeast" w:line="24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Луцької міської територіальної громади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Не потребує коштів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за рівнем забруднення,  доступ до екологічної інформації</w:t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ІV. Охорона і раціональне використання </w:t>
              <w:br/>
              <w:t>природних рослинних ресурсів</w:t>
            </w:r>
          </w:p>
        </w:tc>
        <w:tc>
          <w:tcPr>
            <w:tcW w:w="444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tLeast" w:line="24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1. Заходи з озеленення </w:t>
            </w: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населених пунктів Луцької міської територіальної громади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Виконавчий комітет,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 xml:space="preserve">КП </w:t>
            </w:r>
            <w:r>
              <w:rPr>
                <w:rFonts w:eastAsia="NSimSun" w:cs="Mangal;Liberation Mono" w:ascii="Times New Roman" w:hAnsi="Times New Roman"/>
                <w:b w:val="false"/>
                <w:bCs w:val="false"/>
                <w:color w:val="000000"/>
                <w:sz w:val="24"/>
              </w:rPr>
              <w:t>«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Парки та сквери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м.Луцька</w:t>
            </w:r>
            <w:r>
              <w:rPr>
                <w:rFonts w:eastAsia="NSimSun" w:cs="Mangal;Liberation Mono" w:ascii="Times New Roman" w:hAnsi="Times New Roman"/>
                <w:b w:val="false"/>
                <w:bCs w:val="false"/>
                <w:color w:val="000000"/>
                <w:sz w:val="24"/>
              </w:rPr>
              <w:t>»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  <w:p>
            <w:pPr>
              <w:pStyle w:val="Normal"/>
              <w:jc w:val="center"/>
              <w:rPr>
                <w:color w:val="15846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2029</w:t>
            </w:r>
          </w:p>
          <w:p>
            <w:pPr>
              <w:pStyle w:val="Normal"/>
              <w:jc w:val="center"/>
              <w:rPr>
                <w:color w:val="15846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2030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  <w:p>
            <w:pPr>
              <w:pStyle w:val="Normal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380,0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9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600,0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600,0</w:t>
            </w:r>
          </w:p>
        </w:tc>
        <w:tc>
          <w:tcPr>
            <w:tcW w:w="283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Збільшення кількості зелених насаджень, адаптація до змін клімату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tLeast" w:line="24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ЖКГ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</w:tc>
        <w:tc>
          <w:tcPr>
            <w:tcW w:w="283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2. Ліквідація наслідків буреломів, сніголомів, вітровалів</w:t>
            </w:r>
          </w:p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комітет/ ДЖКГ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  <w:p>
            <w:pPr>
              <w:pStyle w:val="Normal"/>
              <w:jc w:val="center"/>
              <w:rPr>
                <w:color w:val="15846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2029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2030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 xml:space="preserve">Бюджет громадив/ </w:t>
            </w:r>
            <w:r>
              <w:rPr>
                <w:rFonts w:eastAsia="Segoe UI" w:cs="Tahoma" w:ascii="Times New Roman" w:hAnsi="Times New Roman"/>
                <w:b w:val="false"/>
                <w:bCs w:val="false"/>
                <w:color w:val="000000"/>
                <w:kern w:val="0"/>
                <w:sz w:val="24"/>
              </w:rPr>
              <w:t>т.ч. спецфонд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500,0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Забезпечення безпеки життя та здоров’я мешканців громади, мінімізація наслідків негативних природних явищ</w:t>
            </w:r>
          </w:p>
        </w:tc>
      </w:tr>
      <w:tr>
        <w:trPr>
          <w:trHeight w:val="1341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3. Заходи щодо запобігання інтродукції та поширення чужорідних видів рослин, які загрожують природним екосистемам (борщівник, амброзія та ін. )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комітет, ДЖКГ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  <w:p>
            <w:pPr>
              <w:pStyle w:val="Normal"/>
              <w:jc w:val="center"/>
              <w:rPr>
                <w:color w:val="15846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2029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2030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500,0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Захист та збереження природних екосистем, захист здоров’я мешканці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4. Проведення інвентаризації зелених насаджень, виготовлення документації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Виконавчий комітет, виконавчі органи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300,0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Захист та збереження природних екосистем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3"/>
              <w:spacing w:lineRule="atLeast" w:line="24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5. Обробка зелених насаджень від кліщів, комарів, білого американського метелика та ін.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ЖКГ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2029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2030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400,0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450,0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Захист та збереження природних екосистем від інвазійних видів, захист здоров’я мешканців, адаптація до змін клімату</w:t>
            </w:r>
          </w:p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6. Заходи з озеленення території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«СКФ Україна»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200,0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Збільшення кількості зелених насаджень, адаптація до змін клімату</w:t>
            </w:r>
          </w:p>
        </w:tc>
      </w:tr>
      <w:tr>
        <w:trPr>
          <w:trHeight w:val="1188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7. Заходи з озеленення території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«БАС Моторс»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Збільшення кількості зелених насаджень, адаптація до змін клімату</w:t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>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Охорона і раціональне використання </w:t>
              <w:br/>
              <w:t>ресурсів тваринного світу</w:t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1. Будівництво та облаштування притулку для утримання безпритульних тварин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Збереження біорізноманіття,  охорона ресурсів тваринного світу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2. Заходи щодо охорони тваринного світу та боротьби з браконьєрством (придбання матеріально-технічних засобів тощо)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Збереження біорізноманіття,  охорона ресурсів тваринного світу</w:t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VІ. Збереження природно-заповідного фонду</w:t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1. Утримання територій та об’єктів природно-заповідного фонду міської громади (знесення аварійних дерев, виготовлення та встановлення інформаційних стендів, виготовлення огородження, відновлення насаджень, косіння трави та чагарників, лікування насаджень)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Виконавчий комітет/ КП </w:t>
            </w:r>
            <w:r>
              <w:rPr>
                <w:rFonts w:eastAsia="NSimSun" w:cs="Mangal;Liberation Mono" w:ascii="Times New Roman" w:hAnsi="Times New Roman"/>
                <w:color w:val="000000"/>
                <w:sz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</w:rPr>
              <w:t>Парки та сквери міста Луцька</w:t>
            </w:r>
            <w:r>
              <w:rPr>
                <w:rFonts w:eastAsia="NSimSun" w:cs="Mangal;Liberation Mono"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  <w:p>
            <w:pPr>
              <w:pStyle w:val="Normal"/>
              <w:jc w:val="center"/>
              <w:rPr>
                <w:color w:val="15846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2029</w:t>
            </w:r>
          </w:p>
          <w:p>
            <w:pPr>
              <w:pStyle w:val="Normal"/>
              <w:jc w:val="center"/>
              <w:rPr>
                <w:color w:val="15846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2030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>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600,0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1000,0</w:t>
            </w:r>
          </w:p>
          <w:p>
            <w:pPr>
              <w:pStyle w:val="Normal"/>
              <w:jc w:val="center"/>
              <w:rPr>
                <w:color w:val="15846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800,0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Збереження біорізноманіття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2. Розроблення проєктів створення територій і об'єктів природно-заповідного фонду та організації їх територій, наукові дослідження видового складу флори та фауни, екосистемних послуг. </w:t>
            </w: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4"/>
              </w:rPr>
              <w:t> 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>Витрати на резервування територій для заповідання.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комітет, ДЖКГ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2029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2030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250,0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Захист  територій природо-заповідного фонду, їх раціональне не виснажливе використання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3. Розроблення документації із землеустрою для територій та об’єктів природно-заповідного фонду. Підготовка експертних висновків та наукових обґрунтувань</w:t>
            </w:r>
          </w:p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  <w:p>
            <w:pPr>
              <w:pStyle w:val="Normal"/>
              <w:jc w:val="center"/>
              <w:rPr>
                <w:color w:val="158466"/>
                <w:highlight w:val="yellow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2029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2030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158466"/>
                <w:sz w:val="24"/>
                <w:highlight w:val="yellow"/>
              </w:rPr>
            </w:pPr>
            <w:r>
              <w:rPr>
                <w:rFonts w:ascii="Times New Roman" w:hAnsi="Times New Roman"/>
                <w:color w:val="158466"/>
                <w:sz w:val="24"/>
                <w:highlight w:val="yellow"/>
              </w:rPr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</w:r>
          </w:p>
          <w:p>
            <w:pPr>
              <w:pStyle w:val="Normal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>285,0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2300,0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Захист  територій природо-заповідного фонду</w:t>
            </w:r>
          </w:p>
        </w:tc>
      </w:tr>
      <w:tr>
        <w:trPr>
          <w:trHeight w:val="1090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24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4. Діяльність щодо збереження видів тварин, занесених до Червоної книги України (придбання кормів)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  <w:p>
            <w:pPr>
              <w:pStyle w:val="Normal"/>
              <w:jc w:val="center"/>
              <w:rPr>
                <w:color w:val="158466"/>
                <w:highlight w:val="yellow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2029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2030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158466"/>
                <w:sz w:val="24"/>
                <w:highlight w:val="yellow"/>
              </w:rPr>
            </w:pPr>
            <w:r>
              <w:rPr>
                <w:rFonts w:ascii="Times New Roman" w:hAnsi="Times New Roman"/>
                <w:color w:val="158466"/>
                <w:sz w:val="24"/>
                <w:highlight w:val="yellow"/>
              </w:rPr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Збереження біорізноманіття та тварин занесених до Червоної книги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5. Створення Ботанічного саду на вул. Потебні в м. Луцьку</w:t>
            </w:r>
          </w:p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ВНУ ім. Лесі Українки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  <w:p>
            <w:pPr>
              <w:pStyle w:val="Normal"/>
              <w:jc w:val="center"/>
              <w:rPr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2029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2030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highlight w:val="yellow"/>
              </w:rPr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Інші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Відповідно до проєктної документації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Формування екомережі, збереження біорізноманіття</w:t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VІІ. Раціональне використання і зберігання </w:t>
              <w:br/>
              <w:t>відходів виробництва і побутових відходів</w:t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tLeast" w:line="24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1. Заходи щодо екологічно безпечного збирання, перевезення, зберігання, утилізації і знешкодження відходів (відпрацьовані люмінесцентні лампи, ртутні термометри, хімічні джерела струму, зношені шини та ін.)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Виконавчий комітет,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 xml:space="preserve">виконавчі органи, ЛСКАП </w:t>
            </w:r>
            <w:r>
              <w:rPr>
                <w:rFonts w:eastAsia="NSimSun" w:cs="Mangal;Liberation Mono" w:ascii="Times New Roman" w:hAnsi="Times New Roman"/>
                <w:b w:val="false"/>
                <w:bCs w:val="false"/>
                <w:color w:val="000000"/>
                <w:sz w:val="24"/>
              </w:rPr>
              <w:t>«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Луцькспецкомунтранс</w:t>
            </w:r>
            <w:r>
              <w:rPr>
                <w:rFonts w:eastAsia="NSimSun" w:cs="Mangal;Liberation Mono" w:ascii="Times New Roman" w:hAnsi="Times New Roman"/>
                <w:b w:val="false"/>
                <w:bCs w:val="false"/>
                <w:color w:val="000000"/>
                <w:sz w:val="24"/>
              </w:rPr>
              <w:t>»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  <w:p>
            <w:pPr>
              <w:pStyle w:val="Normal"/>
              <w:jc w:val="center"/>
              <w:rPr>
                <w:color w:val="158466"/>
                <w:highlight w:val="yellow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2029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2030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158466"/>
                <w:sz w:val="24"/>
                <w:highlight w:val="yellow"/>
              </w:rPr>
            </w:pPr>
            <w:r>
              <w:rPr>
                <w:rFonts w:ascii="Times New Roman" w:hAnsi="Times New Roman"/>
                <w:color w:val="158466"/>
                <w:sz w:val="24"/>
                <w:highlight w:val="yellow"/>
              </w:rPr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270,0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450,0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500,0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Вилучення небезпечних відходів із загального потоку ТПВ, зменшення забруднення довкілля</w:t>
            </w:r>
          </w:p>
        </w:tc>
      </w:tr>
      <w:tr>
        <w:trPr>
          <w:trHeight w:val="1223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2. П</w:t>
            </w: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 xml:space="preserve">ридбання  машин та обладнання для збору та транспортування побутових відходів,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 xml:space="preserve"> організації роздільного збору відходів.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Виконавчий комітет, ЛСКАП </w:t>
            </w:r>
            <w:r>
              <w:rPr>
                <w:rFonts w:eastAsia="NSimSun" w:cs="Mangal;Liberation Mono" w:ascii="Times New Roman" w:hAnsi="Times New Roman"/>
                <w:b w:val="false"/>
                <w:bCs w:val="false"/>
                <w:color w:val="000000"/>
                <w:sz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</w:rPr>
              <w:t>Луцькспецкомунтранс</w:t>
            </w:r>
            <w:r>
              <w:rPr>
                <w:rFonts w:eastAsia="NSimSun" w:cs="Mangal;Liberation Mono" w:ascii="Times New Roman" w:hAnsi="Times New Roman"/>
                <w:b w:val="false"/>
                <w:bCs w:val="false"/>
                <w:color w:val="000000"/>
                <w:sz w:val="24"/>
              </w:rPr>
              <w:t>»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  <w:p>
            <w:pPr>
              <w:pStyle w:val="Normal"/>
              <w:jc w:val="center"/>
              <w:rPr>
                <w:highlight w:val="yellow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2029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2030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highlight w:val="yellow"/>
              </w:rPr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150,0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50,0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1000,0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1000,0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1000,0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1000,0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Впровадження  роздільного збору  відходів у громаді за принципом “від дверей до дверей”.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3. Реконструкція місця зберігання небезпечних відходів (АКБ)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ind w:left="-57" w:right="-57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ПрАТ </w:t>
            </w:r>
            <w:r>
              <w:rPr>
                <w:rFonts w:eastAsia="NSimSun" w:cs="Mangal;Liberation Mono" w:ascii="Times New Roman" w:hAnsi="Times New Roman"/>
                <w:b w:val="false"/>
                <w:bCs w:val="false"/>
                <w:color w:val="000000"/>
                <w:sz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</w:rPr>
              <w:t>ТеремноХліб</w:t>
            </w:r>
            <w:r>
              <w:rPr>
                <w:rFonts w:eastAsia="NSimSun" w:cs="Mangal;Liberation Mono" w:ascii="Times New Roman" w:hAnsi="Times New Roman"/>
                <w:b w:val="false"/>
                <w:bCs w:val="false"/>
                <w:color w:val="000000"/>
                <w:sz w:val="24"/>
              </w:rPr>
              <w:t>»</w:t>
            </w:r>
          </w:p>
          <w:p>
            <w:pPr>
              <w:pStyle w:val="Normal"/>
              <w:ind w:left="-57" w:right="-57" w:hanging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Запобігання  забрудненню довкілля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4. Проєктування та встановлення системи для утилізації полімерних відходів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ПрАТ </w:t>
            </w:r>
            <w:r>
              <w:rPr>
                <w:rFonts w:eastAsia="NSimSun" w:cs="Mangal;Liberation Mono" w:ascii="Times New Roman" w:hAnsi="Times New Roman"/>
                <w:b w:val="false"/>
                <w:bCs w:val="false"/>
                <w:color w:val="000000"/>
                <w:sz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</w:rPr>
              <w:t>Луцька  КПФ</w:t>
            </w:r>
            <w:r>
              <w:rPr>
                <w:rFonts w:eastAsia="NSimSun" w:cs="Mangal;Liberation Mono" w:ascii="Times New Roman" w:hAnsi="Times New Roman"/>
                <w:b w:val="false"/>
                <w:bCs w:val="false"/>
                <w:color w:val="000000"/>
                <w:sz w:val="24"/>
              </w:rPr>
              <w:t>»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Раціональне використання відходів виробництва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tLeast" w:line="24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5. Утилізація промислових відходів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ПрАТ </w:t>
            </w:r>
            <w:r>
              <w:rPr>
                <w:rFonts w:eastAsia="NSimSun" w:cs="Mangal;Liberation Mono" w:ascii="Times New Roman" w:hAnsi="Times New Roman"/>
                <w:color w:val="000000"/>
                <w:sz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</w:rPr>
              <w:t>СКФ Україна</w:t>
            </w:r>
            <w:r>
              <w:rPr>
                <w:rFonts w:eastAsia="NSimSun" w:cs="Mangal;Liberation Mono"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Запобігання  забрудненню довкілля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6. Придбання обладнання для тимчасового зберігання небезпечних відходів (відпрацьовані люмінесцентні лампи)</w:t>
            </w:r>
          </w:p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ПрАТ </w:t>
            </w:r>
            <w:r>
              <w:rPr>
                <w:rFonts w:eastAsia="NSimSun" w:cs="Mangal;Liberation Mono" w:ascii="Times New Roman" w:hAnsi="Times New Roman"/>
                <w:color w:val="000000"/>
                <w:sz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</w:rPr>
              <w:t>СКФ Україна</w:t>
            </w:r>
            <w:r>
              <w:rPr>
                <w:rFonts w:eastAsia="NSimSun" w:cs="Mangal;Liberation Mono"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Запобігання  забрудненню довкілля</w:t>
            </w:r>
          </w:p>
        </w:tc>
      </w:tr>
      <w:tr>
        <w:trPr>
          <w:trHeight w:val="588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7. Реконструкція (модернізація) місця зберігання відходів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ПрАТ </w:t>
            </w:r>
            <w:r>
              <w:rPr>
                <w:rFonts w:eastAsia="NSimSun" w:cs="Mangal;Liberation Mono" w:ascii="Times New Roman" w:hAnsi="Times New Roman"/>
                <w:color w:val="000000"/>
                <w:sz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</w:rPr>
              <w:t>СКФ Україна</w:t>
            </w:r>
            <w:r>
              <w:rPr>
                <w:rFonts w:eastAsia="NSimSun" w:cs="Mangal;Liberation Mono" w:ascii="Times New Roman" w:hAnsi="Times New Roman"/>
                <w:color w:val="000000"/>
                <w:sz w:val="24"/>
              </w:rPr>
              <w:t>»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Запобігання  забрудненню довкілля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8. Р</w:t>
            </w:r>
            <w:r>
              <w:rPr>
                <w:rFonts w:ascii="Times New Roman" w:hAnsi="Times New Roman"/>
                <w:color w:val="000000"/>
                <w:sz w:val="24"/>
              </w:rPr>
              <w:t>озширення та реконструкція споруд, придбання та встановлення обладнання для збору, складування та утилізації промислових відходів виробництва</w:t>
            </w:r>
          </w:p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ПрАТ </w:t>
            </w:r>
            <w:r>
              <w:rPr>
                <w:rFonts w:eastAsia="NSimSun" w:cs="Mangal;Liberation Mono" w:ascii="Times New Roman" w:hAnsi="Times New Roman"/>
                <w:color w:val="000000"/>
                <w:sz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</w:rPr>
              <w:t>СКФ Україна</w:t>
            </w:r>
            <w:r>
              <w:rPr>
                <w:rFonts w:eastAsia="NSimSun" w:cs="Mangal;Liberation Mono"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Запобігання  забрудненню довкілля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9. Вдосконалення процесу сортування промислових відходів</w:t>
            </w:r>
          </w:p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bookmarkStart w:id="5" w:name="__DdeLink__2553_2386762147"/>
            <w:r>
              <w:rPr>
                <w:rFonts w:ascii="Times New Roman" w:hAnsi="Times New Roman"/>
                <w:color w:val="000000"/>
                <w:sz w:val="24"/>
              </w:rPr>
              <w:t xml:space="preserve">ПрАТ </w:t>
            </w:r>
            <w:r>
              <w:rPr>
                <w:rFonts w:eastAsia="NSimSun" w:cs="Mangal;Liberation Mono" w:ascii="Times New Roman" w:hAnsi="Times New Roman"/>
                <w:color w:val="000000"/>
                <w:sz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</w:rPr>
              <w:t>СКФ Україна</w:t>
            </w:r>
            <w:r>
              <w:rPr>
                <w:rFonts w:eastAsia="NSimSun" w:cs="Mangal;Liberation Mono" w:ascii="Times New Roman" w:hAnsi="Times New Roman"/>
                <w:color w:val="000000"/>
                <w:sz w:val="24"/>
              </w:rPr>
              <w:t>»</w:t>
            </w:r>
            <w:bookmarkEnd w:id="5"/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Раціональне використання відходів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tLeast" w:line="24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10. Утилізація промислових відходів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«БАС Моторс</w:t>
            </w:r>
            <w:r>
              <w:rPr>
                <w:rFonts w:eastAsia="NSimSun" w:cs="Mangal;Liberation Mono" w:ascii="Times New Roman" w:hAnsi="Times New Roman"/>
                <w:b w:val="false"/>
                <w:bCs w:val="false"/>
                <w:color w:val="000000"/>
                <w:kern w:val="0"/>
                <w:sz w:val="24"/>
              </w:rPr>
              <w:t>»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35,0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35,0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35,0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35,0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Запобігання  забрудненню довкілля</w:t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VІІІ. Наука, інформація і освіта, забезпечення участі у діяльності</w:t>
              <w:br/>
              <w:t>міжнародних організацій природоохоронного спрямування</w:t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1. Придбання засобів та обладнання для оснащення ними природоохоронних організацій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Бюджет громади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2200,0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Організація належного контролю за  порушеннями  природоохоронного законодавства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2. Проведення наукових досліджень (моніторинг якості атмосферного повітря, поверхневих вод тощо)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  <w:p>
            <w:pPr>
              <w:pStyle w:val="Normal"/>
              <w:jc w:val="center"/>
              <w:rPr>
                <w:color w:val="158466"/>
                <w:highlight w:val="yellow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2029</w:t>
            </w:r>
          </w:p>
          <w:p>
            <w:pPr>
              <w:pStyle w:val="Normal"/>
              <w:jc w:val="center"/>
              <w:rPr>
                <w:color w:val="158466"/>
                <w:highlight w:val="yellow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2030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Обласний бюджет/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Бюджет громади </w:t>
            </w: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в т.ч. спецфонд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65,0/30,0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50,0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Забезпечення рівноваги природних систем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3. Заходи зі збереження біорізноманіття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2029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2030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150,0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Створення умов для збереження біорізноманіття, покращення обізнаності  дітей та молоді  з  питань  біорізноманіття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4. Створення та обслуговування  автоматизованих геоінформаційних систем та приладів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  <w:p>
            <w:pPr>
              <w:pStyle w:val="Normal"/>
              <w:jc w:val="center"/>
              <w:rPr>
                <w:color w:val="15846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2029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2030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Бюджет громади/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в т.ч. спецфонд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Створення та забезпечення функціювання місцевих екологічних АІС, доступу до екологічної інформації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5. Проведення науково-технічних конференцій і семінарів, організація фестивалів та інших заходів щодо пропаганди охорони навколишнього природного середовища, видання поліграфічної продукції з екологічної тематики, створення бібліотек, відеотек, фонотек тощо(в т.ч. придбання одноразових рукавиць та пакетів для сміття в рамках проведення міських екологічних акцій), розробка СЕО ДДП.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2028</w:t>
            </w:r>
          </w:p>
          <w:p>
            <w:pPr>
              <w:pStyle w:val="Normal"/>
              <w:jc w:val="center"/>
              <w:rPr>
                <w:color w:val="15846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2029</w:t>
            </w:r>
          </w:p>
          <w:p>
            <w:pPr>
              <w:pStyle w:val="Normal"/>
              <w:jc w:val="center"/>
              <w:rPr>
                <w:color w:val="15846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2030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b w:val="false"/>
                <w:bCs w:val="false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300,0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700,0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300,0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400,0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400,0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Очищення довкілля в ході  загальноміських  акцій, популяризація природоохоронної діяльності</w:t>
            </w:r>
          </w:p>
        </w:tc>
      </w:tr>
      <w:tr>
        <w:trPr>
          <w:trHeight w:val="1020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6. Організація і здійснення робіт з екологічної освіти, підготовки кадрів, підвищення кваліфікації та обміну досвідом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  <w:p>
            <w:pPr>
              <w:pStyle w:val="Normal"/>
              <w:jc w:val="center"/>
              <w:rPr>
                <w:b/>
                <w:b/>
                <w:bCs/>
                <w:color w:val="15846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2029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2030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50,0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bookmarkStart w:id="6" w:name="__DdeLink__2169_771351238"/>
            <w:r>
              <w:rPr>
                <w:rFonts w:ascii="Times New Roman" w:hAnsi="Times New Roman"/>
                <w:color w:val="000000"/>
                <w:sz w:val="24"/>
              </w:rPr>
              <w:t>П</w:t>
            </w:r>
            <w:bookmarkEnd w:id="6"/>
            <w:r>
              <w:rPr>
                <w:rFonts w:ascii="Times New Roman" w:hAnsi="Times New Roman"/>
                <w:color w:val="000000"/>
                <w:sz w:val="24"/>
              </w:rPr>
              <w:t>ідвищення інституційної спроможності працівників природоохоронної сфери.</w:t>
            </w:r>
          </w:p>
        </w:tc>
      </w:tr>
      <w:tr>
        <w:trPr>
          <w:trHeight w:val="1445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7. Проведення семінарів, круглих столів, конференцій з питань сучасних екологічних проблем, видання поліграфічної продукції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ВНУ ім. Лесі Українки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Популяризація природоохоронної діяльності, підвищення поінформованості громади  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8. Підвищення кваліфікації працівників  у сфері охорони навколишнього природного середовища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ПрАТ </w:t>
            </w:r>
            <w:r>
              <w:rPr>
                <w:rFonts w:eastAsia="NSimSun" w:cs="Mangal;Liberation Mono" w:ascii="Times New Roman" w:hAnsi="Times New Roman"/>
                <w:color w:val="000000"/>
                <w:sz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</w:rPr>
              <w:t>СКФ Україна</w:t>
            </w:r>
            <w:r>
              <w:rPr>
                <w:rFonts w:eastAsia="NSimSun" w:cs="Mangal;Liberation Mono"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Поширення екологічний знань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9. Підвищення кваліфікації працівників  у сфері охорони навколишнього природного середовища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«БАС Моторс</w:t>
            </w:r>
            <w:r>
              <w:rPr>
                <w:rFonts w:eastAsia="NSimSun" w:cs="Mangal;Liberation Mono" w:ascii="Times New Roman" w:hAnsi="Times New Roman"/>
                <w:b w:val="false"/>
                <w:bCs w:val="false"/>
                <w:color w:val="000000"/>
                <w:kern w:val="0"/>
                <w:sz w:val="24"/>
              </w:rPr>
              <w:t>»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Поширення екологічний знань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10. Атестація лабораторії  підприємства  для здійснення моніторингу атмосферного повітря та стічних вод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«БАС Моторс</w:t>
            </w:r>
            <w:r>
              <w:rPr>
                <w:rFonts w:eastAsia="NSimSun" w:cs="Mangal;Liberation Mono" w:ascii="Times New Roman" w:hAnsi="Times New Roman"/>
                <w:b w:val="false"/>
                <w:bCs w:val="false"/>
                <w:color w:val="000000"/>
                <w:kern w:val="0"/>
                <w:sz w:val="24"/>
              </w:rPr>
              <w:t>»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35,0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Забезпечення  контролю за станом довкілля</w:t>
            </w:r>
          </w:p>
        </w:tc>
      </w:tr>
      <w:tr>
        <w:trPr/>
        <w:tc>
          <w:tcPr>
            <w:tcW w:w="224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4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11. Забезпечення міжнародної діяльності природоохоронного спрямування та участь у заходах як сторони міжнародних двосторонніх та багатосторонніх угод, у тому числі сплата членських внесків.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Виконавчий комітет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2026 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2027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2028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2029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2030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200,0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Проходження сертифікаційного аудиту в Програмі </w:t>
            </w:r>
            <w:r>
              <w:rPr>
                <w:rFonts w:eastAsia="NSimSun" w:cs="Mangal;Liberation Mono"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Міста — Нуль Відходів</w:t>
            </w:r>
            <w:r>
              <w:rPr>
                <w:rFonts w:eastAsia="NSimSun" w:cs="Mangal;Liberation Mono"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rPr>
          <w:trHeight w:val="315" w:hRule="atLeast"/>
        </w:trPr>
        <w:tc>
          <w:tcPr>
            <w:tcW w:w="1293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Всього за роками, </w:t>
            </w:r>
            <w:r>
              <w:rPr>
                <w:rFonts w:cs="Times New Roman" w:ascii="Times New Roman" w:hAnsi="Times New Roman"/>
                <w:color w:val="000000"/>
                <w:sz w:val="24"/>
              </w:rPr>
              <w:t xml:space="preserve">млн. грн, </w:t>
            </w:r>
            <w:r>
              <w:rPr>
                <w:rFonts w:ascii="Times New Roman" w:hAnsi="Times New Roman"/>
                <w:color w:val="000000"/>
                <w:sz w:val="24"/>
              </w:rPr>
              <w:t>в тому числі: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</w:rPr>
            </w:pPr>
            <w:bookmarkStart w:id="7" w:name="__DdeLink__2063_2822382465_копія_1"/>
            <w:bookmarkEnd w:id="7"/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</w:rPr>
              <w:t>149 734,0</w:t>
            </w:r>
          </w:p>
        </w:tc>
      </w:tr>
      <w:tr>
        <w:trPr/>
        <w:tc>
          <w:tcPr>
            <w:tcW w:w="1293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20 341,0</w:t>
            </w:r>
          </w:p>
        </w:tc>
      </w:tr>
      <w:tr>
        <w:trPr/>
        <w:tc>
          <w:tcPr>
            <w:tcW w:w="1293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</w:rPr>
            </w:pPr>
            <w:bookmarkStart w:id="8" w:name="__DdeLink__2853_2295493619"/>
            <w:r>
              <w:rPr>
                <w:rFonts w:cs="Times New Roman" w:ascii="Times New Roman" w:hAnsi="Times New Roman"/>
                <w:color w:val="000000"/>
                <w:sz w:val="24"/>
              </w:rPr>
              <w:t>3</w:t>
            </w:r>
            <w:r>
              <w:rPr>
                <w:rFonts w:cs="Times New Roman" w:ascii="Times New Roman" w:hAnsi="Times New Roman"/>
                <w:color w:val="000000"/>
                <w:sz w:val="24"/>
                <w:lang w:val="en-US"/>
              </w:rPr>
              <w:t>4 496,0</w:t>
            </w:r>
            <w:bookmarkEnd w:id="8"/>
          </w:p>
        </w:tc>
      </w:tr>
      <w:tr>
        <w:trPr/>
        <w:tc>
          <w:tcPr>
            <w:tcW w:w="1293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20 896,0</w:t>
            </w:r>
          </w:p>
        </w:tc>
      </w:tr>
      <w:tr>
        <w:trPr/>
        <w:tc>
          <w:tcPr>
            <w:tcW w:w="1293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A933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00A933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</w:rPr>
              <w:t>21 031,0</w:t>
            </w:r>
          </w:p>
        </w:tc>
      </w:tr>
      <w:tr>
        <w:trPr/>
        <w:tc>
          <w:tcPr>
            <w:tcW w:w="1293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A933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 xml:space="preserve">14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60,0</w:t>
            </w:r>
          </w:p>
        </w:tc>
      </w:tr>
      <w:tr>
        <w:trPr/>
        <w:tc>
          <w:tcPr>
            <w:tcW w:w="1293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A933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8 260,0</w:t>
            </w:r>
          </w:p>
        </w:tc>
      </w:tr>
      <w:tr>
        <w:trPr/>
        <w:tc>
          <w:tcPr>
            <w:tcW w:w="1293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A933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13 500,0</w:t>
            </w:r>
          </w:p>
        </w:tc>
      </w:tr>
      <w:tr>
        <w:trPr/>
        <w:tc>
          <w:tcPr>
            <w:tcW w:w="1293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rFonts w:ascii="Times New Roman" w:hAnsi="Times New Roman"/>
                <w:color w:val="C9211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2029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8 400,0</w:t>
            </w:r>
          </w:p>
        </w:tc>
      </w:tr>
      <w:tr>
        <w:trPr/>
        <w:tc>
          <w:tcPr>
            <w:tcW w:w="1293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rFonts w:ascii="Times New Roman" w:hAnsi="Times New Roman"/>
                <w:color w:val="C9211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2030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8 650,0</w:t>
            </w:r>
          </w:p>
        </w:tc>
      </w:tr>
      <w:tr>
        <w:trPr/>
        <w:tc>
          <w:tcPr>
            <w:tcW w:w="1293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Всього за джерелами фінансування, у тому числі:                                                                                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  <w:t>коштів бюджету громади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4"/>
              </w:rPr>
              <w:t>87 245,0</w:t>
            </w:r>
          </w:p>
        </w:tc>
      </w:tr>
      <w:tr>
        <w:trPr/>
        <w:tc>
          <w:tcPr>
            <w:tcW w:w="1293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  <w:t>коштів інших джерел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color w:val="000000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4"/>
              </w:rPr>
              <w:t>62 489,0</w:t>
            </w:r>
          </w:p>
        </w:tc>
      </w:tr>
    </w:tbl>
    <w:p>
      <w:pPr>
        <w:pStyle w:val="Normal"/>
        <w:tabs>
          <w:tab w:val="clear" w:pos="306"/>
          <w:tab w:val="left" w:pos="4815" w:leader="none"/>
        </w:tabs>
        <w:jc w:val="both"/>
        <w:rPr/>
      </w:pPr>
      <w:r>
        <w:rPr/>
      </w:r>
    </w:p>
    <w:p>
      <w:pPr>
        <w:pStyle w:val="Normal"/>
        <w:tabs>
          <w:tab w:val="clear" w:pos="306"/>
          <w:tab w:val="left" w:pos="4815" w:leader="none"/>
        </w:tabs>
        <w:jc w:val="both"/>
        <w:rPr/>
      </w:pPr>
      <w:r>
        <w:rPr>
          <w:rFonts w:cs="Times New Roman" w:ascii="Times New Roman" w:hAnsi="Times New Roman"/>
          <w:color w:val="000000"/>
          <w:sz w:val="24"/>
        </w:rPr>
        <w:t>Лисак 724 160</w:t>
      </w:r>
    </w:p>
    <w:sectPr>
      <w:headerReference w:type="default" r:id="rId4"/>
      <w:type w:val="nextPage"/>
      <w:pgSz w:orient="landscape" w:w="16838" w:h="11906"/>
      <w:pgMar w:left="567" w:right="567" w:header="1701" w:top="1758" w:footer="0" w:bottom="1701" w:gutter="0"/>
      <w:pgNumType w:start="3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Arial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1"/>
      <w:jc w:val="center"/>
      <w:rPr>
        <w:sz w:val="28"/>
        <w:szCs w:val="28"/>
      </w:rPr>
    </w:pPr>
    <w:r>
      <w:rPr>
        <w:sz w:val="28"/>
        <w:szCs w:val="28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1"/>
      <w:jc w:val="center"/>
      <w:rPr/>
    </w:pPr>
    <w:r>
      <w:rPr>
        <w:sz w:val="28"/>
        <w:szCs w:val="28"/>
      </w:rPr>
      <w:fldChar w:fldCharType="begin"/>
    </w:r>
    <w:r>
      <w:rPr>
        <w:sz w:val="28"/>
        <w:szCs w:val="28"/>
      </w:rPr>
      <w:instrText> PAGE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2</w:t>
    </w:r>
    <w:r>
      <w:rPr>
        <w:sz w:val="28"/>
        <w:szCs w:val="28"/>
      </w:rPr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380822922"/>
    </w:sdtPr>
    <w:sdtContent>
      <w:p>
        <w:pPr>
          <w:pStyle w:val="Style31"/>
          <w:jc w:val="center"/>
          <w:rPr/>
        </w:pPr>
        <w:r>
          <w:rPr>
            <w:rFonts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ascii="Times New Roman" w:hAnsi="Times New Roman"/>
          </w:rPr>
          <w:instrText> PAGE </w:instrText>
        </w:r>
        <w:r>
          <w:rPr>
            <w:sz w:val="28"/>
            <w:szCs w:val="28"/>
            <w:rFonts w:ascii="Times New Roman" w:hAnsi="Times New Roman"/>
          </w:rPr>
          <w:fldChar w:fldCharType="separate"/>
        </w:r>
        <w:r>
          <w:rPr>
            <w:sz w:val="28"/>
            <w:szCs w:val="28"/>
            <w:rFonts w:ascii="Times New Roman" w:hAnsi="Times New Roman"/>
          </w:rPr>
          <w:t>3</w:t>
        </w:r>
        <w:r>
          <w:rPr>
            <w:sz w:val="28"/>
            <w:szCs w:val="28"/>
            <w:rFonts w:ascii="Times New Roman" w:hAnsi="Times New Roman"/>
          </w:rPr>
          <w:fldChar w:fldCharType="end"/>
        </w:r>
      </w:p>
    </w:sdtContent>
  </w:sdt>
  <w:p>
    <w:pPr>
      <w:pStyle w:val="Style3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306"/>
  <w:autoHyphenation w:val="fals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90da3"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NSimSun" w:cs="Mangal;Liberation Mono"/>
      <w:color w:val="auto"/>
      <w:kern w:val="2"/>
      <w:sz w:val="22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11"/>
    <w:uiPriority w:val="9"/>
    <w:qFormat/>
    <w:rsid w:val="0041163d"/>
    <w:rPr>
      <w:rFonts w:ascii="Cambria" w:hAnsi="Cambria" w:eastAsia="" w:cs="Mangal" w:asciiTheme="majorHAnsi" w:eastAsiaTheme="majorEastAsia" w:hAnsiTheme="majorHAnsi"/>
      <w:b/>
      <w:bCs/>
      <w:kern w:val="2"/>
      <w:sz w:val="32"/>
      <w:szCs w:val="29"/>
      <w:lang w:eastAsia="zh-CN" w:bidi="hi-IN"/>
    </w:rPr>
  </w:style>
  <w:style w:type="character" w:styleId="Heading2Char" w:customStyle="1">
    <w:name w:val="Heading 2 Char"/>
    <w:basedOn w:val="DefaultParagraphFont"/>
    <w:link w:val="21"/>
    <w:uiPriority w:val="9"/>
    <w:semiHidden/>
    <w:qFormat/>
    <w:rsid w:val="0041163d"/>
    <w:rPr>
      <w:rFonts w:ascii="Cambria" w:hAnsi="Cambria" w:eastAsia="" w:cs="Mangal" w:asciiTheme="majorHAnsi" w:eastAsiaTheme="majorEastAsia" w:hAnsiTheme="majorHAnsi"/>
      <w:b/>
      <w:bCs/>
      <w:i/>
      <w:iCs/>
      <w:kern w:val="2"/>
      <w:sz w:val="28"/>
      <w:szCs w:val="25"/>
      <w:lang w:eastAsia="zh-CN" w:bidi="hi-IN"/>
    </w:rPr>
  </w:style>
  <w:style w:type="character" w:styleId="WW8Num1z0" w:customStyle="1">
    <w:name w:val="WW8Num1z0"/>
    <w:uiPriority w:val="99"/>
    <w:qFormat/>
    <w:rsid w:val="00190da3"/>
    <w:rPr/>
  </w:style>
  <w:style w:type="character" w:styleId="WW8Num1z1" w:customStyle="1">
    <w:name w:val="WW8Num1z1"/>
    <w:uiPriority w:val="99"/>
    <w:qFormat/>
    <w:rsid w:val="00190da3"/>
    <w:rPr/>
  </w:style>
  <w:style w:type="character" w:styleId="WW8Num1z2" w:customStyle="1">
    <w:name w:val="WW8Num1z2"/>
    <w:uiPriority w:val="99"/>
    <w:qFormat/>
    <w:rsid w:val="00190da3"/>
    <w:rPr/>
  </w:style>
  <w:style w:type="character" w:styleId="WW8Num1z3" w:customStyle="1">
    <w:name w:val="WW8Num1z3"/>
    <w:uiPriority w:val="99"/>
    <w:qFormat/>
    <w:rsid w:val="00190da3"/>
    <w:rPr/>
  </w:style>
  <w:style w:type="character" w:styleId="WW8Num1z4" w:customStyle="1">
    <w:name w:val="WW8Num1z4"/>
    <w:uiPriority w:val="99"/>
    <w:qFormat/>
    <w:rsid w:val="00190da3"/>
    <w:rPr/>
  </w:style>
  <w:style w:type="character" w:styleId="WW8Num1z5" w:customStyle="1">
    <w:name w:val="WW8Num1z5"/>
    <w:uiPriority w:val="99"/>
    <w:qFormat/>
    <w:rsid w:val="00190da3"/>
    <w:rPr/>
  </w:style>
  <w:style w:type="character" w:styleId="WW8Num1z6" w:customStyle="1">
    <w:name w:val="WW8Num1z6"/>
    <w:uiPriority w:val="99"/>
    <w:qFormat/>
    <w:rsid w:val="00190da3"/>
    <w:rPr/>
  </w:style>
  <w:style w:type="character" w:styleId="WW8Num1z7" w:customStyle="1">
    <w:name w:val="WW8Num1z7"/>
    <w:uiPriority w:val="99"/>
    <w:qFormat/>
    <w:rsid w:val="00190da3"/>
    <w:rPr/>
  </w:style>
  <w:style w:type="character" w:styleId="WW8Num1z8" w:customStyle="1">
    <w:name w:val="WW8Num1z8"/>
    <w:uiPriority w:val="99"/>
    <w:qFormat/>
    <w:rsid w:val="00190da3"/>
    <w:rPr/>
  </w:style>
  <w:style w:type="character" w:styleId="2" w:customStyle="1">
    <w:name w:val="Основной шрифт абзаца2"/>
    <w:uiPriority w:val="99"/>
    <w:qFormat/>
    <w:rsid w:val="00190da3"/>
    <w:rPr/>
  </w:style>
  <w:style w:type="character" w:styleId="WW8Num2z0" w:customStyle="1">
    <w:name w:val="WW8Num2z0"/>
    <w:uiPriority w:val="99"/>
    <w:qFormat/>
    <w:rsid w:val="00190da3"/>
    <w:rPr/>
  </w:style>
  <w:style w:type="character" w:styleId="WW8Num2z1" w:customStyle="1">
    <w:name w:val="WW8Num2z1"/>
    <w:uiPriority w:val="99"/>
    <w:qFormat/>
    <w:rsid w:val="00190da3"/>
    <w:rPr/>
  </w:style>
  <w:style w:type="character" w:styleId="WW8Num2z2" w:customStyle="1">
    <w:name w:val="WW8Num2z2"/>
    <w:uiPriority w:val="99"/>
    <w:qFormat/>
    <w:rsid w:val="00190da3"/>
    <w:rPr/>
  </w:style>
  <w:style w:type="character" w:styleId="WW8Num2z3" w:customStyle="1">
    <w:name w:val="WW8Num2z3"/>
    <w:uiPriority w:val="99"/>
    <w:qFormat/>
    <w:rsid w:val="00190da3"/>
    <w:rPr/>
  </w:style>
  <w:style w:type="character" w:styleId="WW8Num2z4" w:customStyle="1">
    <w:name w:val="WW8Num2z4"/>
    <w:uiPriority w:val="99"/>
    <w:qFormat/>
    <w:rsid w:val="00190da3"/>
    <w:rPr/>
  </w:style>
  <w:style w:type="character" w:styleId="WW8Num2z5" w:customStyle="1">
    <w:name w:val="WW8Num2z5"/>
    <w:uiPriority w:val="99"/>
    <w:qFormat/>
    <w:rsid w:val="00190da3"/>
    <w:rPr/>
  </w:style>
  <w:style w:type="character" w:styleId="WW8Num2z6" w:customStyle="1">
    <w:name w:val="WW8Num2z6"/>
    <w:uiPriority w:val="99"/>
    <w:qFormat/>
    <w:rsid w:val="00190da3"/>
    <w:rPr/>
  </w:style>
  <w:style w:type="character" w:styleId="WW8Num2z7" w:customStyle="1">
    <w:name w:val="WW8Num2z7"/>
    <w:uiPriority w:val="99"/>
    <w:qFormat/>
    <w:rsid w:val="00190da3"/>
    <w:rPr/>
  </w:style>
  <w:style w:type="character" w:styleId="WW8Num2z8" w:customStyle="1">
    <w:name w:val="WW8Num2z8"/>
    <w:uiPriority w:val="99"/>
    <w:qFormat/>
    <w:rsid w:val="00190da3"/>
    <w:rPr/>
  </w:style>
  <w:style w:type="character" w:styleId="WW8Num3z0" w:customStyle="1">
    <w:name w:val="WW8Num3z0"/>
    <w:uiPriority w:val="99"/>
    <w:qFormat/>
    <w:rsid w:val="00190da3"/>
    <w:rPr/>
  </w:style>
  <w:style w:type="character" w:styleId="WW8Num3z1" w:customStyle="1">
    <w:name w:val="WW8Num3z1"/>
    <w:uiPriority w:val="99"/>
    <w:qFormat/>
    <w:rsid w:val="00190da3"/>
    <w:rPr/>
  </w:style>
  <w:style w:type="character" w:styleId="WW8Num3z2" w:customStyle="1">
    <w:name w:val="WW8Num3z2"/>
    <w:uiPriority w:val="99"/>
    <w:qFormat/>
    <w:rsid w:val="00190da3"/>
    <w:rPr/>
  </w:style>
  <w:style w:type="character" w:styleId="WW8Num3z3" w:customStyle="1">
    <w:name w:val="WW8Num3z3"/>
    <w:uiPriority w:val="99"/>
    <w:qFormat/>
    <w:rsid w:val="00190da3"/>
    <w:rPr/>
  </w:style>
  <w:style w:type="character" w:styleId="WW8Num3z4" w:customStyle="1">
    <w:name w:val="WW8Num3z4"/>
    <w:uiPriority w:val="99"/>
    <w:qFormat/>
    <w:rsid w:val="00190da3"/>
    <w:rPr/>
  </w:style>
  <w:style w:type="character" w:styleId="WW8Num3z5" w:customStyle="1">
    <w:name w:val="WW8Num3z5"/>
    <w:uiPriority w:val="99"/>
    <w:qFormat/>
    <w:rsid w:val="00190da3"/>
    <w:rPr/>
  </w:style>
  <w:style w:type="character" w:styleId="WW8Num3z6" w:customStyle="1">
    <w:name w:val="WW8Num3z6"/>
    <w:uiPriority w:val="99"/>
    <w:qFormat/>
    <w:rsid w:val="00190da3"/>
    <w:rPr/>
  </w:style>
  <w:style w:type="character" w:styleId="WW8Num3z7" w:customStyle="1">
    <w:name w:val="WW8Num3z7"/>
    <w:uiPriority w:val="99"/>
    <w:qFormat/>
    <w:rsid w:val="00190da3"/>
    <w:rPr/>
  </w:style>
  <w:style w:type="character" w:styleId="WW8Num3z8" w:customStyle="1">
    <w:name w:val="WW8Num3z8"/>
    <w:uiPriority w:val="99"/>
    <w:qFormat/>
    <w:rsid w:val="00190da3"/>
    <w:rPr/>
  </w:style>
  <w:style w:type="character" w:styleId="1" w:customStyle="1">
    <w:name w:val="Основной шрифт абзаца1"/>
    <w:uiPriority w:val="99"/>
    <w:qFormat/>
    <w:rsid w:val="00190da3"/>
    <w:rPr/>
  </w:style>
  <w:style w:type="character" w:styleId="Style14" w:customStyle="1">
    <w:name w:val="Верхний колонтитул Знак"/>
    <w:uiPriority w:val="99"/>
    <w:qFormat/>
    <w:rsid w:val="00190da3"/>
    <w:rPr>
      <w:rFonts w:ascii="Calibri" w:hAnsi="Calibri" w:eastAsia="NSimSun"/>
      <w:kern w:val="2"/>
      <w:sz w:val="24"/>
      <w:lang w:eastAsia="zh-CN"/>
    </w:rPr>
  </w:style>
  <w:style w:type="character" w:styleId="Style15" w:customStyle="1">
    <w:name w:val="Нижний колонтитул Знак"/>
    <w:uiPriority w:val="99"/>
    <w:qFormat/>
    <w:rsid w:val="00190da3"/>
    <w:rPr>
      <w:rFonts w:ascii="Calibri" w:hAnsi="Calibri" w:eastAsia="NSimSun"/>
      <w:kern w:val="2"/>
      <w:sz w:val="24"/>
      <w:lang w:eastAsia="zh-CN"/>
    </w:rPr>
  </w:style>
  <w:style w:type="character" w:styleId="11" w:customStyle="1">
    <w:name w:val="Заголовок 1 Знак"/>
    <w:uiPriority w:val="99"/>
    <w:qFormat/>
    <w:rsid w:val="00190da3"/>
    <w:rPr>
      <w:rFonts w:ascii="Liberation Serif;Times New Roma" w:hAnsi="Liberation Serif;Times New Roma" w:eastAsia="SimSun;宋体"/>
      <w:b/>
      <w:kern w:val="2"/>
      <w:sz w:val="24"/>
      <w:lang w:eastAsia="zh-CN"/>
    </w:rPr>
  </w:style>
  <w:style w:type="character" w:styleId="21" w:customStyle="1">
    <w:name w:val="Заголовок 2 Знак"/>
    <w:uiPriority w:val="99"/>
    <w:qFormat/>
    <w:rsid w:val="00190da3"/>
    <w:rPr>
      <w:rFonts w:ascii="Arial" w:hAnsi="Arial" w:eastAsia="SimSun;宋体"/>
      <w:b/>
      <w:i/>
      <w:kern w:val="2"/>
      <w:sz w:val="28"/>
      <w:lang w:eastAsia="zh-CN"/>
    </w:rPr>
  </w:style>
  <w:style w:type="character" w:styleId="Style16" w:customStyle="1">
    <w:name w:val="Маркери списку"/>
    <w:uiPriority w:val="99"/>
    <w:qFormat/>
    <w:rsid w:val="00190da3"/>
    <w:rPr>
      <w:rFonts w:ascii="OpenSymbol" w:hAnsi="OpenSymbol" w:eastAsia="Times New Roman"/>
    </w:rPr>
  </w:style>
  <w:style w:type="character" w:styleId="12" w:customStyle="1">
    <w:name w:val="Гіперпосилання1"/>
    <w:uiPriority w:val="99"/>
    <w:qFormat/>
    <w:rsid w:val="00190da3"/>
    <w:rPr>
      <w:color w:val="000080"/>
      <w:u w:val="single"/>
    </w:rPr>
  </w:style>
  <w:style w:type="character" w:styleId="Style17" w:customStyle="1">
    <w:name w:val="Основний текст Знак"/>
    <w:basedOn w:val="DefaultParagraphFont"/>
    <w:uiPriority w:val="99"/>
    <w:semiHidden/>
    <w:qFormat/>
    <w:rsid w:val="0041163d"/>
    <w:rPr>
      <w:rFonts w:ascii="Calibri" w:hAnsi="Calibri" w:cs="Mangal"/>
      <w:kern w:val="2"/>
      <w:szCs w:val="24"/>
      <w:lang w:eastAsia="zh-CN" w:bidi="hi-IN"/>
    </w:rPr>
  </w:style>
  <w:style w:type="character" w:styleId="Style18" w:customStyle="1">
    <w:name w:val="Назва Знак"/>
    <w:basedOn w:val="DefaultParagraphFont"/>
    <w:uiPriority w:val="10"/>
    <w:qFormat/>
    <w:rsid w:val="0041163d"/>
    <w:rPr>
      <w:rFonts w:ascii="Cambria" w:hAnsi="Cambria" w:eastAsia="" w:cs="Mangal" w:asciiTheme="majorHAnsi" w:eastAsiaTheme="majorEastAsia" w:hAnsiTheme="majorHAnsi"/>
      <w:b/>
      <w:bCs/>
      <w:kern w:val="2"/>
      <w:sz w:val="32"/>
      <w:szCs w:val="29"/>
      <w:lang w:eastAsia="zh-CN" w:bidi="hi-IN"/>
    </w:rPr>
  </w:style>
  <w:style w:type="character" w:styleId="HeaderChar" w:customStyle="1">
    <w:name w:val="Header Char"/>
    <w:basedOn w:val="DefaultParagraphFont"/>
    <w:uiPriority w:val="99"/>
    <w:semiHidden/>
    <w:qFormat/>
    <w:rsid w:val="0041163d"/>
    <w:rPr>
      <w:rFonts w:ascii="Calibri" w:hAnsi="Calibri" w:cs="Mangal"/>
      <w:kern w:val="2"/>
      <w:szCs w:val="24"/>
      <w:lang w:eastAsia="zh-CN" w:bidi="hi-IN"/>
    </w:rPr>
  </w:style>
  <w:style w:type="character" w:styleId="FooterChar" w:customStyle="1">
    <w:name w:val="Footer Char"/>
    <w:basedOn w:val="DefaultParagraphFont"/>
    <w:uiPriority w:val="99"/>
    <w:semiHidden/>
    <w:qFormat/>
    <w:rsid w:val="0041163d"/>
    <w:rPr>
      <w:rFonts w:ascii="Calibri" w:hAnsi="Calibri" w:cs="Mangal"/>
      <w:kern w:val="2"/>
      <w:szCs w:val="24"/>
      <w:lang w:eastAsia="zh-CN" w:bidi="hi-IN"/>
    </w:rPr>
  </w:style>
  <w:style w:type="character" w:styleId="Style19" w:customStyle="1">
    <w:name w:val="Верхній колонтитул Знак"/>
    <w:basedOn w:val="DefaultParagraphFont"/>
    <w:uiPriority w:val="99"/>
    <w:qFormat/>
    <w:rsid w:val="00fb50b0"/>
    <w:rPr>
      <w:rFonts w:ascii="Calibri" w:hAnsi="Calibri" w:cs="Mangal"/>
      <w:kern w:val="2"/>
      <w:sz w:val="22"/>
      <w:szCs w:val="24"/>
      <w:lang w:eastAsia="zh-CN" w:bidi="hi-IN"/>
    </w:rPr>
  </w:style>
  <w:style w:type="character" w:styleId="Style20" w:customStyle="1">
    <w:name w:val="Нижній колонтитул Знак"/>
    <w:basedOn w:val="DefaultParagraphFont"/>
    <w:uiPriority w:val="99"/>
    <w:semiHidden/>
    <w:qFormat/>
    <w:rsid w:val="00fb50b0"/>
    <w:rPr>
      <w:rFonts w:ascii="Calibri" w:hAnsi="Calibri" w:cs="Mangal"/>
      <w:kern w:val="2"/>
      <w:sz w:val="22"/>
      <w:szCs w:val="24"/>
      <w:lang w:eastAsia="zh-CN" w:bidi="hi-IN"/>
    </w:rPr>
  </w:style>
  <w:style w:type="character" w:styleId="Style21">
    <w:name w:val="Символ нумерації"/>
    <w:qFormat/>
    <w:rPr/>
  </w:style>
  <w:style w:type="paragraph" w:styleId="Style22" w:customStyle="1">
    <w:name w:val="Заголовок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3">
    <w:name w:val="Body Text"/>
    <w:basedOn w:val="Normal"/>
    <w:uiPriority w:val="99"/>
    <w:rsid w:val="00190da3"/>
    <w:pPr>
      <w:spacing w:lineRule="auto" w:line="276" w:before="0" w:after="140"/>
    </w:pPr>
    <w:rPr/>
  </w:style>
  <w:style w:type="paragraph" w:styleId="Style24">
    <w:name w:val="List"/>
    <w:basedOn w:val="Style23"/>
    <w:uiPriority w:val="99"/>
    <w:rsid w:val="00190da3"/>
    <w:pPr/>
    <w:rPr/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190da3"/>
    <w:pPr>
      <w:suppressLineNumbers/>
      <w:spacing w:before="120" w:after="120"/>
    </w:pPr>
    <w:rPr>
      <w:i/>
      <w:iCs/>
      <w:sz w:val="24"/>
    </w:rPr>
  </w:style>
  <w:style w:type="paragraph" w:styleId="111" w:customStyle="1">
    <w:name w:val="Заголовок 11"/>
    <w:basedOn w:val="Normal"/>
    <w:next w:val="Normal"/>
    <w:link w:val="Heading1Char"/>
    <w:uiPriority w:val="99"/>
    <w:qFormat/>
    <w:rsid w:val="00190da3"/>
    <w:pPr>
      <w:keepNext w:val="true"/>
      <w:widowControl/>
      <w:jc w:val="center"/>
      <w:outlineLvl w:val="0"/>
    </w:pPr>
    <w:rPr>
      <w:rFonts w:ascii="Liberation Serif;Times New Roma" w:hAnsi="Liberation Serif;Times New Roma" w:eastAsia="SimSun;宋体" w:cs="Liberation Serif;Times New Roma"/>
      <w:b/>
      <w:sz w:val="32"/>
    </w:rPr>
  </w:style>
  <w:style w:type="paragraph" w:styleId="211" w:customStyle="1">
    <w:name w:val="Заголовок 21"/>
    <w:basedOn w:val="Normal"/>
    <w:next w:val="Normal"/>
    <w:link w:val="Heading2Char"/>
    <w:uiPriority w:val="99"/>
    <w:qFormat/>
    <w:rsid w:val="00190da3"/>
    <w:pPr>
      <w:keepNext w:val="true"/>
      <w:widowControl/>
      <w:spacing w:before="240" w:after="60"/>
      <w:outlineLvl w:val="1"/>
    </w:pPr>
    <w:rPr>
      <w:rFonts w:ascii="Arial" w:hAnsi="Arial" w:eastAsia="SimSun;宋体" w:cs="Arial"/>
      <w:b/>
      <w:i/>
      <w:iCs/>
      <w:sz w:val="24"/>
      <w:szCs w:val="28"/>
    </w:rPr>
  </w:style>
  <w:style w:type="paragraph" w:styleId="13" w:customStyle="1">
    <w:name w:val="Назва об'єкта1"/>
    <w:basedOn w:val="Normal"/>
    <w:qFormat/>
    <w:rsid w:val="00711691"/>
    <w:pPr>
      <w:suppressLineNumbers/>
      <w:spacing w:before="120" w:after="120"/>
    </w:pPr>
    <w:rPr>
      <w:rFonts w:cs="Arial"/>
      <w:i/>
      <w:iCs/>
      <w:sz w:val="24"/>
    </w:rPr>
  </w:style>
  <w:style w:type="paragraph" w:styleId="Style27">
    <w:name w:val="Title"/>
    <w:basedOn w:val="Normal"/>
    <w:uiPriority w:val="99"/>
    <w:qFormat/>
    <w:rsid w:val="00190da3"/>
    <w:pPr>
      <w:suppressLineNumbers/>
      <w:spacing w:before="120" w:after="120"/>
    </w:pPr>
    <w:rPr>
      <w:rFonts w:cs="Mangal"/>
      <w:i/>
      <w:iCs/>
      <w:sz w:val="24"/>
    </w:rPr>
  </w:style>
  <w:style w:type="paragraph" w:styleId="Index1">
    <w:name w:val="index 1"/>
    <w:basedOn w:val="Normal"/>
    <w:next w:val="Normal"/>
    <w:autoRedefine/>
    <w:uiPriority w:val="99"/>
    <w:semiHidden/>
    <w:qFormat/>
    <w:rsid w:val="00711691"/>
    <w:pPr>
      <w:ind w:left="220" w:hanging="220"/>
    </w:pPr>
    <w:rPr/>
  </w:style>
  <w:style w:type="paragraph" w:styleId="Indexheading">
    <w:name w:val="index heading"/>
    <w:basedOn w:val="Normal"/>
    <w:uiPriority w:val="99"/>
    <w:qFormat/>
    <w:rsid w:val="00190da3"/>
    <w:pPr>
      <w:suppressLineNumbers/>
    </w:pPr>
    <w:rPr>
      <w:rFonts w:cs="Mangal"/>
    </w:rPr>
  </w:style>
  <w:style w:type="paragraph" w:styleId="3" w:customStyle="1">
    <w:name w:val="Указатель3"/>
    <w:basedOn w:val="Normal"/>
    <w:uiPriority w:val="99"/>
    <w:qFormat/>
    <w:rsid w:val="00190da3"/>
    <w:pPr>
      <w:suppressLineNumbers/>
    </w:pPr>
    <w:rPr/>
  </w:style>
  <w:style w:type="paragraph" w:styleId="22" w:customStyle="1">
    <w:name w:val="Название объекта2"/>
    <w:basedOn w:val="Normal"/>
    <w:uiPriority w:val="99"/>
    <w:qFormat/>
    <w:rsid w:val="00190da3"/>
    <w:pPr>
      <w:suppressLineNumbers/>
      <w:spacing w:before="120" w:after="120"/>
    </w:pPr>
    <w:rPr>
      <w:i/>
      <w:iCs/>
      <w:sz w:val="24"/>
    </w:rPr>
  </w:style>
  <w:style w:type="paragraph" w:styleId="23" w:customStyle="1">
    <w:name w:val="Указатель2"/>
    <w:basedOn w:val="Normal"/>
    <w:uiPriority w:val="99"/>
    <w:qFormat/>
    <w:rsid w:val="00190da3"/>
    <w:pPr>
      <w:suppressLineNumbers/>
    </w:pPr>
    <w:rPr/>
  </w:style>
  <w:style w:type="paragraph" w:styleId="14" w:customStyle="1">
    <w:name w:val="Название объекта1"/>
    <w:basedOn w:val="Normal"/>
    <w:uiPriority w:val="99"/>
    <w:qFormat/>
    <w:rsid w:val="00190da3"/>
    <w:pPr>
      <w:suppressLineNumbers/>
      <w:spacing w:before="120" w:after="120"/>
    </w:pPr>
    <w:rPr>
      <w:i/>
      <w:iCs/>
      <w:sz w:val="24"/>
    </w:rPr>
  </w:style>
  <w:style w:type="paragraph" w:styleId="15" w:customStyle="1">
    <w:name w:val="Указатель1"/>
    <w:basedOn w:val="Normal"/>
    <w:uiPriority w:val="99"/>
    <w:qFormat/>
    <w:rsid w:val="00190da3"/>
    <w:pPr>
      <w:suppressLineNumbers/>
    </w:pPr>
    <w:rPr/>
  </w:style>
  <w:style w:type="paragraph" w:styleId="Style28" w:customStyle="1">
    <w:name w:val="Содержимое таблицы"/>
    <w:basedOn w:val="Normal"/>
    <w:uiPriority w:val="99"/>
    <w:qFormat/>
    <w:rsid w:val="00190da3"/>
    <w:pPr>
      <w:suppressLineNumbers/>
    </w:pPr>
    <w:rPr/>
  </w:style>
  <w:style w:type="paragraph" w:styleId="Style29" w:customStyle="1">
    <w:name w:val="Заголовок таблицы"/>
    <w:basedOn w:val="Style28"/>
    <w:uiPriority w:val="99"/>
    <w:qFormat/>
    <w:rsid w:val="00190da3"/>
    <w:pPr>
      <w:jc w:val="center"/>
    </w:pPr>
    <w:rPr>
      <w:b/>
      <w:bCs/>
    </w:rPr>
  </w:style>
  <w:style w:type="paragraph" w:styleId="Style30" w:customStyle="1">
    <w:name w:val="Верхній і нижній колонтитули"/>
    <w:basedOn w:val="Normal"/>
    <w:qFormat/>
    <w:pPr/>
    <w:rPr/>
  </w:style>
  <w:style w:type="paragraph" w:styleId="Style31">
    <w:name w:val="Header"/>
    <w:basedOn w:val="Normal"/>
    <w:uiPriority w:val="99"/>
    <w:unhideWhenUsed/>
    <w:rsid w:val="00fb50b0"/>
    <w:pPr>
      <w:tabs>
        <w:tab w:val="clear" w:pos="306"/>
        <w:tab w:val="center" w:pos="4819" w:leader="none"/>
        <w:tab w:val="right" w:pos="9639" w:leader="none"/>
      </w:tabs>
    </w:pPr>
    <w:rPr>
      <w:rFonts w:cs="Mangal"/>
    </w:rPr>
  </w:style>
  <w:style w:type="paragraph" w:styleId="Style32">
    <w:name w:val="Footer"/>
    <w:basedOn w:val="Normal"/>
    <w:uiPriority w:val="99"/>
    <w:unhideWhenUsed/>
    <w:rsid w:val="00fb50b0"/>
    <w:pPr>
      <w:tabs>
        <w:tab w:val="clear" w:pos="306"/>
        <w:tab w:val="center" w:pos="4819" w:leader="none"/>
        <w:tab w:val="right" w:pos="9639" w:leader="none"/>
      </w:tabs>
    </w:pPr>
    <w:rPr>
      <w:rFonts w:cs="Mangal"/>
    </w:rPr>
  </w:style>
  <w:style w:type="paragraph" w:styleId="Style33" w:customStyle="1">
    <w:name w:val="Вміст таблиці"/>
    <w:basedOn w:val="Normal"/>
    <w:uiPriority w:val="99"/>
    <w:qFormat/>
    <w:rsid w:val="00190da3"/>
    <w:pPr>
      <w:suppressLineNumbers/>
    </w:pPr>
    <w:rPr/>
  </w:style>
  <w:style w:type="paragraph" w:styleId="Style34" w:customStyle="1">
    <w:name w:val="Заголовок таблиці"/>
    <w:basedOn w:val="Style33"/>
    <w:uiPriority w:val="99"/>
    <w:qFormat/>
    <w:rsid w:val="00190da3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qFormat/>
    <w:rsid w:val="00190da3"/>
    <w:pPr>
      <w:suppressAutoHyphens w:val="false"/>
      <w:spacing w:before="280" w:after="119"/>
    </w:pPr>
    <w:rPr>
      <w:sz w:val="24"/>
      <w:lang w:val="ru-RU"/>
    </w:rPr>
  </w:style>
  <w:style w:type="paragraph" w:styleId="Style35" w:customStyle="1">
    <w:name w:val="Абзац списка"/>
    <w:basedOn w:val="Normal"/>
    <w:uiPriority w:val="99"/>
    <w:qFormat/>
    <w:rsid w:val="00190da3"/>
    <w:pPr>
      <w:spacing w:before="0" w:after="0"/>
      <w:ind w:left="720" w:hanging="0"/>
      <w:contextualSpacing/>
    </w:pPr>
    <w:rPr/>
  </w:style>
  <w:style w:type="paragraph" w:styleId="Style36" w:customStyle="1">
    <w:name w:val="Обычный (веб)"/>
    <w:basedOn w:val="Normal"/>
    <w:qFormat/>
    <w:rsid w:val="00711691"/>
    <w:pPr>
      <w:suppressAutoHyphens w:val="false"/>
      <w:spacing w:before="280" w:after="119"/>
    </w:pPr>
    <w:rPr>
      <w:sz w:val="24"/>
      <w:lang w:val="ru-RU"/>
    </w:rPr>
  </w:style>
  <w:style w:type="paragraph" w:styleId="31" w:customStyle="1">
    <w:name w:val="Продовження нумерації 3"/>
    <w:basedOn w:val="Style24"/>
    <w:qFormat/>
    <w:rsid w:val="00711691"/>
    <w:pPr>
      <w:spacing w:before="0" w:after="120"/>
      <w:ind w:left="1080" w:hanging="0"/>
    </w:pPr>
    <w:rPr/>
  </w:style>
  <w:style w:type="paragraph" w:styleId="32" w:customStyle="1">
    <w:name w:val="Початок нумерації 3"/>
    <w:basedOn w:val="Style24"/>
    <w:next w:val="ListNumber3"/>
    <w:qFormat/>
    <w:rsid w:val="00711691"/>
    <w:pPr>
      <w:spacing w:before="240" w:after="120"/>
      <w:ind w:left="1080" w:hanging="360"/>
    </w:pPr>
    <w:rPr/>
  </w:style>
  <w:style w:type="paragraph" w:styleId="ListNumber3">
    <w:name w:val="List Number 3"/>
    <w:basedOn w:val="Style24"/>
    <w:qFormat/>
    <w:rsid w:val="00711691"/>
    <w:pPr>
      <w:spacing w:before="0" w:after="120"/>
      <w:ind w:left="1080" w:hanging="360"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Style37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2206</TotalTime>
  <Application>LibreOffice/6.3.4.2$Windows_X86_64 LibreOffice_project/60da17e045e08f1793c57c00ba83cdfce946d0aa</Application>
  <Pages>20</Pages>
  <Words>2815</Words>
  <Characters>18099</Characters>
  <CharactersWithSpaces>20395</CharactersWithSpaces>
  <Paragraphs>1101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1995-11-21T16:41:00Z</dcterms:created>
  <dc:creator/>
  <dc:description/>
  <dc:language>uk-UA</dc:language>
  <cp:lastModifiedBy/>
  <cp:lastPrinted>2025-09-03T15:36:00Z</cp:lastPrinted>
  <dcterms:modified xsi:type="dcterms:W3CDTF">2026-09-10T16:41:10Z</dcterms:modified>
  <cp:revision>293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