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5103"/>
        <w:contextualSpacing/>
        <w:rPr/>
      </w:pPr>
      <w:r>
        <w:rPr>
          <w:rFonts w:ascii="Times New Roman" w:hAnsi="Times New Roman"/>
          <w:sz w:val="28"/>
          <w:szCs w:val="28"/>
        </w:rPr>
        <w:t xml:space="preserve">Додаток </w:t>
      </w:r>
    </w:p>
    <w:p>
      <w:pPr>
        <w:pStyle w:val="Normal"/>
        <w:spacing w:before="0" w:after="0"/>
        <w:ind w:left="5103"/>
        <w:contextualSpacing/>
        <w:rPr/>
      </w:pPr>
      <w:r>
        <w:rPr>
          <w:rFonts w:ascii="Times New Roman" w:hAnsi="Times New Roman"/>
          <w:sz w:val="28"/>
          <w:szCs w:val="28"/>
        </w:rPr>
        <w:t xml:space="preserve">до рішення міської ради </w:t>
      </w:r>
    </w:p>
    <w:p>
      <w:pPr>
        <w:pStyle w:val="Normal"/>
        <w:spacing w:before="0" w:after="0"/>
        <w:ind w:left="5103"/>
        <w:contextualSpacing/>
        <w:rPr/>
      </w:pPr>
      <w:r>
        <w:rPr>
          <w:rFonts w:ascii="Times New Roman" w:hAnsi="Times New Roman"/>
          <w:sz w:val="28"/>
          <w:szCs w:val="28"/>
        </w:rPr>
        <w:t>______________  № _________</w:t>
      </w:r>
    </w:p>
    <w:p>
      <w:pPr>
        <w:pStyle w:val="Normal"/>
        <w:spacing w:before="0" w:after="0"/>
        <w:ind w:firstLine="855" w:left="424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 w:bidi="ar-SA"/>
        </w:rPr>
        <w:t>ПРОГРАМА</w:t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 w:bidi="ar-SA"/>
        </w:rPr>
        <w:t>розвитку міжнародного співробітництва</w:t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 w:bidi="ar-SA"/>
        </w:rPr>
        <w:t>Луцької міської територіальної гро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shd w:fill="auto" w:val="clear"/>
          <w:lang w:eastAsia="ru-RU" w:bidi="ar-SA"/>
        </w:rPr>
        <w:t>мади та залучення міжнародної технічної допомоги на 2026–2029 роки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highlight w:val="none"/>
          <w:shd w:fill="auto" w:val="clear"/>
          <w:lang w:eastAsia="ru-RU" w:bidi="ar-SA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  <w:lang w:eastAsia="ru-RU" w:bidi="ar-SA"/>
        </w:rPr>
      </w:r>
    </w:p>
    <w:p>
      <w:pPr>
        <w:pStyle w:val="Normal"/>
        <w:spacing w:before="0" w:after="0"/>
        <w:contextualSpacing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8"/>
          <w:szCs w:val="28"/>
          <w:shd w:fill="auto" w:val="clear"/>
        </w:rPr>
        <w:t>ПАСПОРТ ПРОГРАМИ</w:t>
      </w:r>
      <w:r>
        <w:rPr>
          <w:rFonts w:ascii="Times New Roman" w:hAnsi="Times New Roman"/>
          <w:b/>
          <w:bCs/>
          <w:sz w:val="28"/>
          <w:szCs w:val="28"/>
          <w:shd w:fill="auto" w:val="clear"/>
        </w:rPr>
        <w:t xml:space="preserve"> 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b/>
          <w:bCs/>
          <w:sz w:val="28"/>
          <w:szCs w:val="28"/>
          <w:shd w:fill="auto" w:val="clear"/>
        </w:rPr>
      </w:r>
    </w:p>
    <w:tbl>
      <w:tblPr>
        <w:tblW w:w="9390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6"/>
        <w:gridCol w:w="3796"/>
        <w:gridCol w:w="4748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1.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Ініціатор розроблення Програми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shd w:fill="auto" w:val="clear"/>
                <w:lang w:bidi="ar-SA"/>
              </w:rPr>
              <w:t>Управління міжнародного співробітництва та проектної діяльності</w:t>
            </w:r>
          </w:p>
        </w:tc>
      </w:tr>
      <w:tr>
        <w:trPr>
          <w:trHeight w:val="934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TMLPreformatted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Розробник Програми</w:t>
            </w:r>
          </w:p>
          <w:p>
            <w:pPr>
              <w:pStyle w:val="HTMLPreformatted"/>
              <w:spacing w:before="0" w:after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auto" w:val="clear"/>
              </w:rPr>
            </w:r>
          </w:p>
          <w:p>
            <w:pPr>
              <w:pStyle w:val="HTMLPreformatted"/>
              <w:spacing w:before="0" w:after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auto" w:val="clear"/>
              </w:rPr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</w:tr>
      <w:tr>
        <w:trPr/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3.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</w:rPr>
              <w:t>Відповідальний виконавець Програми</w:t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</w:tr>
      <w:tr>
        <w:trPr/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4.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Учасники Програми</w:t>
            </w:r>
          </w:p>
          <w:p>
            <w:pPr>
              <w:pStyle w:val="HTMLPreformatted"/>
              <w:spacing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</w:rPr>
              <w:t xml:space="preserve">Департамент культури, департамент освіти, департамент молоді та спорту, управління інформаційної роботи,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господарсько-технічний відділ, відділ екології, департамент житлово-комунального господарства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</w:rPr>
              <w:t>, ЛСКАП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</w:rPr>
              <w:t>Луцькспецкомунтранс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</w:rPr>
              <w:t>, управління охорони здоров’я, КП «Медичне об’єднання Луцької міської територіальної громади», ДКП «Луцьктепло»</w:t>
            </w:r>
          </w:p>
        </w:tc>
      </w:tr>
      <w:tr>
        <w:trPr/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Термін реалізації Програми</w:t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2026–2029 роки</w:t>
            </w:r>
          </w:p>
        </w:tc>
      </w:tr>
      <w:tr>
        <w:trPr>
          <w:trHeight w:val="960" w:hRule="atLeast"/>
        </w:trPr>
        <w:tc>
          <w:tcPr>
            <w:tcW w:w="8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6.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Загальний обсяг фінансових ресурсів, необхідних для реалізації Програми, всього:</w:t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23 950,0 тис. грн</w:t>
            </w:r>
          </w:p>
        </w:tc>
      </w:tr>
      <w:tr>
        <w:trPr>
          <w:trHeight w:val="315" w:hRule="atLeast"/>
        </w:trPr>
        <w:tc>
          <w:tcPr>
            <w:tcW w:w="8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85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у тому числі:</w:t>
            </w:r>
          </w:p>
        </w:tc>
      </w:tr>
      <w:tr>
        <w:trPr>
          <w:trHeight w:val="330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6.1.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коштів бюджету міської територіальної громади</w:t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8 380,0 тис. грн</w:t>
            </w:r>
          </w:p>
        </w:tc>
      </w:tr>
      <w:tr>
        <w:trPr>
          <w:trHeight w:val="330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6.2.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коштів інших джерел</w:t>
            </w:r>
          </w:p>
        </w:tc>
        <w:tc>
          <w:tcPr>
            <w:tcW w:w="4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15 570,0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 тис. грн</w:t>
            </w:r>
          </w:p>
        </w:tc>
      </w:tr>
      <w:tr>
        <w:trPr>
          <w:trHeight w:val="330" w:hRule="atLeast"/>
        </w:trPr>
        <w:tc>
          <w:tcPr>
            <w:tcW w:w="846" w:type="dxa"/>
            <w:tcBorders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796" w:type="dxa"/>
            <w:tcBorders/>
          </w:tcPr>
          <w:p>
            <w:pPr>
              <w:pStyle w:val="Normal"/>
              <w:spacing w:before="0" w:after="0"/>
              <w:contextualSpacing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</w:tc>
        <w:tc>
          <w:tcPr>
            <w:tcW w:w="4748" w:type="dxa"/>
            <w:tcBorders/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330" w:hRule="atLeast"/>
        </w:trPr>
        <w:tc>
          <w:tcPr>
            <w:tcW w:w="4642" w:type="dxa"/>
            <w:gridSpan w:val="2"/>
            <w:tcBorders/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Секретар міської ради</w:t>
            </w:r>
          </w:p>
        </w:tc>
        <w:tc>
          <w:tcPr>
            <w:tcW w:w="4748" w:type="dxa"/>
            <w:tcBorders/>
          </w:tcPr>
          <w:p>
            <w:pPr>
              <w:pStyle w:val="Normal"/>
              <w:spacing w:before="0" w:after="0"/>
              <w:contextualSpacing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Андрій РАЗУМОВСЬКИЙ</w:t>
            </w:r>
          </w:p>
        </w:tc>
      </w:tr>
      <w:tr>
        <w:trPr>
          <w:trHeight w:val="330" w:hRule="atLeast"/>
        </w:trPr>
        <w:tc>
          <w:tcPr>
            <w:tcW w:w="4642" w:type="dxa"/>
            <w:gridSpan w:val="2"/>
            <w:tcBorders/>
          </w:tcPr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Вінцюк  777 995</w:t>
            </w:r>
          </w:p>
        </w:tc>
        <w:tc>
          <w:tcPr>
            <w:tcW w:w="4748" w:type="dxa"/>
            <w:tcBorders/>
          </w:tcPr>
          <w:p>
            <w:pPr>
              <w:pStyle w:val="Normal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</w:tbl>
    <w:p>
      <w:pPr>
        <w:sectPr>
          <w:type w:val="nextPage"/>
          <w:pgSz w:w="11906" w:h="16838"/>
          <w:pgMar w:left="1984" w:right="567" w:gutter="0" w:header="0" w:top="567" w:footer="0" w:bottom="1134"/>
          <w:pgNumType w:start="1"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481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Додаток 1</w:t>
      </w:r>
    </w:p>
    <w:p>
      <w:pPr>
        <w:pStyle w:val="Normal"/>
        <w:ind w:hanging="1" w:left="482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до Програми розвитку міжнародного співробітництва Луцької міської територіальної громади та залучення міжнародної технічної допомоги </w:t>
      </w:r>
    </w:p>
    <w:p>
      <w:pPr>
        <w:pStyle w:val="Normal"/>
        <w:spacing w:before="0" w:after="0"/>
        <w:ind w:hanging="1" w:left="4820"/>
        <w:contextualSpacing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на 2026–2029 роки</w:t>
      </w:r>
    </w:p>
    <w:p>
      <w:pPr>
        <w:pStyle w:val="Normal"/>
        <w:jc w:val="center"/>
        <w:rPr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Ресурсне забезпечення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Програми розвитку міжнародного співробітництва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Луцької міської територіальної громади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та залучення міжнародної технічної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допомоги на 2026–2029 роки</w:t>
      </w:r>
    </w:p>
    <w:p>
      <w:pPr>
        <w:pStyle w:val="Normal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tbl>
      <w:tblPr>
        <w:tblW w:w="9334" w:type="dxa"/>
        <w:jc w:val="left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2"/>
        <w:gridCol w:w="1962"/>
        <w:gridCol w:w="1186"/>
        <w:gridCol w:w="1183"/>
        <w:gridCol w:w="1185"/>
        <w:gridCol w:w="1183"/>
        <w:gridCol w:w="1963"/>
      </w:tblGrid>
      <w:tr>
        <w:trPr>
          <w:trHeight w:val="751" w:hRule="atLeast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1"/>
                <w:numId w:val="2"/>
              </w:numPr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з/п</w:t>
            </w:r>
          </w:p>
        </w:tc>
        <w:tc>
          <w:tcPr>
            <w:tcW w:w="1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1"/>
                <w:numId w:val="2"/>
              </w:numPr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Обсяг коштів, які планується залучити на виконання Програми, тис. грн</w:t>
            </w: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Роки</w:t>
            </w:r>
          </w:p>
        </w:tc>
        <w:tc>
          <w:tcPr>
            <w:tcW w:w="1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Загальний обсяг фінансування,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тис. грн</w:t>
            </w:r>
          </w:p>
        </w:tc>
      </w:tr>
      <w:tr>
        <w:trPr>
          <w:trHeight w:val="516" w:hRule="atLeast"/>
        </w:trPr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</w:r>
          </w:p>
        </w:tc>
        <w:tc>
          <w:tcPr>
            <w:tcW w:w="19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2027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fill="auto" w:val="clear"/>
              </w:rPr>
              <w:t>2028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fill="auto" w:val="clear"/>
              </w:rPr>
              <w:t>2029</w:t>
            </w:r>
          </w:p>
        </w:tc>
        <w:tc>
          <w:tcPr>
            <w:tcW w:w="19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1.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Обсяг фінансових ресурсів всього,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у тому числі: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15 910,0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3 910,0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2 230,0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1 900,0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23 950,0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1.1.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hanging="1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бюджет Луцької міської територіальної громади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2 540,0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2 010,0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1 930,0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1 900,0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8 380,0</w:t>
            </w:r>
          </w:p>
        </w:tc>
      </w:tr>
      <w:tr>
        <w:trPr>
          <w:trHeight w:val="320" w:hRule="atLeast"/>
        </w:trPr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1.2.</w:t>
            </w:r>
          </w:p>
        </w:tc>
        <w:tc>
          <w:tcPr>
            <w:tcW w:w="1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hanging="1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shd w:fill="auto" w:val="clear"/>
              </w:rPr>
              <w:t>кошти інших джерел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13 370,0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  <w:lang w:val="en-US"/>
              </w:rPr>
              <w:t>1 900,0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300,0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0,0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auto" w:val="clear"/>
              </w:rPr>
              <w:t>15 570,0</w:t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p>
      <w:pPr>
        <w:pStyle w:val="Normal"/>
        <w:rPr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Normal"/>
        <w:spacing w:before="0" w:after="0"/>
        <w:ind w:left="-57"/>
        <w:contextualSpacing/>
        <w:rPr>
          <w:highlight w:val="none"/>
          <w:shd w:fill="auto" w:val="clear"/>
        </w:r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984" w:right="567" w:gutter="0" w:header="567" w:top="1172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color w:val="000000"/>
          <w:shd w:fill="auto" w:val="clear"/>
        </w:rPr>
        <w:t>Вінцюк 777 995</w:t>
      </w:r>
    </w:p>
    <w:p>
      <w:pPr>
        <w:pStyle w:val="Normal"/>
        <w:tabs>
          <w:tab w:val="clear" w:pos="709"/>
          <w:tab w:val="left" w:pos="5580" w:leader="none"/>
        </w:tabs>
        <w:ind w:firstLine="1752" w:left="7788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Додаток 2</w:t>
      </w:r>
    </w:p>
    <w:p>
      <w:pPr>
        <w:pStyle w:val="Normal"/>
        <w:ind w:hanging="1" w:left="954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до Програми розвитку міжнародного співробітництва Луцької міської територіальної громади та залучення міжнародної технічної допомоги </w:t>
      </w:r>
    </w:p>
    <w:p>
      <w:pPr>
        <w:pStyle w:val="Normal"/>
        <w:ind w:hanging="1" w:left="954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на 2026–2029 роки</w:t>
      </w:r>
    </w:p>
    <w:p>
      <w:pPr>
        <w:pStyle w:val="Normal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p>
      <w:pPr>
        <w:pStyle w:val="Normal"/>
        <w:ind w:left="68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 xml:space="preserve">Перелік завдань, заходів та результативні показники </w:t>
      </w:r>
    </w:p>
    <w:p>
      <w:pPr>
        <w:pStyle w:val="Normal"/>
        <w:ind w:left="68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Програми розвитку міжнародного співробітництва</w:t>
      </w:r>
    </w:p>
    <w:p>
      <w:pPr>
        <w:pStyle w:val="Normal"/>
        <w:ind w:left="68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Луцької міської територіальної громади</w:t>
      </w:r>
    </w:p>
    <w:p>
      <w:pPr>
        <w:pStyle w:val="Normal"/>
        <w:ind w:left="68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та залучення міжнародної технічної допомоги</w:t>
      </w:r>
    </w:p>
    <w:p>
      <w:pPr>
        <w:pStyle w:val="Normal"/>
        <w:ind w:left="68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на 2026–2029 роки</w:t>
      </w:r>
    </w:p>
    <w:tbl>
      <w:tblPr>
        <w:tblW w:w="15076" w:type="dxa"/>
        <w:jc w:val="left"/>
        <w:tblInd w:w="48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19"/>
        <w:gridCol w:w="2295"/>
        <w:gridCol w:w="2201"/>
        <w:gridCol w:w="1468"/>
        <w:gridCol w:w="2551"/>
        <w:gridCol w:w="1936"/>
        <w:gridCol w:w="1815"/>
        <w:gridCol w:w="2191"/>
      </w:tblGrid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1" w:left="72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ind w:hanging="1" w:left="72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з/п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Завдання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Перелік заходів Програми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Терміни виконання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Виконавці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Джерела фінансування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Орієнтовні обсяги фінансування,</w:t>
            </w:r>
          </w:p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тис. грн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fill="auto" w:val="clear"/>
              </w:rPr>
              <w:t>Результативні показники</w:t>
            </w:r>
          </w:p>
        </w:tc>
      </w:tr>
      <w:tr>
        <w:trPr>
          <w:trHeight w:val="1117" w:hRule="atLeast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1.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Розвиток міжнародного співробітництва, співпраця з дипломатичними установами, представництвами міжнародних організацій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61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1.1. Організаційне забезпечення візитів офіційних делегацій Луцької міської територіальної громади за кордон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Управління міжнародного співробітництва та проектної діяльності, </w:t>
            </w:r>
            <w:hyperlink r:id="rId5">
              <w:r>
                <w:rPr>
                  <w:rStyle w:val="Style8"/>
                  <w:rFonts w:ascii="Times New Roman" w:hAnsi="Times New Roman"/>
                  <w:color w:val="000000"/>
                  <w:shd w:fill="auto" w:val="clear"/>
                </w:rPr>
                <w:t>господарсько-технічний відділ</w:t>
              </w:r>
            </w:hyperlink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100,0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110,0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110,0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Реалізація положень підписаних угод, поглиблення партнерства з іноземними містами та регіонами. Налагодження контактів з новими закордонними громадами</w:t>
            </w:r>
          </w:p>
        </w:tc>
      </w:tr>
      <w:tr>
        <w:trPr/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1.2. Організація прийомів іноземних делегацій із партнерських та дружніх міст і регіонів, представників дипломатичного корпусу та міжнародних організацій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110,0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110,0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120,0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120,0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Ознайомлення іноземних гостей з Луцькою міською територіальною громадою, підтримка партнерських відносин, налагодження нових контактів</w:t>
            </w:r>
          </w:p>
        </w:tc>
      </w:tr>
      <w:tr>
        <w:trPr>
          <w:trHeight w:val="2111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-108" w:leader="none"/>
                <w:tab w:val="left" w:pos="167" w:leader="none"/>
              </w:tabs>
              <w:ind w:hanging="113" w:left="-1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1.3. Розробка та</w:t>
            </w:r>
            <w:r>
              <w:rPr>
                <w:rFonts w:ascii="Times New Roman" w:hAnsi="Times New Roman"/>
                <w:shd w:fill="auto" w:val="clear"/>
              </w:rPr>
              <w:t xml:space="preserve"> закупівля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промоційних матеріалів та сувенірів про місто Луцьк та Луцьку міську територіальну громаду англійською мовою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-108" w:leader="none"/>
                <w:tab w:val="left" w:pos="167" w:leader="none"/>
              </w:tabs>
              <w:ind w:hanging="113" w:left="-1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діяльності,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управління туризму та промоції міста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90,0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100,0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100,0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Ознайомлення іноземних гостей з символікою громади,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створення та підтримка позитивного іміджу громади</w:t>
            </w:r>
          </w:p>
        </w:tc>
      </w:tr>
      <w:tr>
        <w:trPr>
          <w:trHeight w:val="150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-108" w:leader="none"/>
                <w:tab w:val="left" w:pos="167" w:leader="none"/>
              </w:tabs>
              <w:ind w:firstLine="29" w:left="-1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1.4. Забезпечення дод</w:t>
            </w:r>
            <w:r>
              <w:rPr>
                <w:rFonts w:ascii="Times New Roman" w:hAnsi="Times New Roman"/>
                <w:shd w:fill="auto" w:val="clear"/>
              </w:rPr>
              <w:t>атков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ого перекладу (усного, письмового) в межах офіційних заходів, ділової комунікації, підготовки проєктних заявок, впровадження проєктів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60,0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60,0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60,0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Безперешкодна комунікація з іноземними установами, міжнародними фондами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</w:tr>
      <w:tr>
        <w:trPr>
          <w:trHeight w:val="1695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95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1.5. Сприяння проведенню іміджевих заходів міжнародного характеру в т.ч. в онлайн форматі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70,0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80,0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90,0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90,0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Забезпечення міжнародної </w:t>
            </w:r>
            <w:r>
              <w:rPr>
                <w:rFonts w:ascii="Times New Roman" w:hAnsi="Times New Roman"/>
                <w:shd w:fill="auto" w:val="clear"/>
              </w:rPr>
              <w:t xml:space="preserve">складової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заходів, які визначені як іміджеві у громаді та плануються як міжнародні</w:t>
            </w:r>
          </w:p>
        </w:tc>
      </w:tr>
      <w:tr>
        <w:trPr>
          <w:trHeight w:val="870" w:hRule="atLeast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Реалізація державної політики у сфері євроінтеграції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95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Проведення заходів на тему європейської інтеграції, </w:t>
            </w:r>
            <w:r>
              <w:rPr>
                <w:rFonts w:ascii="Times New Roman" w:hAnsi="Times New Roman"/>
                <w:shd w:fill="auto" w:val="clear"/>
              </w:rPr>
              <w:t>зокрема в межах Дня Європи в Україні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bookmarkStart w:id="0" w:name="__DdeLink__482_3211486512"/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діяльності, департамент культури, департамент освіти, департамент молоді та спорту, управління інформаційної роботи</w:t>
            </w:r>
            <w:bookmarkEnd w:id="0"/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70,0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70,0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70,0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Зміцнення громадської підтримки євроінтеграційного курсу України на місцевому рівні</w:t>
            </w:r>
          </w:p>
        </w:tc>
      </w:tr>
      <w:tr>
        <w:trPr>
          <w:trHeight w:val="551" w:hRule="atLeast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720" w:leader="none"/>
              </w:tabs>
              <w:ind w:hanging="1" w:left="72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3.</w:t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Залучення міжнародної технічної та державної допомоги, реалізація транскордонних і міжнародних грантових проєктів, забезпечення сталості реалізованих проєктів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3.1. Розробка</w:t>
            </w:r>
            <w:r>
              <w:rPr>
                <w:rFonts w:ascii="Times New Roman" w:hAnsi="Times New Roman"/>
                <w:shd w:fill="auto" w:val="clear"/>
              </w:rPr>
              <w:t>, подання на грантові конкурси від виконавчого комітету Луцької міської ради проєктів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міжнародної технічної та державної допомоги, адміністрування, </w:t>
            </w:r>
            <w:r>
              <w:rPr>
                <w:rFonts w:ascii="Times New Roman" w:hAnsi="Times New Roman"/>
                <w:shd w:fill="auto" w:val="clear"/>
              </w:rPr>
              <w:t>супровід проєктів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(дослідження, ПКД, послуги </w:t>
            </w:r>
            <w:r>
              <w:rPr>
                <w:rFonts w:ascii="Times New Roman" w:hAnsi="Times New Roman"/>
                <w:shd w:fill="auto" w:val="clear"/>
              </w:rPr>
              <w:t xml:space="preserve">незалежних експертів, аудит, стратегічна екологічна оцінка), підтримка результатів проєктів (ремонт, заміна </w:t>
            </w:r>
            <w:bookmarkStart w:id="1" w:name="__DdeLink__653_2403243139"/>
            <w:r>
              <w:rPr>
                <w:rFonts w:ascii="Times New Roman" w:hAnsi="Times New Roman"/>
                <w:shd w:fill="auto" w:val="clear"/>
              </w:rPr>
              <w:t>комплектуючих</w:t>
            </w:r>
            <w:bookmarkEnd w:id="1"/>
            <w:r>
              <w:rPr>
                <w:rFonts w:ascii="Times New Roman" w:hAnsi="Times New Roman"/>
                <w:shd w:fill="auto" w:val="clear"/>
              </w:rPr>
              <w:t xml:space="preserve"> для закуплених в межах проєкту товарів та інше)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200,0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250,0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300,0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300,0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Комплексно підготовлені проєктні заявки для подачі на грантові конкурси, </w:t>
            </w:r>
            <w:r>
              <w:rPr>
                <w:rFonts w:ascii="Times New Roman" w:hAnsi="Times New Roman"/>
                <w:shd w:fill="auto" w:val="clear"/>
              </w:rPr>
              <w:t>якісно реалізовані проєкти, забезпечено підтримку результатів проєктів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</w:tr>
      <w:tr>
        <w:trPr>
          <w:trHeight w:val="417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3.2. </w:t>
            </w:r>
            <w:r>
              <w:rPr>
                <w:rFonts w:ascii="Times New Roman" w:hAnsi="Times New Roman"/>
                <w:shd w:fill="auto" w:val="clear"/>
              </w:rPr>
              <w:t xml:space="preserve">Забезпечення фінансового внеску в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реалізацію</w:t>
            </w:r>
            <w:r>
              <w:rPr>
                <w:rFonts w:ascii="Times New Roman" w:hAnsi="Times New Roman"/>
                <w:shd w:fill="auto" w:val="clear"/>
              </w:rPr>
              <w:t xml:space="preserve"> потенційних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 проєктів міжнародної технічної та державної допомоги відповідно до грантових угод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1 000,0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1 000,0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1 000,0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1 000,0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Впровадження проєктів міжнародної технічної та державної допомоги</w:t>
            </w:r>
          </w:p>
        </w:tc>
      </w:tr>
      <w:tr>
        <w:trPr>
          <w:trHeight w:val="705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3.3. Організація навчань, участь у навчаннях, заходах з підвищення кваліфікації працівників з метою розвитку кадрового потенціалу та формування </w:t>
            </w:r>
            <w:r>
              <w:rPr>
                <w:rFonts w:ascii="Times New Roman" w:hAnsi="Times New Roman"/>
                <w:shd w:fill="auto" w:val="clear"/>
              </w:rPr>
              <w:t>команди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ефективних спеціалістів і проєктних менеджерів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2026–2029 років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40,0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2029 – 50,0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9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Розвиток кадрового потенціалу</w:t>
            </w:r>
          </w:p>
          <w:p>
            <w:pPr>
              <w:pStyle w:val="Normal"/>
              <w:widowControl w:val="false"/>
              <w:tabs>
                <w:tab w:val="left" w:pos="709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 xml:space="preserve">та формування команди ефективних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спеціалістів і </w:t>
            </w:r>
            <w:r>
              <w:rPr>
                <w:rFonts w:ascii="Times New Roman" w:hAnsi="Times New Roman"/>
                <w:shd w:fill="auto" w:val="clear"/>
              </w:rPr>
              <w:t>проєктних менеджерів</w:t>
            </w:r>
          </w:p>
        </w:tc>
      </w:tr>
      <w:tr>
        <w:trPr>
          <w:trHeight w:val="2632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3.4. Впровадження проєкту «Міста нуль відходів в Україні», затвердженого до фінансування в межах програми LIFE (витрати на заробітну плату персоналу проєкту, транспортні витрати)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Протягом 2026–2028 років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Управління міжнародного співробітництва та проектної діяльності, відділ екології, ДЖКГ, ЛСКАП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Луцькспец-комунтранс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2026 – 50,0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190,0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2028 – 30,0</w:t>
            </w:r>
          </w:p>
        </w:tc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9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Розробка стратегії управління відходами для Луцької міської територіальної громади, що базується на принципах «Нуль відходів»,</w:t>
            </w:r>
          </w:p>
          <w:p>
            <w:pPr>
              <w:pStyle w:val="Normal"/>
              <w:widowControl w:val="false"/>
              <w:tabs>
                <w:tab w:val="left" w:pos="709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Cs w:val="28"/>
                <w:shd w:fill="auto" w:val="clear"/>
              </w:rPr>
              <w:t>проведення оцінки поточного стану сис</w:t>
            </w:r>
            <w:r>
              <w:rPr>
                <w:rFonts w:ascii="Times New Roman" w:hAnsi="Times New Roman"/>
                <w:shd w:fill="auto" w:val="clear"/>
              </w:rPr>
              <w:t xml:space="preserve">теми управління відходами </w:t>
            </w:r>
            <w:r>
              <w:rPr>
                <w:rFonts w:eastAsia="Arial Unicode MS" w:cs="Mangal" w:ascii="Times New Roman" w:hAnsi="Times New Roman"/>
                <w:shd w:fill="auto" w:val="clear"/>
              </w:rPr>
              <w:t xml:space="preserve">у Луцькій міській територіальній громаді, </w:t>
            </w:r>
            <w:r>
              <w:rPr>
                <w:rFonts w:ascii="Times New Roman" w:hAnsi="Times New Roman"/>
                <w:shd w:fill="auto" w:val="clear"/>
              </w:rPr>
              <w:t xml:space="preserve"> налагодження співробітництва між Луцькою міською територіальною громадою</w:t>
            </w:r>
          </w:p>
          <w:p>
            <w:pPr>
              <w:pStyle w:val="Normal"/>
              <w:widowControl w:val="false"/>
              <w:tabs>
                <w:tab w:val="left" w:pos="709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та міжнародними учасниками проєкту</w:t>
            </w:r>
          </w:p>
        </w:tc>
      </w:tr>
      <w:tr>
        <w:trPr>
          <w:trHeight w:val="2632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Грантові кошти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2026 – 500,0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1 900,0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  <w:lang w:val="en-US"/>
              </w:rPr>
              <w:t>2028 – 300,0</w:t>
            </w:r>
          </w:p>
        </w:tc>
        <w:tc>
          <w:tcPr>
            <w:tcW w:w="2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9" w:leader="none"/>
              </w:tabs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632" w:hRule="atLeast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 xml:space="preserve">3.5. Впровадження проєкту «Промені життя: гістероскопія для здорового майбутнього в Луцьку», затвердженого до фінансування в межах Програми «Фонд малих проєктів з політики розвитку територіальних громад» (KPF 2025), зокрема витрати на </w:t>
            </w:r>
            <w:r>
              <w:rPr>
                <w:rFonts w:ascii="Times New Roman" w:hAnsi="Times New Roman"/>
                <w:iCs/>
                <w:shd w:fill="auto" w:val="clear"/>
              </w:rPr>
              <w:t>аудит проєкту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І квартал 2026 року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Управління міжнародного співробітництва та проектної діяльності, управління охорони здоров’я, КП «Медичне об’єднання Луцької міської територіальної громади»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Грантові кошти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>–50,0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9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Проведено аудит проєкту.</w:t>
            </w:r>
          </w:p>
        </w:tc>
      </w:tr>
      <w:tr>
        <w:trPr>
          <w:trHeight w:val="685" w:hRule="atLeast"/>
        </w:trPr>
        <w:tc>
          <w:tcPr>
            <w:tcW w:w="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3.6. Впровадження проєкту «Модернізація теплоенергетичної інфраструктури для надання стабільних та ефективних комунальних послуг у Луцьку, Україна», затвердженого до фінансування з коштів Федерального міністерства економічного співробітництва та розвитку Німеччини (витрати на реалізацію заходів проєкту: закупівля обладнання, зокрема високоефективних газових котлів)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" w:left="-5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І квартал 2026 року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Управління міжнародного співробітництва та проектної діяльності, ДКП «Луцьктепло»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Грантові кошти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 –</w:t>
            </w:r>
            <w:r>
              <w:rPr>
                <w:rFonts w:ascii="Times New Roman" w:hAnsi="Times New Roman"/>
                <w:shd w:fill="auto" w:val="clear"/>
              </w:rPr>
              <w:t>780,0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hd w:fill="auto" w:val="clear"/>
              </w:rPr>
              <w:t xml:space="preserve">– </w:t>
            </w:r>
            <w:r>
              <w:rPr>
                <w:rFonts w:ascii="Times New Roman" w:hAnsi="Times New Roman"/>
                <w:shd w:fill="auto" w:val="clear"/>
              </w:rPr>
              <w:t>12 820,0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9" w:leader="none"/>
              </w:tabs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hd w:fill="auto" w:val="clear"/>
              </w:rPr>
              <w:t>Покращення комунальної теплоенергетичної інфраструктури в Луцьку шляхом закупівлі нових високоефективних газових котлів для стабільного, безпечного й енергоощадного забезпечення населення теплом і гарячою водою.</w:t>
            </w:r>
          </w:p>
        </w:tc>
      </w:tr>
      <w:tr>
        <w:trPr>
          <w:trHeight w:val="450" w:hRule="atLeast"/>
        </w:trPr>
        <w:tc>
          <w:tcPr>
            <w:tcW w:w="9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Всього: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Бюджет міської територіальної громади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2 540,0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2 010,0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  <w:lang w:val="en-US"/>
              </w:rPr>
              <w:t>2028 – 1 930,0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  <w:lang w:val="uk-UA"/>
              </w:rPr>
              <w:t xml:space="preserve">2029 </w:t>
            </w:r>
            <w:r>
              <w:rPr>
                <w:rFonts w:ascii="Times New Roman" w:hAnsi="Times New Roman"/>
                <w:color w:val="000000"/>
                <w:shd w:fill="auto" w:val="clear"/>
                <w:lang w:val="en-US"/>
              </w:rPr>
              <w:t>–</w:t>
            </w:r>
            <w:r>
              <w:rPr>
                <w:rFonts w:ascii="Times New Roman" w:hAnsi="Times New Roman"/>
                <w:color w:val="000000"/>
                <w:shd w:fill="auto" w:val="clear"/>
                <w:lang w:val="uk-UA"/>
              </w:rPr>
              <w:t> 1 900,0</w:t>
            </w:r>
          </w:p>
        </w:tc>
      </w:tr>
      <w:tr>
        <w:trPr>
          <w:trHeight w:val="450" w:hRule="atLeast"/>
        </w:trPr>
        <w:tc>
          <w:tcPr>
            <w:tcW w:w="913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Грантові кошти</w:t>
            </w:r>
          </w:p>
        </w:tc>
        <w:tc>
          <w:tcPr>
            <w:tcW w:w="40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>2026 – 13 370,0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2027 – 1 900,0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  <w:lang w:val="en-US"/>
              </w:rPr>
              <w:t>2028 – 300,0</w:t>
            </w:r>
          </w:p>
        </w:tc>
      </w:tr>
    </w:tbl>
    <w:p>
      <w:pPr>
        <w:pStyle w:val="Normal"/>
        <w:spacing w:before="0" w:after="0"/>
        <w:ind w:right="227"/>
        <w:contextualSpacing/>
        <w:jc w:val="both"/>
        <w:rPr>
          <w:rFonts w:ascii="Times New Roman" w:hAnsi="Times New Roman"/>
          <w:color w:val="000000"/>
          <w:sz w:val="22"/>
          <w:szCs w:val="22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2"/>
          <w:szCs w:val="22"/>
          <w:shd w:fill="auto" w:val="clear"/>
        </w:rPr>
      </w:r>
    </w:p>
    <w:p>
      <w:pPr>
        <w:pStyle w:val="Normal"/>
        <w:spacing w:before="0" w:after="0"/>
        <w:ind w:right="227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pacing w:before="0" w:after="0"/>
        <w:ind w:right="227"/>
        <w:contextualSpacing/>
        <w:jc w:val="both"/>
        <w:rPr/>
      </w:pPr>
      <w:r>
        <w:rPr>
          <w:rFonts w:ascii="Times New Roman" w:hAnsi="Times New Roman"/>
          <w:color w:val="000000"/>
          <w:sz w:val="22"/>
          <w:szCs w:val="22"/>
        </w:rPr>
        <w:t>Вінцюк 777 995</w:t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134" w:right="567" w:gutter="0" w:header="0" w:top="1985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10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10</w:t>
    </w:r>
    <w:r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uk-UA" w:eastAsia="zh-CN" w:bidi="hi-IN"/>
    </w:rPr>
  </w:style>
  <w:style w:type="paragraph" w:styleId="Heading1">
    <w:name w:val="heading 1"/>
    <w:basedOn w:val="user"/>
    <w:next w:val="BodyText"/>
    <w:uiPriority w:val="9"/>
    <w:qFormat/>
    <w:pPr>
      <w:numPr>
        <w:ilvl w:val="0"/>
        <w:numId w:val="1"/>
      </w:numPr>
      <w:outlineLvl w:val="0"/>
    </w:pPr>
    <w:rPr>
      <w:rFonts w:ascii="Liberation Serif" w:hAnsi="Liberation Serif" w:eastAsia="NSimSun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rFonts w:ascii="Times New Roman" w:hAnsi="Times New Roman" w:cs="Times New Roman"/>
      <w:b/>
      <w:color w:val="000000"/>
      <w:sz w:val="28"/>
      <w:szCs w:val="28"/>
      <w:lang w:val="uk-UA"/>
    </w:rPr>
  </w:style>
  <w:style w:type="character" w:styleId="Hyperlink">
    <w:name w:val="Hyperlink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yle13" w:customStyle="1">
    <w:name w:val="Нижній колонтитул Знак"/>
    <w:basedOn w:val="DefaultParagraphFont"/>
    <w:uiPriority w:val="99"/>
    <w:qFormat/>
    <w:rsid w:val="00ef39aa"/>
    <w:rPr>
      <w:rFonts w:cs="Mangal"/>
      <w:sz w:val="24"/>
      <w:szCs w:val="21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5" w:customStyle="1">
    <w:name w:val="Покажчик"/>
    <w:basedOn w:val="Normal"/>
    <w:qFormat/>
    <w:pPr>
      <w:suppressLineNumbers/>
    </w:pPr>
    <w:rPr/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/>
  </w:style>
  <w:style w:type="paragraph" w:styleId="user2" w:customStyle="1">
    <w:name w:val="Вміст таблиці (user)"/>
    <w:basedOn w:val="Normal"/>
    <w:qFormat/>
    <w:pPr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" w:customStyle="1">
    <w:name w:val="Обычный (веб)1"/>
    <w:basedOn w:val="Normal"/>
    <w:qFormat/>
    <w:pPr>
      <w:spacing w:before="280" w:after="280"/>
      <w:textAlignment w:val="top"/>
    </w:pPr>
    <w:rPr/>
  </w:style>
  <w:style w:type="paragraph" w:styleId="user4" w:customStyle="1">
    <w:name w:val="Верхній і нижній колонтитули (user)"/>
    <w:basedOn w:val="Normal"/>
    <w:qFormat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6" w:customStyle="1">
    <w:name w:val="Верхній і нижній колонтитули"/>
    <w:basedOn w:val="Normal"/>
    <w:qFormat/>
    <w:pPr/>
    <w:rPr/>
  </w:style>
  <w:style w:type="paragraph" w:styleId="Header">
    <w:name w:val="header"/>
    <w:basedOn w:val="user4"/>
    <w:pPr/>
    <w:rPr/>
  </w:style>
  <w:style w:type="paragraph" w:styleId="Footer">
    <w:name w:val="footer"/>
    <w:basedOn w:val="Normal"/>
    <w:link w:val="Style13"/>
    <w:uiPriority w:val="99"/>
    <w:unhideWhenUsed/>
    <w:rsid w:val="00ef39aa"/>
    <w:pPr>
      <w:tabs>
        <w:tab w:val="clear" w:pos="709"/>
        <w:tab w:val="center" w:pos="4819" w:leader="none"/>
        <w:tab w:val="right" w:pos="9639" w:leader="none"/>
      </w:tabs>
    </w:pPr>
    <w:rPr>
      <w:rFonts w:cs="Mangal"/>
      <w:szCs w:val="21"/>
    </w:rPr>
  </w:style>
  <w:style w:type="numbering" w:styleId="user5" w:customStyle="1">
    <w:name w:val="Без маркерів (user)"/>
    <w:uiPriority w:val="99"/>
    <w:semiHidden/>
    <w:unhideWhenUsed/>
    <w:qFormat/>
  </w:style>
  <w:style w:type="numbering" w:styleId="WW8Num2" w:customStyle="1">
    <w:name w:val="WW8Num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lutskrada.gov.ua/departments/hospodarsko-tekhnichnyi-viddil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274BD-7215-402E-916F-10D802035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Application>LibreOffice/26.2.6.3$Windows_X86_64 LibreOffice_project/8221e31b3ac356a1623c672912a3d2b492f7e3d1</Application>
  <AppVersion>15.0000</AppVersion>
  <Pages>10</Pages>
  <Words>6144</Words>
  <Characters>3503</Characters>
  <CharactersWithSpaces>9628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2023-09-06T09:03:00Z</dcterms:created>
  <dc:creator/>
  <dc:description/>
  <dc:language>uk-UA</dc:language>
  <cp:lastModifiedBy/>
  <cp:lastPrinted>2023-09-07T09:18:00Z</cp:lastPrinted>
  <dcterms:modified xsi:type="dcterms:W3CDTF">2026-10-09T15:32:09Z</dcterms:modified>
  <cp:revision>176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