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94" w:rsidRPr="008B0503" w:rsidRDefault="008B0503" w:rsidP="008B0503">
      <w:pPr>
        <w:jc w:val="center"/>
        <w:rPr>
          <w:rFonts w:ascii="Times New Roman" w:hAnsi="Times New Roman"/>
          <w:b/>
          <w:color w:val="242424"/>
          <w:sz w:val="28"/>
          <w:szCs w:val="28"/>
          <w:shd w:val="clear" w:color="auto" w:fill="FFFFFF"/>
        </w:rPr>
      </w:pPr>
      <w:r w:rsidRPr="008B0503">
        <w:rPr>
          <w:rFonts w:ascii="Times New Roman" w:hAnsi="Times New Roman"/>
          <w:b/>
          <w:color w:val="242424"/>
          <w:sz w:val="28"/>
          <w:szCs w:val="28"/>
          <w:shd w:val="clear" w:color="auto" w:fill="FFFFFF"/>
        </w:rPr>
        <w:t>Інформація про діяльність благодійного фонду “Фонд Ігоря Палиці – Новий Луцьк”</w:t>
      </w:r>
      <w:r>
        <w:rPr>
          <w:rFonts w:ascii="Times New Roman" w:hAnsi="Times New Roman"/>
          <w:b/>
          <w:color w:val="242424"/>
          <w:sz w:val="28"/>
          <w:szCs w:val="28"/>
          <w:shd w:val="clear" w:color="auto" w:fill="FFFFFF"/>
        </w:rPr>
        <w:t xml:space="preserve"> у І півріччі 2013 року</w:t>
      </w:r>
    </w:p>
    <w:p w:rsidR="00CA4094" w:rsidRPr="009031DD" w:rsidRDefault="00CA4094" w:rsidP="008B0503">
      <w:pPr>
        <w:jc w:val="both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</w:p>
    <w:p w:rsidR="00CA4094" w:rsidRPr="00B21622" w:rsidRDefault="00B21622" w:rsidP="008B0503">
      <w:pPr>
        <w:ind w:firstLine="708"/>
        <w:jc w:val="both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  <w:r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Благодійний</w:t>
      </w:r>
      <w:r w:rsidR="00CA4094"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r w:rsidR="00CA4094" w:rsidRPr="00B21622">
        <w:rPr>
          <w:rFonts w:ascii="Times New Roman" w:hAnsi="Times New Roman"/>
          <w:sz w:val="28"/>
          <w:szCs w:val="28"/>
          <w:shd w:val="clear" w:color="auto" w:fill="FFFFFF"/>
        </w:rPr>
        <w:t xml:space="preserve">Фонд </w:t>
      </w:r>
      <w:r>
        <w:rPr>
          <w:rFonts w:ascii="Times New Roman" w:hAnsi="Times New Roman"/>
          <w:sz w:val="28"/>
          <w:szCs w:val="28"/>
          <w:shd w:val="clear" w:color="auto" w:fill="FFFFFF"/>
        </w:rPr>
        <w:t>“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Фонд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Ігоря Палиці – Новий Луцьк” постав як організація, місія і призначення котрої </w:t>
      </w:r>
      <w:r w:rsidR="008B0503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допомагати фінансово, матеріально, юридично</w:t>
      </w:r>
      <w:r w:rsidR="008B0503">
        <w:rPr>
          <w:rFonts w:ascii="Times New Roman" w:hAnsi="Times New Roman"/>
          <w:sz w:val="28"/>
          <w:szCs w:val="28"/>
          <w:shd w:val="clear" w:color="auto" w:fill="FFFFFF"/>
        </w:rPr>
        <w:t xml:space="preserve"> тощо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громадянам Луцька</w:t>
      </w:r>
      <w:r w:rsidR="00CA4094" w:rsidRPr="00B216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27548">
        <w:rPr>
          <w:rFonts w:ascii="Times New Roman" w:hAnsi="Times New Roman"/>
          <w:sz w:val="28"/>
          <w:szCs w:val="28"/>
          <w:shd w:val="clear" w:color="auto" w:fill="FFFFFF"/>
        </w:rPr>
        <w:t>відповідно до</w:t>
      </w:r>
      <w:r w:rsidR="00CA4094" w:rsidRPr="00B21622">
        <w:rPr>
          <w:rFonts w:ascii="Times New Roman" w:hAnsi="Times New Roman"/>
          <w:sz w:val="28"/>
          <w:szCs w:val="28"/>
          <w:shd w:val="clear" w:color="auto" w:fill="FFFFFF"/>
        </w:rPr>
        <w:t xml:space="preserve"> семи розроблених цільових програм, кожна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 яких має на меті </w:t>
      </w:r>
      <w:r w:rsidR="008B0503">
        <w:rPr>
          <w:rFonts w:ascii="Times New Roman" w:hAnsi="Times New Roman"/>
          <w:sz w:val="28"/>
          <w:szCs w:val="28"/>
          <w:shd w:val="clear" w:color="auto" w:fill="FFFFFF"/>
        </w:rPr>
        <w:t xml:space="preserve">у підсумку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зробити місто</w:t>
      </w:r>
      <w:r w:rsidR="00CA4094" w:rsidRPr="00B21622">
        <w:rPr>
          <w:rFonts w:ascii="Times New Roman" w:hAnsi="Times New Roman"/>
          <w:sz w:val="28"/>
          <w:szCs w:val="28"/>
          <w:shd w:val="clear" w:color="auto" w:fill="FFFFFF"/>
        </w:rPr>
        <w:t xml:space="preserve"> кращим і комфортнішим, цікав</w:t>
      </w:r>
      <w:r w:rsidR="00F27548">
        <w:rPr>
          <w:rFonts w:ascii="Times New Roman" w:hAnsi="Times New Roman"/>
          <w:sz w:val="28"/>
          <w:szCs w:val="28"/>
          <w:shd w:val="clear" w:color="auto" w:fill="FFFFFF"/>
        </w:rPr>
        <w:t>іш</w:t>
      </w:r>
      <w:r w:rsidR="00CA4094" w:rsidRPr="00B21622">
        <w:rPr>
          <w:rFonts w:ascii="Times New Roman" w:hAnsi="Times New Roman"/>
          <w:sz w:val="28"/>
          <w:szCs w:val="28"/>
          <w:shd w:val="clear" w:color="auto" w:fill="FFFFFF"/>
        </w:rPr>
        <w:t>им і приваблив</w:t>
      </w:r>
      <w:r w:rsidR="00F27548">
        <w:rPr>
          <w:rFonts w:ascii="Times New Roman" w:hAnsi="Times New Roman"/>
          <w:sz w:val="28"/>
          <w:szCs w:val="28"/>
          <w:shd w:val="clear" w:color="auto" w:fill="FFFFFF"/>
        </w:rPr>
        <w:t>іш</w:t>
      </w:r>
      <w:r w:rsidR="00CA4094" w:rsidRPr="00B21622">
        <w:rPr>
          <w:rFonts w:ascii="Times New Roman" w:hAnsi="Times New Roman"/>
          <w:sz w:val="28"/>
          <w:szCs w:val="28"/>
          <w:shd w:val="clear" w:color="auto" w:fill="FFFFFF"/>
        </w:rPr>
        <w:t>им для гостей і туристів.</w:t>
      </w:r>
      <w:r w:rsidR="00CA4094"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Створення інтерактивної карти міста, </w:t>
      </w:r>
      <w:r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фінансування </w:t>
      </w:r>
      <w:r w:rsidR="00CA4094"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проектів у різн</w:t>
      </w:r>
      <w:r w:rsidR="008468B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их </w:t>
      </w:r>
      <w:r w:rsidR="00DD5B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сферах</w:t>
      </w:r>
      <w:r w:rsidR="008468B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: соціальній, культурній, освітній, науковій</w:t>
      </w:r>
      <w:r w:rsidR="00CA4094"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, підтримка галузі охорони здоров’я, молодіжних ініціатив, творчої та обдаров</w:t>
      </w:r>
      <w:r w:rsidR="008468B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аної молоді – це важливі чинники</w:t>
      </w:r>
      <w:r w:rsidR="00CA4094"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для розвитку Луцька</w:t>
      </w:r>
      <w:r w:rsidR="008468B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як сучасного міста</w:t>
      </w:r>
      <w:r w:rsidR="00CA4094"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.</w:t>
      </w:r>
    </w:p>
    <w:p w:rsidR="00CA4094" w:rsidRDefault="00787ADE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r w:rsid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Європе</w:t>
      </w:r>
      <w:r w:rsidR="00DD5B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й</w:t>
      </w:r>
      <w:r w:rsid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ський досвід роботи, практика авторитетних благодійних фондів зі світовим ім</w:t>
      </w:r>
      <w:r w:rsidR="00B21622"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’я</w:t>
      </w:r>
      <w:r w:rsidR="008B0503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м та геокультурна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історико-ментальна</w:t>
      </w:r>
      <w:proofErr w:type="spellEnd"/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специфіка</w:t>
      </w:r>
      <w:r w:rsid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нашого міста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r w:rsid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сформували 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стратегію діяльності фонду, яка знайшла своє відображення у </w:t>
      </w:r>
      <w:r w:rsidR="00F275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магістральних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довгострокових цільових програмах.</w:t>
      </w:r>
      <w:r w:rsidR="00CA4094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r w:rsidR="008468B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Завдання яких</w:t>
      </w:r>
      <w:r w:rsid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скристалізувалися відповідно до потреб, запитів </w:t>
      </w:r>
      <w:r w:rsidR="00F275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мешканців Луцька</w:t>
      </w:r>
      <w:r w:rsid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, громадських</w:t>
      </w:r>
      <w:r w:rsidR="00CA4094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організацій</w:t>
      </w:r>
      <w:r w:rsidR="008468B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та управлінь, комітетів</w:t>
      </w:r>
      <w:r w:rsid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міської ради</w:t>
      </w:r>
      <w:r w:rsidR="00CA4094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, з якими </w:t>
      </w:r>
      <w:r w:rsidR="0045546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активно і дієво </w:t>
      </w:r>
      <w:r w:rsidR="00CA4094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співпрацює Фонд. </w:t>
      </w:r>
    </w:p>
    <w:p w:rsidR="00CA4094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</w:p>
    <w:p w:rsidR="00787ADE" w:rsidRPr="009031DD" w:rsidRDefault="008468B8" w:rsidP="00787ADE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Інформуючи про діяльність благодійного фонду</w:t>
      </w:r>
      <w:r w:rsidR="00B21622"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за перше півріччя 2013 року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маємо на меті наголосити на </w:t>
      </w:r>
      <w:r w:rsidR="00DD5B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обґрунтованості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стратегії, пріор</w:t>
      </w:r>
      <w:r w:rsidR="00DD5B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тетних напрямах і програмах, важливості і різноманітності форм наданої благодійної допомоги</w:t>
      </w:r>
      <w:r w:rsidR="00B21622" w:rsidRPr="00B21622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. </w:t>
      </w:r>
      <w:r w:rsidR="00787ADE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А також акцентувати увагу</w:t>
      </w:r>
      <w:r w:rsidR="00F275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на </w:t>
      </w:r>
      <w:r w:rsidR="00787ADE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потужності фінансового ресурсу у реалізації благодійної діяльності.</w:t>
      </w:r>
      <w:r w:rsidR="00787ADE" w:rsidRPr="00787ADE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</w:p>
    <w:p w:rsidR="00B21622" w:rsidRPr="00B21622" w:rsidRDefault="00B21622" w:rsidP="008B0503">
      <w:pPr>
        <w:jc w:val="both"/>
        <w:rPr>
          <w:rFonts w:ascii="Times New Roman" w:hAnsi="Times New Roman"/>
          <w:color w:val="242424"/>
          <w:sz w:val="20"/>
          <w:szCs w:val="20"/>
          <w:shd w:val="clear" w:color="auto" w:fill="FFFFFF"/>
        </w:rPr>
      </w:pPr>
    </w:p>
    <w:p w:rsidR="00787ADE" w:rsidRPr="00787ADE" w:rsidRDefault="00787ADE" w:rsidP="00787ADE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b/>
          <w:color w:val="242424"/>
          <w:sz w:val="28"/>
          <w:szCs w:val="28"/>
          <w:shd w:val="clear" w:color="auto" w:fill="FFFFFF"/>
        </w:rPr>
      </w:pPr>
      <w:r w:rsidRPr="00787ADE">
        <w:rPr>
          <w:rFonts w:ascii="Times New Roman" w:hAnsi="Times New Roman"/>
          <w:b/>
          <w:color w:val="242424"/>
          <w:sz w:val="28"/>
          <w:szCs w:val="28"/>
          <w:shd w:val="clear" w:color="auto" w:fill="FFFFFF"/>
        </w:rPr>
        <w:t>Програми, які виконувались у першому півріччі 2013 р., та їх бюджет:</w:t>
      </w:r>
    </w:p>
    <w:p w:rsidR="00787ADE" w:rsidRDefault="00787ADE" w:rsidP="00787ADE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</w:p>
    <w:tbl>
      <w:tblPr>
        <w:tblW w:w="8720" w:type="dxa"/>
        <w:tblInd w:w="93" w:type="dxa"/>
        <w:tblLook w:val="04A0" w:firstRow="1" w:lastRow="0" w:firstColumn="1" w:lastColumn="0" w:noHBand="0" w:noVBand="1"/>
      </w:tblPr>
      <w:tblGrid>
        <w:gridCol w:w="6880"/>
        <w:gridCol w:w="1840"/>
      </w:tblGrid>
      <w:tr w:rsidR="00F27548" w:rsidRPr="00F27548" w:rsidTr="00F27548">
        <w:trPr>
          <w:trHeight w:val="60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48" w:rsidRPr="00F27548" w:rsidRDefault="00F27548" w:rsidP="00F275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Програма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48" w:rsidRPr="00F27548" w:rsidRDefault="00F27548" w:rsidP="00F275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Бюджет, млн. грн.</w:t>
            </w:r>
          </w:p>
        </w:tc>
      </w:tr>
      <w:tr w:rsidR="00F27548" w:rsidRPr="00F27548" w:rsidTr="00F27548">
        <w:trPr>
          <w:trHeight w:val="31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48" w:rsidRPr="00F27548" w:rsidRDefault="00F27548" w:rsidP="00F275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З  добром у серці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48" w:rsidRPr="00F27548" w:rsidRDefault="00F27548" w:rsidP="00F2754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1,54</w:t>
            </w:r>
          </w:p>
        </w:tc>
      </w:tr>
      <w:tr w:rsidR="00F27548" w:rsidRPr="00F27548" w:rsidTr="00F27548">
        <w:trPr>
          <w:trHeight w:val="31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48" w:rsidRPr="00F27548" w:rsidRDefault="00F27548" w:rsidP="00DD5B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Здоров'я лучан </w:t>
            </w:r>
            <w:r w:rsidR="00DD5B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– </w:t>
            </w: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запорука майбутнього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48" w:rsidRPr="00F27548" w:rsidRDefault="00F27548" w:rsidP="00F2754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9,84</w:t>
            </w:r>
          </w:p>
        </w:tc>
      </w:tr>
      <w:tr w:rsidR="00F27548" w:rsidRPr="00F27548" w:rsidTr="00F27548">
        <w:trPr>
          <w:trHeight w:val="31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48" w:rsidRPr="00F27548" w:rsidRDefault="00F27548" w:rsidP="00DD5B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Луцьк </w:t>
            </w:r>
            <w:r w:rsidR="00DD5B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– </w:t>
            </w: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центр сучасної освіти  і науки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48" w:rsidRPr="00F27548" w:rsidRDefault="00F27548" w:rsidP="00F2754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0,90</w:t>
            </w:r>
          </w:p>
        </w:tc>
      </w:tr>
      <w:tr w:rsidR="00F27548" w:rsidRPr="00F27548" w:rsidTr="00F27548">
        <w:trPr>
          <w:trHeight w:val="31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48" w:rsidRPr="00F27548" w:rsidRDefault="00F27548" w:rsidP="00DD5B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Підтримка творчої та обдарованої молоді </w:t>
            </w:r>
            <w:r w:rsidR="00DD5B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– </w:t>
            </w: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інвестиція в майбутнє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48" w:rsidRPr="00F27548" w:rsidRDefault="00F27548" w:rsidP="00F2754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1,13</w:t>
            </w:r>
          </w:p>
        </w:tc>
      </w:tr>
      <w:tr w:rsidR="00F27548" w:rsidRPr="00F27548" w:rsidTr="00F27548">
        <w:trPr>
          <w:trHeight w:val="31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48" w:rsidRPr="00F27548" w:rsidRDefault="00F27548" w:rsidP="00DD5B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Культура і духовність </w:t>
            </w:r>
            <w:r w:rsidR="00DD5B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– </w:t>
            </w: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головне багатство лучан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48" w:rsidRPr="00F27548" w:rsidRDefault="00F27548" w:rsidP="00F2754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0,70</w:t>
            </w:r>
          </w:p>
        </w:tc>
      </w:tr>
      <w:tr w:rsidR="00F27548" w:rsidRPr="00F27548" w:rsidTr="00F27548">
        <w:trPr>
          <w:trHeight w:val="31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48" w:rsidRPr="00F27548" w:rsidRDefault="00F27548" w:rsidP="00DD5B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Луцьку </w:t>
            </w:r>
            <w:r w:rsidR="00DD5B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– </w:t>
            </w: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спорт високих досягнень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48" w:rsidRPr="00F27548" w:rsidRDefault="00F27548" w:rsidP="00F2754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1,78</w:t>
            </w:r>
          </w:p>
        </w:tc>
      </w:tr>
      <w:tr w:rsidR="00F27548" w:rsidRPr="00F27548" w:rsidTr="00F27548">
        <w:trPr>
          <w:trHeight w:val="31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48" w:rsidRPr="00F27548" w:rsidRDefault="00F27548" w:rsidP="00F275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РАЗОМ: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48" w:rsidRPr="00F27548" w:rsidRDefault="00F27548" w:rsidP="00F275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275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15,89</w:t>
            </w:r>
          </w:p>
        </w:tc>
      </w:tr>
    </w:tbl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lang w:eastAsia="uk-UA"/>
        </w:rPr>
      </w:pPr>
    </w:p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</w:p>
    <w:p w:rsidR="00CA4094" w:rsidRPr="009031DD" w:rsidRDefault="00727710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b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color w:val="242424"/>
          <w:sz w:val="28"/>
          <w:szCs w:val="28"/>
          <w:shd w:val="clear" w:color="auto" w:fill="FFFFFF"/>
          <w:lang w:eastAsia="uk-UA"/>
        </w:rPr>
        <w:lastRenderedPageBreak/>
        <w:drawing>
          <wp:inline distT="0" distB="0" distL="0" distR="0">
            <wp:extent cx="6120765" cy="3743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094" w:rsidRPr="00787ADE" w:rsidRDefault="00CA4094" w:rsidP="00787ADE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  <w:r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Програма</w:t>
      </w:r>
      <w:r w:rsidR="00787ADE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“З добром у серці”</w:t>
      </w:r>
      <w:r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передбачає допомогу одиноким пенсіонерам, інвалідам, сиротам, малозабезпеченим сім’ям, які найбільше потребують підтримки та піклування. 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Дослідивши </w:t>
      </w:r>
      <w:r w:rsidR="00F275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та узагальнивши 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нагальні потреби різних категорій населення, благодійний фонд здійснює свою діяльність у різних напрямках</w:t>
      </w:r>
      <w:r w:rsidR="00F275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починаючи від забезпечення фізичних </w:t>
      </w:r>
      <w:r w:rsidR="0045546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і матеріальних 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потреб, </w:t>
      </w:r>
      <w:r w:rsidR="00F275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– тобто 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найнеобхіднішого, до реалізації проектів, що дають можливість розвиватис</w:t>
      </w:r>
      <w:r w:rsidR="00F275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та збагачувати</w:t>
      </w:r>
      <w:r w:rsid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с</w:t>
      </w:r>
      <w:r w:rsidR="00F2754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я</w:t>
      </w:r>
      <w:r w:rsid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духовно.</w:t>
      </w:r>
    </w:p>
    <w:p w:rsidR="00CA4094" w:rsidRPr="00787ADE" w:rsidRDefault="00CA4094" w:rsidP="00E70511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A60532">
        <w:rPr>
          <w:rFonts w:ascii="Times New Roman" w:hAnsi="Times New Roman"/>
          <w:sz w:val="28"/>
          <w:szCs w:val="28"/>
          <w:shd w:val="clear" w:color="auto" w:fill="FFFFFF"/>
        </w:rPr>
        <w:t>У рамках реалізації проекту охоплено всі вікові категорії, які потребують особливої уваги та допомоги.</w:t>
      </w:r>
      <w:r w:rsidR="00E9075B">
        <w:rPr>
          <w:rFonts w:ascii="Times New Roman" w:hAnsi="Times New Roman"/>
          <w:sz w:val="28"/>
          <w:szCs w:val="28"/>
          <w:shd w:val="clear" w:color="auto" w:fill="FFFFFF"/>
        </w:rPr>
        <w:t xml:space="preserve"> Найперше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4554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9075B">
        <w:rPr>
          <w:rFonts w:ascii="Times New Roman" w:hAnsi="Times New Roman"/>
          <w:sz w:val="28"/>
          <w:szCs w:val="28"/>
          <w:shd w:val="clear" w:color="auto" w:fill="FFFFFF"/>
        </w:rPr>
        <w:t xml:space="preserve">це </w:t>
      </w:r>
      <w:r w:rsidR="00E9075B" w:rsidRPr="00E9075B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E9075B">
        <w:rPr>
          <w:rFonts w:ascii="Times New Roman" w:hAnsi="Times New Roman"/>
          <w:sz w:val="28"/>
          <w:szCs w:val="28"/>
          <w:shd w:val="clear" w:color="auto" w:fill="FFFFFF"/>
        </w:rPr>
        <w:t>опомога людям похилого віку</w:t>
      </w:r>
      <w:r w:rsidRPr="00A60532">
        <w:rPr>
          <w:rFonts w:ascii="Times New Roman" w:hAnsi="Times New Roman"/>
          <w:sz w:val="28"/>
          <w:szCs w:val="28"/>
          <w:shd w:val="clear" w:color="auto" w:fill="FFFFFF"/>
        </w:rPr>
        <w:t>, які потрапили  у важкі життєві обставини</w:t>
      </w:r>
      <w:r w:rsidR="0045546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605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 xml:space="preserve">і </w:t>
      </w:r>
      <w:r w:rsidRPr="00A60532">
        <w:rPr>
          <w:rFonts w:ascii="Times New Roman" w:hAnsi="Times New Roman"/>
          <w:sz w:val="28"/>
          <w:szCs w:val="28"/>
          <w:shd w:val="clear" w:color="auto" w:fill="FFFFFF"/>
        </w:rPr>
        <w:t>здійснюється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 xml:space="preserve"> вона </w:t>
      </w:r>
      <w:r w:rsidRPr="00A60532">
        <w:rPr>
          <w:rFonts w:ascii="Times New Roman" w:hAnsi="Times New Roman"/>
          <w:sz w:val="28"/>
          <w:szCs w:val="28"/>
          <w:shd w:val="clear" w:color="auto" w:fill="FFFFFF"/>
        </w:rPr>
        <w:t>у співпраці з Луцьким територіальним центром соціа</w:t>
      </w:r>
      <w:r w:rsidR="00787ADE">
        <w:rPr>
          <w:rFonts w:ascii="Times New Roman" w:hAnsi="Times New Roman"/>
          <w:sz w:val="28"/>
          <w:szCs w:val="28"/>
          <w:shd w:val="clear" w:color="auto" w:fill="FFFFFF"/>
        </w:rPr>
        <w:t xml:space="preserve">льного обслуговування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(надання соціальних послуг) </w:t>
      </w:r>
      <w:proofErr w:type="spellStart"/>
      <w:r w:rsidR="004979D7">
        <w:rPr>
          <w:rFonts w:ascii="Times New Roman" w:hAnsi="Times New Roman"/>
          <w:sz w:val="28"/>
          <w:szCs w:val="28"/>
          <w:shd w:val="clear" w:color="auto" w:fill="FFFFFF"/>
        </w:rPr>
        <w:t>м.Луцька</w:t>
      </w:r>
      <w:proofErr w:type="spellEnd"/>
      <w:r w:rsidR="00787AD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Територіальний центр обслуговує людей, які перебувають у складних життєвих обставинах та потребують сторонньої допомоги. Це </w:t>
      </w:r>
      <w:r w:rsidR="00E70511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– </w:t>
      </w:r>
      <w:r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люди похилого віку, інваліди, безробітні тощо. Понад три тисячі громадян отримують соціальні послуги. </w:t>
      </w:r>
    </w:p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  <w:r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У рамках співпраці з Територіальним центром благодійний фонд здійснив:</w:t>
      </w:r>
    </w:p>
    <w:p w:rsidR="00E9075B" w:rsidRDefault="00E9075B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- ремонт приміщення, закупівлю</w:t>
      </w:r>
      <w:r w:rsidR="00CA4094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обладнання</w:t>
      </w:r>
      <w:r w:rsidR="00CA4094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, 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посуду </w:t>
      </w:r>
      <w:r w:rsidR="00CA4094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та 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побутової техніки</w:t>
      </w:r>
      <w:r w:rsidR="00CA4094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для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організації хар</w:t>
      </w:r>
      <w:r w:rsidR="0045546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чування  додатково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70</w:t>
      </w:r>
      <w:r w:rsidR="00E70511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-ти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громадян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у день;</w:t>
      </w:r>
    </w:p>
    <w:p w:rsidR="00E9075B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  <w:r w:rsidRP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- заб</w:t>
      </w:r>
      <w:r w:rsid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езпечення</w:t>
      </w:r>
      <w:r w:rsidRP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необхідною комп’ютерною технікою</w:t>
      </w:r>
      <w:r w:rsid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;</w:t>
      </w:r>
      <w:r w:rsidRP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</w:p>
    <w:p w:rsidR="00E9075B" w:rsidRDefault="00E9075B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-</w:t>
      </w:r>
      <w:r w:rsidR="0045546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придбано медтехніку для</w:t>
      </w:r>
      <w:r w:rsidR="00CA4094" w:rsidRP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фізіотерап</w:t>
      </w:r>
      <w:r w:rsidR="0045546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евтичного кабінету</w:t>
      </w:r>
      <w:r w:rsidR="00CA4094" w:rsidRP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;</w:t>
      </w:r>
    </w:p>
    <w:p w:rsidR="00CA4094" w:rsidRPr="00E9075B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  <w:r w:rsidRP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- щом</w:t>
      </w:r>
      <w:r w:rsid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ісяця виділяються</w:t>
      </w:r>
      <w:r w:rsidRP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кошти на с</w:t>
      </w:r>
      <w:r w:rsid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анітарно-гігієнічні засоби для </w:t>
      </w:r>
      <w:proofErr w:type="spellStart"/>
      <w:r w:rsid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ліжкохворих</w:t>
      </w:r>
      <w:proofErr w:type="spellEnd"/>
      <w:r w:rsidRPr="00E9075B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.</w:t>
      </w:r>
    </w:p>
    <w:p w:rsidR="00CA4094" w:rsidRPr="005F519F" w:rsidRDefault="00E9075B" w:rsidP="005F519F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CA4094" w:rsidRPr="000B1099">
        <w:rPr>
          <w:rFonts w:ascii="Times New Roman" w:hAnsi="Times New Roman"/>
          <w:sz w:val="28"/>
          <w:szCs w:val="28"/>
          <w:shd w:val="clear" w:color="auto" w:fill="FFFFFF"/>
        </w:rPr>
        <w:t xml:space="preserve">собливої уваги 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постійної допомоги потребують</w:t>
      </w:r>
      <w:r w:rsidR="00CA4094" w:rsidRPr="000B1099">
        <w:rPr>
          <w:rFonts w:ascii="Times New Roman" w:hAnsi="Times New Roman"/>
          <w:sz w:val="28"/>
          <w:szCs w:val="28"/>
          <w:shd w:val="clear" w:color="auto" w:fill="FFFFFF"/>
        </w:rPr>
        <w:t xml:space="preserve"> ді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>ти, які позбавлені</w:t>
      </w:r>
      <w:r w:rsidR="00CA4094" w:rsidRPr="000B1099">
        <w:rPr>
          <w:rFonts w:ascii="Times New Roman" w:hAnsi="Times New Roman"/>
          <w:sz w:val="28"/>
          <w:szCs w:val="28"/>
          <w:shd w:val="clear" w:color="auto" w:fill="FFFFFF"/>
        </w:rPr>
        <w:t xml:space="preserve"> батьківської любові,</w:t>
      </w:r>
      <w:r w:rsidR="00CA4094">
        <w:rPr>
          <w:rFonts w:ascii="Times New Roman" w:hAnsi="Times New Roman"/>
          <w:sz w:val="28"/>
          <w:szCs w:val="28"/>
          <w:shd w:val="clear" w:color="auto" w:fill="FFFFFF"/>
        </w:rPr>
        <w:t xml:space="preserve"> або ж сім’ї яких опинились у скрутній ситуації. Благодійний фонд реалізує програму </w:t>
      </w:r>
      <w:r w:rsidR="00CA4094" w:rsidRPr="00787ADE">
        <w:rPr>
          <w:rFonts w:ascii="Times New Roman" w:hAnsi="Times New Roman"/>
          <w:sz w:val="28"/>
          <w:szCs w:val="28"/>
          <w:shd w:val="clear" w:color="auto" w:fill="FFFFFF"/>
        </w:rPr>
        <w:t>«З добром у серці»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A4094" w:rsidRPr="00787ADE">
        <w:rPr>
          <w:rFonts w:ascii="Times New Roman" w:hAnsi="Times New Roman"/>
          <w:sz w:val="28"/>
          <w:szCs w:val="28"/>
          <w:shd w:val="clear" w:color="auto" w:fill="FFFFFF"/>
        </w:rPr>
        <w:t xml:space="preserve"> допом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агаючи</w:t>
      </w:r>
      <w:r w:rsidR="00CA4094" w:rsidRPr="00787A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A64E5" w:rsidRPr="00787ADE">
        <w:rPr>
          <w:rFonts w:ascii="Times New Roman" w:hAnsi="Times New Roman"/>
          <w:sz w:val="28"/>
          <w:szCs w:val="28"/>
          <w:shd w:val="clear" w:color="auto" w:fill="FFFFFF"/>
        </w:rPr>
        <w:t xml:space="preserve">таким </w:t>
      </w:r>
      <w:r w:rsidR="00CA4094" w:rsidRPr="00787ADE">
        <w:rPr>
          <w:rFonts w:ascii="Times New Roman" w:hAnsi="Times New Roman"/>
          <w:sz w:val="28"/>
          <w:szCs w:val="28"/>
          <w:shd w:val="clear" w:color="auto" w:fill="FFFFFF"/>
        </w:rPr>
        <w:t>дітям</w:t>
      </w:r>
      <w:r w:rsidR="00CA4094" w:rsidRPr="0028091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>у різних формах:</w:t>
      </w:r>
      <w:r w:rsidR="005F519F">
        <w:rPr>
          <w:rFonts w:ascii="Times New Roman" w:hAnsi="Times New Roman"/>
          <w:sz w:val="28"/>
          <w:szCs w:val="28"/>
          <w:shd w:val="clear" w:color="auto" w:fill="FFFFFF"/>
        </w:rPr>
        <w:t xml:space="preserve"> х</w:t>
      </w:r>
      <w:r w:rsidR="00CA4094" w:rsidRPr="005F519F">
        <w:rPr>
          <w:rFonts w:ascii="Times New Roman" w:hAnsi="Times New Roman"/>
          <w:sz w:val="28"/>
          <w:szCs w:val="28"/>
          <w:shd w:val="clear" w:color="auto" w:fill="FFFFFF"/>
        </w:rPr>
        <w:t>арчування соціально незахищених категорій</w:t>
      </w:r>
    </w:p>
    <w:p w:rsidR="00CA4094" w:rsidRPr="001960E5" w:rsidRDefault="005F519F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(дітей-сиріт</w:t>
      </w:r>
      <w:r w:rsidR="00E70511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–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учнів загальноосвітніх навча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льних закладів, студентів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, дітей, позбавлених батьківського піклування, напівсиріт та і</w:t>
      </w:r>
      <w:r w:rsidR="0045546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нших малозабезпечених </w:t>
      </w:r>
      <w:r w:rsidR="0045546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lastRenderedPageBreak/>
        <w:t>категорій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. Уп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родовж півріччя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r w:rsidR="00E70511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кошти 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на харчування отримували 170 студентів 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>Східноєвропейського національного університету імені Лесі Українки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, 65 учнів загальноосвітніх навчальних закладі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в Луцька на суму 357 736,00 </w:t>
      </w:r>
      <w:proofErr w:type="spellStart"/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грн</w:t>
      </w:r>
      <w:proofErr w:type="spellEnd"/>
      <w:r w:rsidR="0045546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;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CA4094" w:rsidRPr="005F519F">
        <w:rPr>
          <w:rFonts w:ascii="Times New Roman" w:hAnsi="Times New Roman"/>
          <w:sz w:val="28"/>
          <w:szCs w:val="28"/>
          <w:shd w:val="clear" w:color="auto" w:fill="FFFFFF"/>
        </w:rPr>
        <w:t>рганізація привітань та вручення подарункових наборів дітям-сиротам та тим, які залишилис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CA4094" w:rsidRPr="005F519F">
        <w:rPr>
          <w:rFonts w:ascii="Times New Roman" w:hAnsi="Times New Roman"/>
          <w:sz w:val="28"/>
          <w:szCs w:val="28"/>
          <w:shd w:val="clear" w:color="auto" w:fill="FFFFFF"/>
        </w:rPr>
        <w:t xml:space="preserve"> без батьківського піклування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а</w:t>
      </w:r>
      <w:r w:rsidR="001A64E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ктивна </w:t>
      </w:r>
      <w:r w:rsidR="001A64E5" w:rsidRPr="005F519F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участь Фонду </w:t>
      </w:r>
      <w:r w:rsidR="001960E5" w:rsidRPr="005F519F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у благодійних акціях, марафона</w:t>
      </w:r>
      <w:r w:rsidR="001A64E5" w:rsidRPr="005F519F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х,</w:t>
      </w:r>
      <w:r w:rsidR="001A64E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зокрема</w:t>
      </w:r>
      <w:r w:rsidR="00E70511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:</w:t>
      </w:r>
      <w:r w:rsidR="001A64E5" w:rsidRPr="001A6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r w:rsidR="001A64E5" w:rsidRPr="009031DD">
        <w:rPr>
          <w:rFonts w:ascii="Times New Roman" w:hAnsi="Times New Roman"/>
          <w:sz w:val="28"/>
          <w:szCs w:val="28"/>
          <w:shd w:val="clear" w:color="auto" w:fill="FFFFFF"/>
        </w:rPr>
        <w:t>сьомо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="001A64E5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Різдвяно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="001A64E5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благодійно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="001A64E5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A64E5" w:rsidRPr="009031DD">
        <w:rPr>
          <w:rFonts w:ascii="Times New Roman" w:hAnsi="Times New Roman"/>
          <w:sz w:val="28"/>
          <w:szCs w:val="28"/>
          <w:shd w:val="clear" w:color="auto" w:fill="FFFFFF"/>
        </w:rPr>
        <w:t>телемарафон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і</w:t>
      </w:r>
      <w:proofErr w:type="spellEnd"/>
      <w:r w:rsidR="001A64E5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«Бог багатий милосердям»,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 xml:space="preserve"> Всеукраїнсько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 xml:space="preserve"> благодійно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 xml:space="preserve"> фестивал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1A64E5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духовн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>ої пісні «Волинський благовіст»</w:t>
      </w:r>
      <w:r w:rsidR="001960E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960E5" w:rsidRPr="009031DD">
        <w:rPr>
          <w:rFonts w:ascii="Times New Roman" w:hAnsi="Times New Roman"/>
          <w:sz w:val="28"/>
          <w:szCs w:val="28"/>
          <w:shd w:val="clear" w:color="auto" w:fill="FFFFFF"/>
        </w:rPr>
        <w:t>«Великодні барви»</w:t>
      </w:r>
      <w:r w:rsidR="001960E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60E5" w:rsidRPr="009031DD">
        <w:rPr>
          <w:rFonts w:ascii="Times New Roman" w:hAnsi="Times New Roman"/>
          <w:sz w:val="28"/>
          <w:szCs w:val="28"/>
          <w:shd w:val="clear" w:color="auto" w:fill="FFFFFF"/>
        </w:rPr>
        <w:t>автопробіг</w:t>
      </w:r>
      <w:r w:rsidR="001960E5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1960E5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«Серце для сиріт»</w:t>
      </w:r>
      <w:r w:rsidR="001960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>та інших із бюджетом понад 100 тис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 xml:space="preserve"> грн.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Ця діяльність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 xml:space="preserve"> спрямована </w:t>
      </w:r>
      <w:r w:rsidR="001A64E5" w:rsidRPr="009031DD">
        <w:rPr>
          <w:rFonts w:ascii="Times New Roman" w:hAnsi="Times New Roman"/>
          <w:sz w:val="28"/>
          <w:szCs w:val="28"/>
          <w:shd w:val="clear" w:color="auto" w:fill="FFFFFF"/>
        </w:rPr>
        <w:t>на допомогу дітям-сиротам та дітям, позбавленим батьківсь</w:t>
      </w:r>
      <w:r w:rsidR="001A64E5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1A64E5" w:rsidRPr="009031DD">
        <w:rPr>
          <w:rFonts w:ascii="Times New Roman" w:hAnsi="Times New Roman"/>
          <w:sz w:val="28"/>
          <w:szCs w:val="28"/>
          <w:shd w:val="clear" w:color="auto" w:fill="FFFFFF"/>
        </w:rPr>
        <w:t>ого піклування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а також, покликана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допомогти подолати проблему сирітства в Україні і заохотити людей брати у свої сім’ї дітей, які виховуються у дитячих будинках та притулках. </w:t>
      </w:r>
    </w:p>
    <w:p w:rsidR="00CA4094" w:rsidRDefault="00CA4094" w:rsidP="00E70511">
      <w:pPr>
        <w:widowControl w:val="0"/>
        <w:spacing w:after="0"/>
        <w:ind w:firstLine="480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Реалізовуючи програму «З добром у серці»</w:t>
      </w:r>
      <w:r w:rsidR="001960E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пильна</w:t>
      </w:r>
      <w:r w:rsidR="001960E5">
        <w:rPr>
          <w:rFonts w:ascii="Times New Roman" w:hAnsi="Times New Roman"/>
          <w:sz w:val="28"/>
          <w:szCs w:val="28"/>
          <w:shd w:val="clear" w:color="auto" w:fill="FFFFFF"/>
        </w:rPr>
        <w:t xml:space="preserve"> увага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60E5">
        <w:rPr>
          <w:rFonts w:ascii="Times New Roman" w:hAnsi="Times New Roman"/>
          <w:sz w:val="28"/>
          <w:szCs w:val="28"/>
          <w:shd w:val="clear" w:color="auto" w:fill="FFFFFF"/>
        </w:rPr>
        <w:t>приділяється і тим людям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які мають особливі потреби. Адже саме крізь призму ставлення до людей </w:t>
      </w:r>
      <w:r w:rsidRPr="005F519F">
        <w:rPr>
          <w:rFonts w:ascii="Times New Roman" w:hAnsi="Times New Roman"/>
          <w:sz w:val="28"/>
          <w:szCs w:val="28"/>
          <w:shd w:val="clear" w:color="auto" w:fill="FFFFFF"/>
        </w:rPr>
        <w:t>з особливими потребами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легко визначити рівень розвитку суспільства. Тому благодійний фонд активно співпрацює з організаціями, які допомагають таким людям:</w:t>
      </w:r>
    </w:p>
    <w:p w:rsidR="00CA4094" w:rsidRDefault="00CA4094" w:rsidP="008B0503">
      <w:pPr>
        <w:widowControl w:val="0"/>
        <w:numPr>
          <w:ilvl w:val="0"/>
          <w:numId w:val="2"/>
        </w:num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підтримана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благодійна акція "Намалюй любов до життя" – виставка малюнків молодих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людей з обмеженими можливостями;</w:t>
      </w:r>
    </w:p>
    <w:p w:rsidR="00CA4094" w:rsidRDefault="00CA4094" w:rsidP="008B0503">
      <w:pPr>
        <w:pStyle w:val="ab"/>
        <w:widowControl w:val="0"/>
        <w:numPr>
          <w:ilvl w:val="0"/>
          <w:numId w:val="2"/>
        </w:numPr>
        <w:spacing w:after="0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 нагоди Міжнародного дня </w:t>
      </w:r>
      <w:r w:rsidR="005F519F">
        <w:rPr>
          <w:rFonts w:ascii="Times New Roman" w:hAnsi="Times New Roman"/>
          <w:sz w:val="28"/>
          <w:szCs w:val="28"/>
          <w:shd w:val="clear" w:color="auto" w:fill="FFFFFF"/>
        </w:rPr>
        <w:t>інвалідів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 працівники та волонтери благодійного фонду «Фонд Ігоря Палиці - Новий Луцьк» зустрілися з людьми з особливими потребами, </w:t>
      </w:r>
      <w:proofErr w:type="spellStart"/>
      <w:r w:rsidRPr="00BA524F">
        <w:rPr>
          <w:rFonts w:ascii="Times New Roman" w:hAnsi="Times New Roman"/>
          <w:sz w:val="28"/>
          <w:szCs w:val="28"/>
          <w:shd w:val="clear" w:color="auto" w:fill="FFFFFF"/>
        </w:rPr>
        <w:t>інвалідами-візочниками</w:t>
      </w:r>
      <w:proofErr w:type="spellEnd"/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 з громадської організації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79D7" w:rsidRPr="009031DD">
        <w:rPr>
          <w:rFonts w:ascii="Times New Roman" w:hAnsi="Times New Roman"/>
          <w:sz w:val="28"/>
          <w:szCs w:val="28"/>
          <w:shd w:val="clear" w:color="auto" w:fill="FFFFFF"/>
        </w:rPr>
        <w:t>«І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>НВАВОЛИНЬ</w:t>
      </w:r>
      <w:r w:rsidR="004979D7" w:rsidRPr="009031D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>, представниками Волинської обласної організації інвалідів війни і Збройних Сил України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 та учасників бойових дій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, Луцької міської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>організації Всеукраїнського об’єдна</w:t>
      </w:r>
      <w:r w:rsidR="005F519F">
        <w:rPr>
          <w:rFonts w:ascii="Times New Roman" w:hAnsi="Times New Roman"/>
          <w:sz w:val="28"/>
          <w:szCs w:val="28"/>
          <w:shd w:val="clear" w:color="auto" w:fill="FFFFFF"/>
        </w:rPr>
        <w:t xml:space="preserve">ння ветеранів, </w:t>
      </w:r>
      <w:r w:rsidR="004979D7"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Луцької міської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громадської ветеранської організації </w:t>
      </w:r>
      <w:r w:rsidR="005F519F">
        <w:rPr>
          <w:rFonts w:ascii="Times New Roman" w:hAnsi="Times New Roman"/>
          <w:sz w:val="28"/>
          <w:szCs w:val="28"/>
          <w:shd w:val="clear" w:color="auto" w:fill="FFFFFF"/>
        </w:rPr>
        <w:t>спілки в’язнів-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жертв нацизму,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Волинської обласної організації 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товариства глухих,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Української 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>спілки ветеранів війни Афганістану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 (Волинської обласної організації)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«Союзу 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>організації інвалідів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, Волинського фонду активної реабілітації </w:t>
      </w:r>
      <w:proofErr w:type="spellStart"/>
      <w:r w:rsidRPr="00BA524F">
        <w:rPr>
          <w:rFonts w:ascii="Times New Roman" w:hAnsi="Times New Roman"/>
          <w:sz w:val="28"/>
          <w:szCs w:val="28"/>
          <w:shd w:val="clear" w:color="auto" w:fill="FFFFFF"/>
        </w:rPr>
        <w:t>неповносправних</w:t>
      </w:r>
      <w:proofErr w:type="spellEnd"/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Волинської обласної благодійної 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організації </w:t>
      </w:r>
      <w:proofErr w:type="spellStart"/>
      <w:r w:rsidR="004979D7">
        <w:rPr>
          <w:rFonts w:ascii="Times New Roman" w:hAnsi="Times New Roman"/>
          <w:sz w:val="28"/>
          <w:szCs w:val="28"/>
          <w:shd w:val="clear" w:color="auto" w:fill="FFFFFF"/>
        </w:rPr>
        <w:t>стомованих</w:t>
      </w:r>
      <w:proofErr w:type="spellEnd"/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 інвалідів </w:t>
      </w:r>
      <w:r w:rsidRPr="00BA524F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Pr="00BA524F">
        <w:rPr>
          <w:rFonts w:ascii="Times New Roman" w:hAnsi="Times New Roman"/>
          <w:sz w:val="28"/>
          <w:szCs w:val="28"/>
          <w:shd w:val="clear" w:color="auto" w:fill="FFFFFF"/>
        </w:rPr>
        <w:t>Астом</w:t>
      </w:r>
      <w:proofErr w:type="spellEnd"/>
      <w:r w:rsidRPr="00BA524F">
        <w:rPr>
          <w:rFonts w:ascii="Times New Roman" w:hAnsi="Times New Roman"/>
          <w:sz w:val="28"/>
          <w:szCs w:val="28"/>
          <w:shd w:val="clear" w:color="auto" w:fill="FFFFFF"/>
        </w:rPr>
        <w:t xml:space="preserve"> Волинь», відвідали багатьох лежачих інвалідів удома і вручили продуктові набори</w:t>
      </w:r>
      <w:r w:rsidR="005F51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F386A">
        <w:rPr>
          <w:rFonts w:ascii="Times New Roman" w:hAnsi="Times New Roman"/>
          <w:sz w:val="28"/>
          <w:szCs w:val="28"/>
          <w:shd w:val="clear" w:color="auto" w:fill="FFFFFF"/>
        </w:rPr>
        <w:t xml:space="preserve"> та грошо</w:t>
      </w:r>
      <w:r w:rsidR="005F519F">
        <w:rPr>
          <w:rFonts w:ascii="Times New Roman" w:hAnsi="Times New Roman"/>
          <w:sz w:val="28"/>
          <w:szCs w:val="28"/>
          <w:shd w:val="clear" w:color="auto" w:fill="FFFFFF"/>
        </w:rPr>
        <w:t>ві допомоги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A4094" w:rsidRPr="00CF386A" w:rsidRDefault="00CF386A" w:rsidP="008B0503">
      <w:pPr>
        <w:pStyle w:val="ab"/>
        <w:widowControl w:val="0"/>
        <w:numPr>
          <w:ilvl w:val="0"/>
          <w:numId w:val="2"/>
        </w:numPr>
        <w:spacing w:after="0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надано допомогу хворим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>Луцького г</w:t>
      </w:r>
      <w:r>
        <w:rPr>
          <w:rFonts w:ascii="Times New Roman" w:hAnsi="Times New Roman"/>
          <w:sz w:val="28"/>
          <w:szCs w:val="28"/>
          <w:shd w:val="clear" w:color="auto" w:fill="FFFFFF"/>
        </w:rPr>
        <w:t>еріатричного</w:t>
      </w:r>
      <w:r w:rsidR="00CA4094">
        <w:rPr>
          <w:rFonts w:ascii="Times New Roman" w:hAnsi="Times New Roman"/>
          <w:sz w:val="28"/>
          <w:szCs w:val="28"/>
          <w:shd w:val="clear" w:color="auto" w:fill="FFFFFF"/>
        </w:rPr>
        <w:t xml:space="preserve"> пансіонат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CA4094">
        <w:rPr>
          <w:rFonts w:ascii="Times New Roman" w:hAnsi="Times New Roman"/>
          <w:sz w:val="28"/>
          <w:szCs w:val="28"/>
          <w:shd w:val="clear" w:color="auto" w:fill="FFFFFF"/>
        </w:rPr>
        <w:t xml:space="preserve"> (у вигляді засобів г</w:t>
      </w:r>
      <w:r w:rsidR="005F519F">
        <w:rPr>
          <w:rFonts w:ascii="Times New Roman" w:hAnsi="Times New Roman"/>
          <w:sz w:val="28"/>
          <w:szCs w:val="28"/>
          <w:shd w:val="clear" w:color="auto" w:fill="FFFFFF"/>
        </w:rPr>
        <w:t>ігієни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CA4094" w:rsidRPr="00D10CE8" w:rsidRDefault="00CA4094" w:rsidP="003172D5">
      <w:pPr>
        <w:widowControl w:val="0"/>
        <w:spacing w:after="0"/>
        <w:ind w:firstLine="480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 особли</w:t>
      </w:r>
      <w:r w:rsidR="00EC6FE4">
        <w:rPr>
          <w:rFonts w:ascii="Times New Roman" w:hAnsi="Times New Roman"/>
          <w:sz w:val="28"/>
          <w:szCs w:val="28"/>
          <w:shd w:val="clear" w:color="auto" w:fill="FFFFFF"/>
        </w:rPr>
        <w:t xml:space="preserve">вою увагою </w:t>
      </w:r>
      <w:r w:rsidR="00CF386A">
        <w:rPr>
          <w:rFonts w:ascii="Times New Roman" w:hAnsi="Times New Roman"/>
          <w:sz w:val="28"/>
          <w:szCs w:val="28"/>
          <w:shd w:val="clear" w:color="auto" w:fill="FFFFFF"/>
        </w:rPr>
        <w:t>реалізовується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програма </w:t>
      </w:r>
      <w:r w:rsidRPr="003172D5">
        <w:rPr>
          <w:rFonts w:ascii="Times New Roman" w:hAnsi="Times New Roman"/>
          <w:sz w:val="28"/>
          <w:szCs w:val="28"/>
          <w:shd w:val="clear" w:color="auto" w:fill="FFFFFF"/>
        </w:rPr>
        <w:t>«З</w:t>
      </w:r>
      <w:r w:rsidR="00CF386A" w:rsidRPr="003172D5">
        <w:rPr>
          <w:rFonts w:ascii="Times New Roman" w:hAnsi="Times New Roman"/>
          <w:sz w:val="28"/>
          <w:szCs w:val="28"/>
          <w:shd w:val="clear" w:color="auto" w:fill="FFFFFF"/>
        </w:rPr>
        <w:t xml:space="preserve"> добром у серці» для ветеранів.</w:t>
      </w:r>
      <w:r w:rsidR="00CF386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CF386A" w:rsidRPr="00CF386A">
        <w:rPr>
          <w:rFonts w:ascii="Times New Roman" w:hAnsi="Times New Roman"/>
          <w:sz w:val="28"/>
          <w:szCs w:val="28"/>
          <w:shd w:val="clear" w:color="auto" w:fill="FFFFFF"/>
        </w:rPr>
        <w:t>Упродовж року</w:t>
      </w:r>
      <w:r w:rsidR="00CF386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CF386A" w:rsidRPr="00CF386A"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 w:rsidR="00CF386A">
        <w:rPr>
          <w:rFonts w:ascii="Times New Roman" w:hAnsi="Times New Roman"/>
          <w:sz w:val="28"/>
          <w:szCs w:val="28"/>
          <w:shd w:val="clear" w:color="auto" w:fill="FFFFFF"/>
        </w:rPr>
        <w:t xml:space="preserve"> з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нагоди Дня перемоги «Фонд І</w:t>
      </w:r>
      <w:r w:rsidR="00CF386A">
        <w:rPr>
          <w:rFonts w:ascii="Times New Roman" w:hAnsi="Times New Roman"/>
          <w:sz w:val="28"/>
          <w:szCs w:val="28"/>
          <w:shd w:val="clear" w:color="auto" w:fill="FFFFFF"/>
        </w:rPr>
        <w:t>горя Палиці – Новий Луцьк» вшанову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вав ветеранів. На організованих Фондом зустрічах представники ветеранських організаці</w:t>
      </w:r>
      <w:r w:rsidR="00CF386A">
        <w:rPr>
          <w:rFonts w:ascii="Times New Roman" w:hAnsi="Times New Roman"/>
          <w:sz w:val="28"/>
          <w:szCs w:val="28"/>
          <w:shd w:val="clear" w:color="auto" w:fill="FFFFFF"/>
        </w:rPr>
        <w:t>й поділилис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CF386A">
        <w:rPr>
          <w:rFonts w:ascii="Times New Roman" w:hAnsi="Times New Roman"/>
          <w:sz w:val="28"/>
          <w:szCs w:val="28"/>
          <w:shd w:val="clear" w:color="auto" w:fill="FFFFFF"/>
        </w:rPr>
        <w:t xml:space="preserve"> своїми проблемами: матеріальними, побутовими, організаційними.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Допомогу у в</w:t>
      </w:r>
      <w:r w:rsidR="00CF386A">
        <w:rPr>
          <w:rFonts w:ascii="Times New Roman" w:hAnsi="Times New Roman"/>
          <w:sz w:val="28"/>
          <w:szCs w:val="28"/>
          <w:shd w:val="clear" w:color="auto" w:fill="FFFFFF"/>
        </w:rPr>
        <w:t xml:space="preserve">игляді продуктових наборів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F386A">
        <w:rPr>
          <w:rFonts w:ascii="Times New Roman" w:hAnsi="Times New Roman"/>
          <w:sz w:val="28"/>
          <w:szCs w:val="28"/>
          <w:shd w:val="clear" w:color="auto" w:fill="FFFFFF"/>
        </w:rPr>
        <w:t xml:space="preserve">(понад 1 тис.)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отримали ветеранські організа</w:t>
      </w:r>
      <w:r w:rsidR="00CF386A">
        <w:rPr>
          <w:rFonts w:ascii="Times New Roman" w:hAnsi="Times New Roman"/>
          <w:sz w:val="28"/>
          <w:szCs w:val="28"/>
          <w:shd w:val="clear" w:color="auto" w:fill="FFFFFF"/>
        </w:rPr>
        <w:t>ції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: Луцька міська організація ветеранів України, Первинна  організація ветеранів України при Ж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КГ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№11, ГВО «Волинське обласне товариство політв'язнів і репресованих», ГВО «Спілка в'язнів – жертв нацизму»</w:t>
      </w:r>
      <w:r w:rsidR="00D10CE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Братство ветеранів ОУН-УПА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 Волинського краю </w:t>
      </w:r>
      <w:proofErr w:type="spellStart"/>
      <w:r w:rsidR="004979D7">
        <w:rPr>
          <w:rFonts w:ascii="Times New Roman" w:hAnsi="Times New Roman"/>
          <w:sz w:val="28"/>
          <w:szCs w:val="28"/>
          <w:shd w:val="clear" w:color="auto" w:fill="FFFFFF"/>
        </w:rPr>
        <w:t>ім.полковника</w:t>
      </w:r>
      <w:proofErr w:type="spellEnd"/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 Клима </w:t>
      </w:r>
      <w:proofErr w:type="spellStart"/>
      <w:r w:rsidR="004979D7">
        <w:rPr>
          <w:rFonts w:ascii="Times New Roman" w:hAnsi="Times New Roman"/>
          <w:sz w:val="28"/>
          <w:szCs w:val="28"/>
          <w:shd w:val="clear" w:color="auto" w:fill="FFFFFF"/>
        </w:rPr>
        <w:t>Савури</w:t>
      </w:r>
      <w:proofErr w:type="spellEnd"/>
      <w:r w:rsidRPr="009031DD">
        <w:rPr>
          <w:rFonts w:ascii="Times New Roman" w:hAnsi="Times New Roman"/>
          <w:sz w:val="28"/>
          <w:szCs w:val="28"/>
          <w:shd w:val="clear" w:color="auto" w:fill="FFFFFF"/>
        </w:rPr>
        <w:t>, Волинське обласне відділення Всеукраїнського об'єднання ветеранів</w:t>
      </w:r>
      <w:r w:rsidR="00D10CE8">
        <w:rPr>
          <w:rFonts w:ascii="Times New Roman" w:hAnsi="Times New Roman"/>
          <w:sz w:val="28"/>
          <w:szCs w:val="28"/>
          <w:shd w:val="clear" w:color="auto" w:fill="FFFFFF"/>
        </w:rPr>
        <w:t xml:space="preserve"> та ін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CA4094" w:rsidRPr="009031DD" w:rsidRDefault="00CA4094" w:rsidP="003172D5">
      <w:pPr>
        <w:widowControl w:val="0"/>
        <w:spacing w:after="0"/>
        <w:ind w:firstLine="480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Благодійний фонд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Фонд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Ігоря Палиці – Новий Луцьк» </w:t>
      </w:r>
      <w:r w:rsidRPr="003172D5">
        <w:rPr>
          <w:rFonts w:ascii="Times New Roman" w:hAnsi="Times New Roman"/>
          <w:sz w:val="28"/>
          <w:szCs w:val="28"/>
          <w:shd w:val="clear" w:color="auto" w:fill="FFFFFF"/>
        </w:rPr>
        <w:t xml:space="preserve">надає </w:t>
      </w:r>
      <w:r w:rsidR="00D10CE8" w:rsidRPr="003172D5">
        <w:rPr>
          <w:rFonts w:ascii="Times New Roman" w:hAnsi="Times New Roman"/>
          <w:sz w:val="28"/>
          <w:szCs w:val="28"/>
          <w:shd w:val="clear" w:color="auto" w:fill="FFFFFF"/>
        </w:rPr>
        <w:t xml:space="preserve">значну </w:t>
      </w:r>
      <w:r w:rsidRPr="003172D5">
        <w:rPr>
          <w:rFonts w:ascii="Times New Roman" w:hAnsi="Times New Roman"/>
          <w:sz w:val="28"/>
          <w:szCs w:val="28"/>
          <w:shd w:val="clear" w:color="auto" w:fill="FFFFFF"/>
        </w:rPr>
        <w:t>допомогу громадським організаціям.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10CE8">
        <w:rPr>
          <w:rFonts w:ascii="Times New Roman" w:hAnsi="Times New Roman"/>
          <w:sz w:val="28"/>
          <w:szCs w:val="28"/>
          <w:shd w:val="clear" w:color="auto" w:fill="FFFFFF"/>
        </w:rPr>
        <w:t>Усвідомлюючи важливість громадської роботи особливо зараз, коли держава практично їх ігнорує, ф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інансову допомогу на статутну діяльність отримали громадські організації: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>Луцька міська добровільна о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рганізація «Спілка Чорнобильців», Первинна організація ветеранів України при ЖКГ № 11, Братство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ветеранів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ОУН – УПА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 Волинського краю </w:t>
      </w:r>
      <w:proofErr w:type="spellStart"/>
      <w:r w:rsidR="004979D7">
        <w:rPr>
          <w:rFonts w:ascii="Times New Roman" w:hAnsi="Times New Roman"/>
          <w:sz w:val="28"/>
          <w:szCs w:val="28"/>
          <w:shd w:val="clear" w:color="auto" w:fill="FFFFFF"/>
        </w:rPr>
        <w:t>ім.полковника</w:t>
      </w:r>
      <w:proofErr w:type="spellEnd"/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 Клима </w:t>
      </w:r>
      <w:proofErr w:type="spellStart"/>
      <w:r w:rsidR="004979D7">
        <w:rPr>
          <w:rFonts w:ascii="Times New Roman" w:hAnsi="Times New Roman"/>
          <w:sz w:val="28"/>
          <w:szCs w:val="28"/>
          <w:shd w:val="clear" w:color="auto" w:fill="FFFFFF"/>
        </w:rPr>
        <w:t>Савури</w:t>
      </w:r>
      <w:proofErr w:type="spellEnd"/>
      <w:r w:rsidRPr="009031DD">
        <w:rPr>
          <w:rFonts w:ascii="Times New Roman" w:hAnsi="Times New Roman"/>
          <w:sz w:val="28"/>
          <w:szCs w:val="28"/>
          <w:shd w:val="clear" w:color="auto" w:fill="FFFFFF"/>
        </w:rPr>
        <w:t>, ВОГО «І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>НВАВОЛИНЬ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», Громадська ветеранська організація «Волинське обласне товариство політ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 xml:space="preserve">ичних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в'язнів </w:t>
      </w:r>
      <w:r w:rsidR="004979D7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репресованих», ГО «Варта порядку», Волинська обласна організація інвалідів війни, Збройних сил </w:t>
      </w:r>
      <w:r w:rsidR="00334541">
        <w:rPr>
          <w:rFonts w:ascii="Times New Roman" w:hAnsi="Times New Roman"/>
          <w:sz w:val="28"/>
          <w:szCs w:val="28"/>
          <w:shd w:val="clear" w:color="auto" w:fill="FFFFFF"/>
        </w:rPr>
        <w:t xml:space="preserve">України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та учасників бойових дій, Клуб  ветеранів «Неспокійні серця</w:t>
      </w:r>
      <w:r w:rsidR="003172D5">
        <w:rPr>
          <w:rFonts w:ascii="Times New Roman" w:hAnsi="Times New Roman"/>
          <w:sz w:val="28"/>
          <w:szCs w:val="28"/>
          <w:shd w:val="clear" w:color="auto" w:fill="FFFFFF"/>
        </w:rPr>
        <w:t>» та ін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CA4094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Всього 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півріччя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допомога громадським організаціям склала 26350, 00 грн. </w:t>
      </w:r>
    </w:p>
    <w:p w:rsidR="00CA4094" w:rsidRDefault="003172D5" w:rsidP="00EC6FE4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3172D5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CA4094" w:rsidRPr="003172D5">
        <w:rPr>
          <w:rFonts w:ascii="Times New Roman" w:hAnsi="Times New Roman"/>
          <w:sz w:val="28"/>
          <w:szCs w:val="28"/>
          <w:shd w:val="clear" w:color="auto" w:fill="FFFFFF"/>
        </w:rPr>
        <w:t xml:space="preserve">дним </w:t>
      </w:r>
      <w:r w:rsidRPr="003172D5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CA4094" w:rsidRPr="003172D5">
        <w:rPr>
          <w:rFonts w:ascii="Times New Roman" w:hAnsi="Times New Roman"/>
          <w:sz w:val="28"/>
          <w:szCs w:val="28"/>
          <w:shd w:val="clear" w:color="auto" w:fill="FFFFFF"/>
        </w:rPr>
        <w:t xml:space="preserve">з </w:t>
      </w:r>
      <w:r w:rsidRPr="003172D5">
        <w:rPr>
          <w:rFonts w:ascii="Times New Roman" w:hAnsi="Times New Roman"/>
          <w:sz w:val="28"/>
          <w:szCs w:val="28"/>
          <w:shd w:val="clear" w:color="auto" w:fill="FFFFFF"/>
        </w:rPr>
        <w:t xml:space="preserve">магістральних </w:t>
      </w:r>
      <w:r w:rsidR="00CA4094" w:rsidRPr="003172D5">
        <w:rPr>
          <w:rFonts w:ascii="Times New Roman" w:hAnsi="Times New Roman"/>
          <w:sz w:val="28"/>
          <w:szCs w:val="28"/>
          <w:shd w:val="clear" w:color="auto" w:fill="FFFFFF"/>
        </w:rPr>
        <w:t xml:space="preserve">напрямків діяльності у рамках реалізації програми «З добром у серці» є робота громадської приймальні народного депутата України Ігоря Палиці. 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Щомісяця у громадську приймальню звертаються за допомогою та консультаціями більше двохсот лучан і опрацьовується близько 150-ти заяв. З них 10%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з проханням виділення допомоги для дітей. На такі звернення громадська приймальня реагує якнайшвидше. Перераховуються кошти на дитячу лікарню ОХМАТДИТ, клініку ім. проф., </w:t>
      </w:r>
      <w:proofErr w:type="spellStart"/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>д.м.н</w:t>
      </w:r>
      <w:proofErr w:type="spellEnd"/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>Козявкіна</w:t>
      </w:r>
      <w:proofErr w:type="spellEnd"/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В.І.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ешта 90 % звернень – з проханням надання допомоги дорослим. Останнім часом, серед них найбільше звернень – про допомогу ліками або коштами для </w:t>
      </w:r>
      <w:proofErr w:type="spellStart"/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>онкохворих</w:t>
      </w:r>
      <w:proofErr w:type="spellEnd"/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– 20 %. 10 % – заявники, які звертаються з проханнями допомоги на оперування очей (катаракта та глаукома), на оперативне кардіологічне втручання (хвороби серця) – 6-8%, так само – на виділення допомоги для операцій на суглоби. 1-2% – </w:t>
      </w:r>
      <w:proofErr w:type="spellStart"/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>тубінфікованих</w:t>
      </w:r>
      <w:proofErr w:type="spellEnd"/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хворих, 17-18% – люди, які звертаються з виписками та довідками з лікарні про те, що вони пролікувались або ж направлені на стаціонарне лікування в медичні заклади з діагнозами: гіперт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онічна хвороба, цукровий діабет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тощо. </w:t>
      </w:r>
      <w:r w:rsidR="00CA4094">
        <w:rPr>
          <w:rFonts w:ascii="Times New Roman" w:hAnsi="Times New Roman"/>
          <w:sz w:val="28"/>
          <w:szCs w:val="28"/>
          <w:shd w:val="clear" w:color="auto" w:fill="FFFFFF"/>
        </w:rPr>
        <w:t>Зазвичай, допомога коштами не надається. Людина отримує ліки через бланк-звернення в аптеку.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>30% заявників звертаються з проханням про допомогу у зв’язку зі скрутним матеріальним становищем. Тоді допомога надається у вигляді соціальних карток на придбання продуктів харчування для тих верств населення, які найбільше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 xml:space="preserve"> її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потребують.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Це –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одинок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люд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>, які перебувають на обліку в Територіальному центрі соціального обслуговування громадян, малозабезпечен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та багатодітн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 xml:space="preserve"> сім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’ї</w:t>
      </w:r>
      <w:r w:rsidR="00CA4094" w:rsidRPr="0076563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10CE8">
        <w:rPr>
          <w:rFonts w:ascii="Times New Roman" w:hAnsi="Times New Roman"/>
          <w:sz w:val="28"/>
          <w:szCs w:val="28"/>
          <w:shd w:val="clear" w:color="auto" w:fill="FFFFFF"/>
        </w:rPr>
        <w:t xml:space="preserve"> Щомісячно бюджетом передбачено 100 тис. грн. на допомогу лучанам.</w:t>
      </w:r>
    </w:p>
    <w:p w:rsidR="00CA4094" w:rsidRPr="003172D5" w:rsidRDefault="00CA4094" w:rsidP="003172D5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Програма </w:t>
      </w:r>
      <w:r w:rsidR="003172D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“</w:t>
      </w:r>
      <w:r w:rsidR="003172D5" w:rsidRPr="003172D5">
        <w:rPr>
          <w:rFonts w:ascii="Times New Roman" w:hAnsi="Times New Roman"/>
          <w:sz w:val="28"/>
          <w:szCs w:val="28"/>
          <w:shd w:val="clear" w:color="auto" w:fill="FFFFFF"/>
        </w:rPr>
        <w:t>Здоров`я лучан - запорука майбутнього</w:t>
      </w:r>
      <w:r w:rsidR="003172D5">
        <w:rPr>
          <w:rFonts w:ascii="Times New Roman" w:hAnsi="Times New Roman"/>
          <w:sz w:val="32"/>
          <w:szCs w:val="32"/>
          <w:shd w:val="clear" w:color="auto" w:fill="FFFFFF"/>
        </w:rPr>
        <w:t>”</w:t>
      </w:r>
      <w:r w:rsidR="003172D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передбачає дієві заходи з профілактики захворювань, впровадження норм здорового способу життя, поліпшення матеріально-технічної бази та вдосконалення роботи медичних закладів та успішно реалізується з моменту початку роботи благодійного фонду.</w:t>
      </w:r>
      <w:r w:rsidR="003172D5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Дієві проекти у рамках програми</w:t>
      </w:r>
      <w:r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– це:</w:t>
      </w:r>
      <w:r w:rsidR="00AD6050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r w:rsidRPr="0068642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3172D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172D5">
        <w:rPr>
          <w:rFonts w:ascii="Times New Roman" w:hAnsi="Times New Roman"/>
          <w:sz w:val="28"/>
          <w:szCs w:val="28"/>
          <w:shd w:val="clear" w:color="auto" w:fill="FFFFFF"/>
        </w:rPr>
        <w:t>«Покращення матеріально-техніч</w:t>
      </w:r>
      <w:r w:rsidR="00EC6FE4">
        <w:rPr>
          <w:rFonts w:ascii="Times New Roman" w:hAnsi="Times New Roman"/>
          <w:sz w:val="28"/>
          <w:szCs w:val="28"/>
          <w:shd w:val="clear" w:color="auto" w:fill="FFFFFF"/>
        </w:rPr>
        <w:t>ної та лікувальної бази</w:t>
      </w:r>
      <w:r w:rsidRPr="003172D5">
        <w:rPr>
          <w:rFonts w:ascii="Times New Roman" w:hAnsi="Times New Roman"/>
          <w:sz w:val="28"/>
          <w:szCs w:val="28"/>
          <w:shd w:val="clear" w:color="auto" w:fill="FFFFFF"/>
        </w:rPr>
        <w:t xml:space="preserve"> закладів</w:t>
      </w:r>
      <w:r w:rsidR="00EC6FE4">
        <w:rPr>
          <w:rFonts w:ascii="Times New Roman" w:hAnsi="Times New Roman"/>
          <w:sz w:val="28"/>
          <w:szCs w:val="28"/>
          <w:shd w:val="clear" w:color="auto" w:fill="FFFFFF"/>
        </w:rPr>
        <w:t xml:space="preserve"> охорони здоров</w:t>
      </w:r>
      <w:r w:rsidR="00EC6FE4" w:rsidRPr="003C0A4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’</w:t>
      </w:r>
      <w:r w:rsidR="00EC6FE4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3172D5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172D5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r w:rsidR="003172D5" w:rsidRPr="003172D5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="003172D5" w:rsidRPr="003172D5">
        <w:rPr>
          <w:rFonts w:ascii="Times New Roman" w:hAnsi="Times New Roman"/>
          <w:sz w:val="28"/>
          <w:szCs w:val="28"/>
          <w:shd w:val="clear" w:color="auto" w:fill="FFFFFF"/>
        </w:rPr>
        <w:t>Профілактично-оздоровлювальна</w:t>
      </w:r>
      <w:proofErr w:type="spellEnd"/>
      <w:r w:rsidR="003172D5" w:rsidRPr="003172D5">
        <w:rPr>
          <w:rFonts w:ascii="Times New Roman" w:hAnsi="Times New Roman"/>
          <w:sz w:val="28"/>
          <w:szCs w:val="28"/>
          <w:shd w:val="clear" w:color="auto" w:fill="FFFFFF"/>
        </w:rPr>
        <w:t xml:space="preserve"> діяльність»</w:t>
      </w:r>
      <w:r w:rsidRPr="003172D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A4094" w:rsidRPr="00554DBF" w:rsidRDefault="00D65B5B" w:rsidP="003172D5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Закладам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охорони здоров</w:t>
      </w:r>
      <w:r w:rsidRPr="003C0A49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я Луцька н</w:t>
      </w:r>
      <w:r w:rsidR="00AD6050">
        <w:rPr>
          <w:rFonts w:ascii="Times New Roman" w:hAnsi="Times New Roman"/>
          <w:sz w:val="28"/>
          <w:szCs w:val="28"/>
          <w:shd w:val="clear" w:color="auto" w:fill="FFFFFF"/>
        </w:rPr>
        <w:t xml:space="preserve">адається різноманітна допомога: придбання медичного обладнання та ліків, проведення ремонтних робіт, облаштування харчоблоків, здійснення матеріального заохочення і </w:t>
      </w:r>
      <w:r w:rsidR="00AD605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преміювання працівників сфери охорони здоров</w:t>
      </w:r>
      <w:r w:rsidR="00AD6050" w:rsidRPr="003C0A49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="00554DBF">
        <w:rPr>
          <w:rFonts w:ascii="Times New Roman" w:hAnsi="Times New Roman"/>
          <w:sz w:val="28"/>
          <w:szCs w:val="28"/>
          <w:shd w:val="clear" w:color="auto" w:fill="FFFFFF"/>
        </w:rPr>
        <w:t xml:space="preserve">я.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554DBF">
        <w:rPr>
          <w:rFonts w:ascii="Times New Roman" w:hAnsi="Times New Roman"/>
          <w:sz w:val="28"/>
          <w:szCs w:val="28"/>
          <w:shd w:val="clear" w:color="auto" w:fill="FFFFFF"/>
        </w:rPr>
        <w:t xml:space="preserve">овгострокові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проекти </w:t>
      </w:r>
      <w:proofErr w:type="spellStart"/>
      <w:r w:rsidR="00554DBF">
        <w:rPr>
          <w:rFonts w:ascii="Times New Roman" w:hAnsi="Times New Roman"/>
          <w:sz w:val="28"/>
          <w:szCs w:val="28"/>
          <w:shd w:val="clear" w:color="auto" w:fill="FFFFFF"/>
        </w:rPr>
        <w:t>реалізовуться</w:t>
      </w:r>
      <w:proofErr w:type="spellEnd"/>
      <w:r w:rsidR="00554DB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D60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 xml:space="preserve">спільно </w:t>
      </w:r>
      <w:r w:rsidR="00554DBF">
        <w:rPr>
          <w:rFonts w:ascii="Times New Roman" w:hAnsi="Times New Roman"/>
          <w:sz w:val="28"/>
          <w:szCs w:val="28"/>
          <w:shd w:val="clear" w:color="auto" w:fill="FFFFFF"/>
        </w:rPr>
        <w:t>з Луцьким</w:t>
      </w:r>
      <w:r w:rsidR="00334541">
        <w:rPr>
          <w:rFonts w:ascii="Times New Roman" w:hAnsi="Times New Roman"/>
          <w:sz w:val="28"/>
          <w:szCs w:val="28"/>
          <w:shd w:val="clear" w:color="auto" w:fill="FFFFFF"/>
        </w:rPr>
        <w:t xml:space="preserve"> клінічним </w:t>
      </w:r>
      <w:r w:rsidR="00554DBF">
        <w:rPr>
          <w:rFonts w:ascii="Times New Roman" w:hAnsi="Times New Roman"/>
          <w:sz w:val="28"/>
          <w:szCs w:val="28"/>
          <w:shd w:val="clear" w:color="auto" w:fill="FFFFFF"/>
        </w:rPr>
        <w:t>пологовим будинком,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4541">
        <w:rPr>
          <w:rFonts w:ascii="Times New Roman" w:hAnsi="Times New Roman"/>
          <w:sz w:val="28"/>
          <w:szCs w:val="28"/>
          <w:shd w:val="clear" w:color="auto" w:fill="FFFFFF"/>
        </w:rPr>
        <w:t>Луцькою міською д</w:t>
      </w:r>
      <w:r w:rsidR="00554DBF">
        <w:rPr>
          <w:rFonts w:ascii="Times New Roman" w:hAnsi="Times New Roman"/>
          <w:sz w:val="28"/>
          <w:szCs w:val="28"/>
          <w:shd w:val="clear" w:color="auto" w:fill="FFFFFF"/>
        </w:rPr>
        <w:t>итячою поліклінікою, Луцькою міською клінічною лікарнею тощо.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У рамках реалізації програми діють такі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масштабні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проекти: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4094" w:rsidRPr="0028091C">
        <w:rPr>
          <w:rFonts w:ascii="Times New Roman" w:hAnsi="Times New Roman"/>
          <w:sz w:val="28"/>
          <w:szCs w:val="28"/>
          <w:shd w:val="clear" w:color="auto" w:fill="FFFFFF"/>
        </w:rPr>
        <w:t>‘‘Придбання</w:t>
      </w:r>
      <w:proofErr w:type="spellEnd"/>
      <w:r w:rsidR="00CA4094" w:rsidRPr="0028091C">
        <w:rPr>
          <w:rFonts w:ascii="Times New Roman" w:hAnsi="Times New Roman"/>
          <w:sz w:val="28"/>
          <w:szCs w:val="28"/>
          <w:shd w:val="clear" w:color="auto" w:fill="FFFFFF"/>
        </w:rPr>
        <w:t xml:space="preserve"> ліків для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вихожування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4094" w:rsidRPr="0028091C">
        <w:rPr>
          <w:rFonts w:ascii="Times New Roman" w:hAnsi="Times New Roman"/>
          <w:sz w:val="28"/>
          <w:szCs w:val="28"/>
          <w:shd w:val="clear" w:color="auto" w:fill="FFFFFF"/>
        </w:rPr>
        <w:t xml:space="preserve">недоношених дітей, батьки яких мають скрутне матеріальне </w:t>
      </w:r>
      <w:proofErr w:type="spellStart"/>
      <w:r w:rsidR="00CA4094" w:rsidRPr="0028091C">
        <w:rPr>
          <w:rFonts w:ascii="Times New Roman" w:hAnsi="Times New Roman"/>
          <w:sz w:val="28"/>
          <w:szCs w:val="28"/>
          <w:shd w:val="clear" w:color="auto" w:fill="FFFFFF"/>
        </w:rPr>
        <w:t>становище’’</w:t>
      </w:r>
      <w:proofErr w:type="spellEnd"/>
      <w:r w:rsidR="00E705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4094" w:rsidRPr="0028091C">
        <w:rPr>
          <w:rFonts w:ascii="Times New Roman" w:hAnsi="Times New Roman"/>
          <w:sz w:val="28"/>
          <w:szCs w:val="28"/>
          <w:shd w:val="clear" w:color="auto" w:fill="FFFFFF"/>
        </w:rPr>
        <w:t xml:space="preserve">та </w:t>
      </w:r>
      <w:proofErr w:type="spellStart"/>
      <w:r w:rsidR="00CA4094" w:rsidRPr="0028091C">
        <w:rPr>
          <w:rFonts w:ascii="Times New Roman" w:hAnsi="Times New Roman"/>
          <w:sz w:val="28"/>
          <w:szCs w:val="28"/>
          <w:shd w:val="clear" w:color="auto" w:fill="FFFFFF"/>
        </w:rPr>
        <w:t>‘‘Придбання</w:t>
      </w:r>
      <w:proofErr w:type="spellEnd"/>
      <w:r w:rsidR="00CA4094" w:rsidRPr="0028091C">
        <w:rPr>
          <w:rFonts w:ascii="Times New Roman" w:hAnsi="Times New Roman"/>
          <w:sz w:val="28"/>
          <w:szCs w:val="28"/>
          <w:shd w:val="clear" w:color="auto" w:fill="FFFFFF"/>
        </w:rPr>
        <w:t xml:space="preserve"> ліків для вакцинації ургентних хворих Луцької міської клінічної </w:t>
      </w:r>
      <w:proofErr w:type="spellStart"/>
      <w:r w:rsidR="00CA4094" w:rsidRPr="0028091C">
        <w:rPr>
          <w:rFonts w:ascii="Times New Roman" w:hAnsi="Times New Roman"/>
          <w:sz w:val="28"/>
          <w:szCs w:val="28"/>
          <w:shd w:val="clear" w:color="auto" w:fill="FFFFFF"/>
        </w:rPr>
        <w:t>лікарні’</w:t>
      </w:r>
      <w:proofErr w:type="spellEnd"/>
      <w:r w:rsidR="00CA4094" w:rsidRPr="0028091C">
        <w:rPr>
          <w:rFonts w:ascii="Times New Roman" w:hAnsi="Times New Roman"/>
          <w:sz w:val="28"/>
          <w:szCs w:val="28"/>
          <w:shd w:val="clear" w:color="auto" w:fill="FFFFFF"/>
        </w:rPr>
        <w:t xml:space="preserve">’. </w:t>
      </w:r>
    </w:p>
    <w:p w:rsidR="00CA4094" w:rsidRPr="00554DBF" w:rsidRDefault="00CA4094" w:rsidP="00D65B5B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65B5B">
        <w:rPr>
          <w:rFonts w:ascii="Times New Roman" w:hAnsi="Times New Roman"/>
          <w:sz w:val="28"/>
          <w:szCs w:val="28"/>
          <w:shd w:val="clear" w:color="auto" w:fill="FFFFFF"/>
        </w:rPr>
        <w:t>Проект «</w:t>
      </w:r>
      <w:proofErr w:type="spellStart"/>
      <w:r w:rsidR="003172D5" w:rsidRPr="00D65B5B">
        <w:rPr>
          <w:rFonts w:ascii="Times New Roman" w:hAnsi="Times New Roman"/>
          <w:sz w:val="28"/>
          <w:szCs w:val="28"/>
          <w:shd w:val="clear" w:color="auto" w:fill="FFFFFF"/>
        </w:rPr>
        <w:t>Профілактично-оздоровлювальна</w:t>
      </w:r>
      <w:proofErr w:type="spellEnd"/>
      <w:r w:rsidR="003172D5" w:rsidRPr="00D65B5B">
        <w:rPr>
          <w:rFonts w:ascii="Times New Roman" w:hAnsi="Times New Roman"/>
          <w:sz w:val="28"/>
          <w:szCs w:val="28"/>
          <w:shd w:val="clear" w:color="auto" w:fill="FFFFFF"/>
        </w:rPr>
        <w:t xml:space="preserve"> діяльність</w:t>
      </w:r>
      <w:r w:rsidR="00554DBF" w:rsidRPr="00D65B5B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554DB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5640F3">
        <w:rPr>
          <w:rFonts w:ascii="Times New Roman" w:hAnsi="Times New Roman"/>
          <w:sz w:val="28"/>
          <w:szCs w:val="28"/>
          <w:shd w:val="clear" w:color="auto" w:fill="FFFFFF"/>
        </w:rPr>
        <w:t>передбачає здійснення ремонту в установах, які дозволяють проводити профілактику захворювань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640F3">
        <w:rPr>
          <w:rFonts w:ascii="Times New Roman" w:hAnsi="Times New Roman"/>
          <w:sz w:val="28"/>
          <w:szCs w:val="28"/>
          <w:shd w:val="clear" w:color="auto" w:fill="FFFFFF"/>
        </w:rPr>
        <w:t xml:space="preserve"> та власне оздоровлення різних категорій лучан у спортивно-оздоровчому таборі Буковель.</w:t>
      </w:r>
      <w:r w:rsidR="00554DBF">
        <w:rPr>
          <w:rFonts w:ascii="Times New Roman" w:hAnsi="Times New Roman"/>
          <w:sz w:val="28"/>
          <w:szCs w:val="28"/>
          <w:shd w:val="clear" w:color="auto" w:fill="FFFFFF"/>
        </w:rPr>
        <w:t xml:space="preserve"> На часі</w:t>
      </w:r>
      <w:r w:rsidR="00554DB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D65B5B" w:rsidRPr="00D65B5B">
        <w:rPr>
          <w:rFonts w:ascii="Times New Roman" w:hAnsi="Times New Roman"/>
          <w:sz w:val="28"/>
          <w:szCs w:val="28"/>
          <w:shd w:val="clear" w:color="auto" w:fill="FFFFFF"/>
        </w:rPr>
        <w:t xml:space="preserve">також </w:t>
      </w:r>
      <w:r w:rsidR="00554DBF">
        <w:rPr>
          <w:rFonts w:ascii="Times New Roman" w:hAnsi="Times New Roman"/>
          <w:sz w:val="28"/>
          <w:szCs w:val="28"/>
          <w:shd w:val="clear" w:color="auto" w:fill="FFFFFF"/>
        </w:rPr>
        <w:t>здійснення ремонтних робіт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 басей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ні, що знаходиться у приміщенні Комунального закладу «Комплексна дитячо-юнацька спортивна школа №1 Луцької міської ради» (мікрорайон Вересневе). На ремонтні роботи 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 xml:space="preserve">уже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виділено 962,5 тис. грн.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Після реконструкції діти знову зможуть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займат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ся плаванням у групах спортивної школи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всі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охочі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покращити стан здоров’я, зокрема</w:t>
      </w:r>
      <w:r w:rsidR="00E7051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опорно-рухового апарату. </w:t>
      </w:r>
    </w:p>
    <w:p w:rsidR="00CA4094" w:rsidRPr="009031DD" w:rsidRDefault="00E70511" w:rsidP="00D65B5B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Дві тисячі</w:t>
      </w:r>
      <w:r w:rsidR="00CA4094" w:rsidRPr="00FC717F">
        <w:rPr>
          <w:rFonts w:ascii="Times New Roman" w:hAnsi="Times New Roman"/>
          <w:sz w:val="28"/>
          <w:szCs w:val="28"/>
          <w:shd w:val="clear" w:color="auto" w:fill="FFFFFF"/>
        </w:rPr>
        <w:t xml:space="preserve"> лучан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5B5B">
        <w:rPr>
          <w:rFonts w:ascii="Times New Roman" w:hAnsi="Times New Roman"/>
          <w:sz w:val="28"/>
          <w:szCs w:val="28"/>
          <w:shd w:val="clear" w:color="auto" w:fill="FFFFFF"/>
        </w:rPr>
        <w:t>завдяки засновнику благодійного фонду народно</w:t>
      </w:r>
      <w:r w:rsidR="00CC6A11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="00D65B5B">
        <w:rPr>
          <w:rFonts w:ascii="Times New Roman" w:hAnsi="Times New Roman"/>
          <w:sz w:val="28"/>
          <w:szCs w:val="28"/>
          <w:shd w:val="clear" w:color="auto" w:fill="FFFFFF"/>
        </w:rPr>
        <w:t xml:space="preserve"> депутат</w:t>
      </w:r>
      <w:r w:rsidR="00CC6A11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D65B5B">
        <w:rPr>
          <w:rFonts w:ascii="Times New Roman" w:hAnsi="Times New Roman"/>
          <w:sz w:val="28"/>
          <w:szCs w:val="28"/>
          <w:shd w:val="clear" w:color="auto" w:fill="FFFFFF"/>
        </w:rPr>
        <w:t xml:space="preserve"> І.П.Палиці 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>мають змогу оздоровитис</w:t>
      </w:r>
      <w:r w:rsidR="00CC6A11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на гірському кур</w:t>
      </w:r>
      <w:r w:rsidR="008B0503">
        <w:rPr>
          <w:rFonts w:ascii="Times New Roman" w:hAnsi="Times New Roman"/>
          <w:sz w:val="28"/>
          <w:szCs w:val="28"/>
          <w:shd w:val="clear" w:color="auto" w:fill="FFFFFF"/>
        </w:rPr>
        <w:t xml:space="preserve">орті Буковель – </w:t>
      </w:r>
      <w:r w:rsidR="00CC6A11">
        <w:rPr>
          <w:rFonts w:ascii="Times New Roman" w:hAnsi="Times New Roman"/>
          <w:sz w:val="28"/>
          <w:szCs w:val="28"/>
          <w:shd w:val="clear" w:color="auto" w:fill="FFFFFF"/>
        </w:rPr>
        <w:t xml:space="preserve">це </w:t>
      </w:r>
      <w:r w:rsidR="008B0503">
        <w:rPr>
          <w:rFonts w:ascii="Times New Roman" w:hAnsi="Times New Roman"/>
          <w:sz w:val="28"/>
          <w:szCs w:val="28"/>
          <w:shd w:val="clear" w:color="auto" w:fill="FFFFFF"/>
        </w:rPr>
        <w:t>шк</w:t>
      </w:r>
      <w:r w:rsidR="00D65B5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>лярі, студенти, працівники</w:t>
      </w:r>
      <w:r w:rsidR="00CA4094"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освіти, культури, медицини, а також інші категорії лучан</w:t>
      </w:r>
      <w:r w:rsidR="00CA4094" w:rsidRPr="009031D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A4094" w:rsidRPr="009031D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Найбільша увага звернена на оздоровлення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талановитої та здібної молоді: переможці предметних олімпіад, конкурсів і турнірів, спортсмени і танцюристи, інші юні таланти. Особливістю цьогорічного проекту стало те, що школярі та студенти мали змогу відпочити довше, ніж у 2012 році – 10 днів, а загальна кількість учасників проекту збільшена </w:t>
      </w:r>
      <w:r w:rsidRPr="00517C7E">
        <w:rPr>
          <w:rFonts w:ascii="Times New Roman" w:hAnsi="Times New Roman"/>
          <w:sz w:val="28"/>
          <w:szCs w:val="28"/>
          <w:shd w:val="clear" w:color="auto" w:fill="FFFFFF"/>
        </w:rPr>
        <w:t>до двох тисяч.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 xml:space="preserve"> Бюджет проекту становить 8,5 млн.</w:t>
      </w:r>
      <w:r w:rsidR="003C0A4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9031DD">
        <w:rPr>
          <w:rFonts w:ascii="Times New Roman" w:hAnsi="Times New Roman"/>
          <w:sz w:val="28"/>
          <w:szCs w:val="28"/>
          <w:shd w:val="clear" w:color="auto" w:fill="FFFFFF"/>
        </w:rPr>
        <w:t>грн.</w:t>
      </w:r>
    </w:p>
    <w:tbl>
      <w:tblPr>
        <w:tblW w:w="6840" w:type="dxa"/>
        <w:tblInd w:w="1809" w:type="dxa"/>
        <w:tblLook w:val="04A0" w:firstRow="1" w:lastRow="0" w:firstColumn="1" w:lastColumn="0" w:noHBand="0" w:noVBand="1"/>
      </w:tblPr>
      <w:tblGrid>
        <w:gridCol w:w="4860"/>
        <w:gridCol w:w="1980"/>
      </w:tblGrid>
      <w:tr w:rsidR="003C0A49" w:rsidRPr="00D24A7A" w:rsidTr="00CC6A11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Категорія населення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Кількість путівок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Школярі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,, 51%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1030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Студенти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, 25%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500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Вчителі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, 8%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160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Викладачі 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110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Працівники бібліотечної системи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, 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bookmarkStart w:id="0" w:name="_GoBack"/>
        <w:bookmarkEnd w:id="0"/>
      </w:tr>
      <w:tr w:rsidR="003C0A49" w:rsidRPr="00D24A7A" w:rsidTr="00DD5B48">
        <w:trPr>
          <w:trHeight w:val="423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DD5B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Працівники</w:t>
            </w:r>
            <w:r w:rsidR="00DD5B4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галузі охорони здоров’я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 xml:space="preserve"> 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Представники ЗМІ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, 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Працівники театрів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,1%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Працівники соціальної сфери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,1%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</w:tr>
      <w:tr w:rsidR="003C0A49" w:rsidRPr="00D24A7A" w:rsidTr="00DD5B48">
        <w:trPr>
          <w:trHeight w:val="4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DD5B48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Спортсмени</w:t>
            </w:r>
            <w:r w:rsidR="003C0A49"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Працівники культури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,1%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Спілка чорнобильців</w:t>
            </w:r>
            <w:r w:rsidRPr="00D24A7A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,1%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4A7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</w:tr>
      <w:tr w:rsidR="003C0A49" w:rsidRPr="00D24A7A" w:rsidTr="00CC6A11">
        <w:trPr>
          <w:trHeight w:val="3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РАЗОМ: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A49" w:rsidRPr="00D24A7A" w:rsidRDefault="003C0A49" w:rsidP="003C0A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2004</w:t>
            </w:r>
          </w:p>
        </w:tc>
      </w:tr>
    </w:tbl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32"/>
          <w:szCs w:val="32"/>
          <w:shd w:val="clear" w:color="auto" w:fill="FFFFFF"/>
        </w:rPr>
      </w:pPr>
    </w:p>
    <w:p w:rsidR="004E411F" w:rsidRDefault="004E411F" w:rsidP="004E411F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B852C62" wp14:editId="0F045EEE">
            <wp:extent cx="5334000" cy="4591049"/>
            <wp:effectExtent l="0" t="0" r="19050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411F" w:rsidRDefault="004E411F" w:rsidP="004E411F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A4094" w:rsidRPr="00D65B5B" w:rsidRDefault="00CA4094" w:rsidP="00CC6A11">
      <w:pPr>
        <w:widowControl w:val="0"/>
        <w:spacing w:after="0"/>
        <w:ind w:firstLine="36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D1BE4">
        <w:rPr>
          <w:rFonts w:ascii="Times New Roman" w:hAnsi="Times New Roman"/>
          <w:sz w:val="28"/>
          <w:szCs w:val="28"/>
        </w:rPr>
        <w:t>Програма</w:t>
      </w:r>
      <w:r w:rsidR="00D65B5B">
        <w:rPr>
          <w:rFonts w:ascii="Times New Roman" w:hAnsi="Times New Roman"/>
          <w:sz w:val="28"/>
          <w:szCs w:val="28"/>
        </w:rPr>
        <w:t xml:space="preserve"> “Луцьк – центр сучасної освіти і науки”</w:t>
      </w:r>
      <w:r w:rsidRPr="009031DD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</w:t>
      </w:r>
      <w:r w:rsidRPr="006D1BE4">
        <w:rPr>
          <w:rFonts w:ascii="Times New Roman" w:hAnsi="Times New Roman"/>
          <w:sz w:val="28"/>
          <w:szCs w:val="28"/>
        </w:rPr>
        <w:t>передбачає зміцнення матеріально-технічної бази та науково-методичного забезпечення установ освіти і науки.</w:t>
      </w:r>
      <w:r w:rsidRPr="009031D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Подбати про майбутнє – підтримати розвиток освіти і науки сьогодні. Сучасний розвиток цих галузей базується на застосуванні новітніх технологій, які формують інноваційний потенціал учасників освітнього процесу. У цих умовах особливого значення набуває забезпечення установ освіти і науки мультимедійним обладнанням, комп’ютерною технікою. Проте, найчастіше не вистачає найнеобхіднішого – достойних умов для здійснення навчального процесу. </w:t>
      </w:r>
      <w:r w:rsidR="00554DBF">
        <w:rPr>
          <w:rFonts w:ascii="Times New Roman" w:hAnsi="Times New Roman"/>
          <w:sz w:val="28"/>
          <w:szCs w:val="28"/>
        </w:rPr>
        <w:t>Тому, впродовж першого півріччя</w:t>
      </w:r>
      <w:r>
        <w:rPr>
          <w:rFonts w:ascii="Times New Roman" w:hAnsi="Times New Roman"/>
          <w:sz w:val="28"/>
          <w:szCs w:val="28"/>
        </w:rPr>
        <w:t xml:space="preserve"> програма «Луцьк – центр сучасної освіти і науки» реалізувалас</w:t>
      </w:r>
      <w:r w:rsidR="00CC6A1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шляхом покращення </w:t>
      </w:r>
      <w:r w:rsidRPr="00D65B5B">
        <w:rPr>
          <w:rFonts w:ascii="Times New Roman" w:hAnsi="Times New Roman"/>
          <w:sz w:val="28"/>
          <w:szCs w:val="28"/>
        </w:rPr>
        <w:t>матеріальної бази освітніх установ (ремонтні роботи)</w:t>
      </w:r>
      <w:r w:rsidR="00CC6A11">
        <w:rPr>
          <w:rFonts w:ascii="Times New Roman" w:hAnsi="Times New Roman"/>
          <w:sz w:val="28"/>
          <w:szCs w:val="28"/>
        </w:rPr>
        <w:t>, а також</w:t>
      </w:r>
      <w:r w:rsidRPr="00D65B5B">
        <w:rPr>
          <w:rFonts w:ascii="Times New Roman" w:hAnsi="Times New Roman"/>
          <w:sz w:val="28"/>
          <w:szCs w:val="28"/>
        </w:rPr>
        <w:t>:</w:t>
      </w:r>
    </w:p>
    <w:p w:rsidR="00CA4094" w:rsidRPr="00862148" w:rsidRDefault="00CA4094" w:rsidP="008B0503">
      <w:pPr>
        <w:pStyle w:val="ab"/>
        <w:widowControl w:val="0"/>
        <w:numPr>
          <w:ilvl w:val="0"/>
          <w:numId w:val="3"/>
        </w:num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Обладнання </w:t>
      </w:r>
      <w:r w:rsidR="004E5DFB">
        <w:rPr>
          <w:rFonts w:ascii="Times New Roman" w:hAnsi="Times New Roman"/>
          <w:sz w:val="28"/>
          <w:szCs w:val="28"/>
        </w:rPr>
        <w:t>міні-футбольних полів у з</w:t>
      </w:r>
      <w:r>
        <w:rPr>
          <w:rFonts w:ascii="Times New Roman" w:hAnsi="Times New Roman"/>
          <w:sz w:val="28"/>
          <w:szCs w:val="28"/>
        </w:rPr>
        <w:t>агальноосвітніх школах № 2,</w:t>
      </w:r>
      <w:r w:rsidR="004E5D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</w:t>
      </w:r>
      <w:r w:rsidR="004E5D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12,</w:t>
      </w:r>
      <w:r w:rsidR="004E5D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16,</w:t>
      </w:r>
      <w:r w:rsidR="004E5D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23. Роботи будуть завершені до початку навчального року. Кошти на це – 2,1 млн. грн. вже виділено</w:t>
      </w:r>
      <w:r w:rsidR="004E5DFB">
        <w:rPr>
          <w:rFonts w:ascii="Times New Roman" w:hAnsi="Times New Roman"/>
          <w:sz w:val="28"/>
          <w:szCs w:val="28"/>
        </w:rPr>
        <w:t xml:space="preserve"> і вони активно освоюються</w:t>
      </w:r>
      <w:r>
        <w:rPr>
          <w:rFonts w:ascii="Times New Roman" w:hAnsi="Times New Roman"/>
          <w:sz w:val="28"/>
          <w:szCs w:val="28"/>
        </w:rPr>
        <w:t>.</w:t>
      </w:r>
    </w:p>
    <w:p w:rsidR="00CA4094" w:rsidRDefault="004E5DFB" w:rsidP="008B0503">
      <w:pPr>
        <w:widowControl w:val="0"/>
        <w:numPr>
          <w:ilvl w:val="0"/>
          <w:numId w:val="3"/>
        </w:num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Здійснено</w:t>
      </w:r>
      <w:r w:rsidR="00CA4094">
        <w:rPr>
          <w:rFonts w:ascii="Times New Roman" w:hAnsi="Times New Roman"/>
          <w:sz w:val="28"/>
          <w:szCs w:val="28"/>
        </w:rPr>
        <w:t xml:space="preserve"> заміну вікон та підвікон</w:t>
      </w:r>
      <w:r w:rsidR="00CC6A11">
        <w:rPr>
          <w:rFonts w:ascii="Times New Roman" w:hAnsi="Times New Roman"/>
          <w:sz w:val="28"/>
          <w:szCs w:val="28"/>
        </w:rPr>
        <w:t>ь</w:t>
      </w:r>
      <w:r w:rsidR="00CA4094">
        <w:rPr>
          <w:rFonts w:ascii="Times New Roman" w:hAnsi="Times New Roman"/>
          <w:sz w:val="28"/>
          <w:szCs w:val="28"/>
        </w:rPr>
        <w:t xml:space="preserve"> у </w:t>
      </w:r>
      <w:r w:rsidR="001A10C9">
        <w:rPr>
          <w:rFonts w:ascii="Times New Roman" w:hAnsi="Times New Roman"/>
          <w:sz w:val="28"/>
          <w:szCs w:val="28"/>
        </w:rPr>
        <w:t>ЗО</w:t>
      </w:r>
      <w:r w:rsidR="00CA4094" w:rsidRPr="008F1F34">
        <w:rPr>
          <w:rFonts w:ascii="Times New Roman" w:hAnsi="Times New Roman"/>
          <w:sz w:val="28"/>
          <w:szCs w:val="28"/>
        </w:rPr>
        <w:t>Ш №23</w:t>
      </w:r>
      <w:r w:rsidR="00CA409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</w:t>
      </w:r>
      <w:r w:rsidR="00CA4094" w:rsidRPr="00BE0613">
        <w:rPr>
          <w:rFonts w:ascii="Times New Roman" w:hAnsi="Times New Roman"/>
          <w:sz w:val="28"/>
          <w:szCs w:val="28"/>
        </w:rPr>
        <w:t>правлінні освіти</w:t>
      </w:r>
      <w:r w:rsidR="00CA4094">
        <w:rPr>
          <w:rFonts w:ascii="Times New Roman" w:hAnsi="Times New Roman"/>
          <w:sz w:val="28"/>
          <w:szCs w:val="28"/>
        </w:rPr>
        <w:t xml:space="preserve"> Луць</w:t>
      </w:r>
      <w:r>
        <w:rPr>
          <w:rFonts w:ascii="Times New Roman" w:hAnsi="Times New Roman"/>
          <w:sz w:val="28"/>
          <w:szCs w:val="28"/>
        </w:rPr>
        <w:t xml:space="preserve">кої міської ради, </w:t>
      </w:r>
      <w:r w:rsidR="00CA40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CA4094" w:rsidRPr="0021231A">
        <w:rPr>
          <w:rFonts w:ascii="Times New Roman" w:hAnsi="Times New Roman"/>
          <w:sz w:val="28"/>
          <w:szCs w:val="28"/>
        </w:rPr>
        <w:t>ошкільн</w:t>
      </w:r>
      <w:r w:rsidR="00CA4094">
        <w:rPr>
          <w:rFonts w:ascii="Times New Roman" w:hAnsi="Times New Roman"/>
          <w:sz w:val="28"/>
          <w:szCs w:val="28"/>
        </w:rPr>
        <w:t>ому</w:t>
      </w:r>
      <w:r w:rsidR="00CA4094" w:rsidRPr="0021231A">
        <w:rPr>
          <w:rFonts w:ascii="Times New Roman" w:hAnsi="Times New Roman"/>
          <w:sz w:val="28"/>
          <w:szCs w:val="28"/>
        </w:rPr>
        <w:t xml:space="preserve"> навчальн</w:t>
      </w:r>
      <w:r w:rsidR="00CA4094">
        <w:rPr>
          <w:rFonts w:ascii="Times New Roman" w:hAnsi="Times New Roman"/>
          <w:sz w:val="28"/>
          <w:szCs w:val="28"/>
        </w:rPr>
        <w:t>ому</w:t>
      </w:r>
      <w:r w:rsidR="00CA4094" w:rsidRPr="0021231A">
        <w:rPr>
          <w:rFonts w:ascii="Times New Roman" w:hAnsi="Times New Roman"/>
          <w:sz w:val="28"/>
          <w:szCs w:val="28"/>
        </w:rPr>
        <w:t xml:space="preserve"> заклад</w:t>
      </w:r>
      <w:r w:rsidR="00CA4094">
        <w:rPr>
          <w:rFonts w:ascii="Times New Roman" w:hAnsi="Times New Roman"/>
          <w:sz w:val="28"/>
          <w:szCs w:val="28"/>
        </w:rPr>
        <w:t>і</w:t>
      </w:r>
      <w:r w:rsidR="00CA4094" w:rsidRPr="0021231A">
        <w:rPr>
          <w:rFonts w:ascii="Times New Roman" w:hAnsi="Times New Roman"/>
          <w:sz w:val="28"/>
          <w:szCs w:val="28"/>
        </w:rPr>
        <w:t xml:space="preserve"> №28</w:t>
      </w:r>
      <w:r w:rsidR="00CA4094">
        <w:rPr>
          <w:rFonts w:ascii="Times New Roman" w:hAnsi="Times New Roman"/>
          <w:sz w:val="28"/>
          <w:szCs w:val="28"/>
        </w:rPr>
        <w:t>.</w:t>
      </w:r>
    </w:p>
    <w:p w:rsidR="00CA4094" w:rsidRDefault="004E5DFB" w:rsidP="008B0503">
      <w:pPr>
        <w:widowControl w:val="0"/>
        <w:numPr>
          <w:ilvl w:val="0"/>
          <w:numId w:val="3"/>
        </w:num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Виділено</w:t>
      </w:r>
      <w:r w:rsidR="00CA4094">
        <w:rPr>
          <w:rFonts w:ascii="Times New Roman" w:hAnsi="Times New Roman"/>
          <w:sz w:val="28"/>
          <w:szCs w:val="28"/>
        </w:rPr>
        <w:t xml:space="preserve"> кошти на за</w:t>
      </w:r>
      <w:r>
        <w:rPr>
          <w:rFonts w:ascii="Times New Roman" w:hAnsi="Times New Roman"/>
          <w:sz w:val="28"/>
          <w:szCs w:val="28"/>
        </w:rPr>
        <w:t>купівлю матеріалів для ремонту д</w:t>
      </w:r>
      <w:r w:rsidR="00CA4094">
        <w:rPr>
          <w:rFonts w:ascii="Times New Roman" w:hAnsi="Times New Roman"/>
          <w:sz w:val="28"/>
          <w:szCs w:val="28"/>
        </w:rPr>
        <w:t>ошкільного</w:t>
      </w:r>
      <w:r w:rsidR="00CA4094" w:rsidRPr="0021231A">
        <w:rPr>
          <w:rFonts w:ascii="Times New Roman" w:hAnsi="Times New Roman"/>
          <w:sz w:val="28"/>
          <w:szCs w:val="28"/>
        </w:rPr>
        <w:t xml:space="preserve"> навчальн</w:t>
      </w:r>
      <w:r w:rsidR="00CA4094">
        <w:rPr>
          <w:rFonts w:ascii="Times New Roman" w:hAnsi="Times New Roman"/>
          <w:sz w:val="28"/>
          <w:szCs w:val="28"/>
        </w:rPr>
        <w:t>ого</w:t>
      </w:r>
      <w:r w:rsidR="00CA4094" w:rsidRPr="0021231A">
        <w:rPr>
          <w:rFonts w:ascii="Times New Roman" w:hAnsi="Times New Roman"/>
          <w:sz w:val="28"/>
          <w:szCs w:val="28"/>
        </w:rPr>
        <w:t xml:space="preserve"> заклад</w:t>
      </w:r>
      <w:r w:rsidR="00CA4094">
        <w:rPr>
          <w:rFonts w:ascii="Times New Roman" w:hAnsi="Times New Roman"/>
          <w:sz w:val="28"/>
          <w:szCs w:val="28"/>
        </w:rPr>
        <w:t>у</w:t>
      </w:r>
      <w:r w:rsidR="00CA4094" w:rsidRPr="0021231A">
        <w:rPr>
          <w:rFonts w:ascii="Times New Roman" w:hAnsi="Times New Roman"/>
          <w:sz w:val="28"/>
          <w:szCs w:val="28"/>
        </w:rPr>
        <w:t xml:space="preserve"> №21</w:t>
      </w:r>
      <w:r w:rsidR="00CA4094">
        <w:rPr>
          <w:rFonts w:ascii="Times New Roman" w:hAnsi="Times New Roman"/>
          <w:sz w:val="28"/>
          <w:szCs w:val="28"/>
        </w:rPr>
        <w:t>, Луцького навчально-реабілітаційного центру.</w:t>
      </w:r>
    </w:p>
    <w:p w:rsidR="00CA4094" w:rsidRDefault="00CC6A11" w:rsidP="00CC6A11">
      <w:pPr>
        <w:widowControl w:val="0"/>
        <w:numPr>
          <w:ilvl w:val="0"/>
          <w:numId w:val="3"/>
        </w:num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Забезпечено к</w:t>
      </w:r>
      <w:r w:rsidR="00CA4094" w:rsidRPr="00CC6A11">
        <w:rPr>
          <w:rFonts w:ascii="Times New Roman" w:hAnsi="Times New Roman"/>
          <w:sz w:val="28"/>
          <w:szCs w:val="28"/>
        </w:rPr>
        <w:t>омп’ютерною технікою, а саме</w:t>
      </w:r>
      <w:r>
        <w:rPr>
          <w:rFonts w:ascii="Times New Roman" w:hAnsi="Times New Roman"/>
          <w:sz w:val="28"/>
          <w:szCs w:val="28"/>
        </w:rPr>
        <w:t>:</w:t>
      </w:r>
      <w:r w:rsidR="00CA4094" w:rsidRPr="00CC6A11">
        <w:rPr>
          <w:rFonts w:ascii="Times New Roman" w:hAnsi="Times New Roman"/>
          <w:sz w:val="28"/>
          <w:szCs w:val="28"/>
        </w:rPr>
        <w:t xml:space="preserve"> 11-ма мультимедійними комплексами - ноутбуками, проекційними екранами, проекторами забезпечили Луцьку гімназію №18</w:t>
      </w:r>
      <w:r w:rsidR="004E5DFB" w:rsidRPr="00CC6A11">
        <w:rPr>
          <w:rFonts w:ascii="Times New Roman" w:hAnsi="Times New Roman"/>
          <w:sz w:val="28"/>
          <w:szCs w:val="28"/>
        </w:rPr>
        <w:t xml:space="preserve"> та школи №15, 17</w:t>
      </w:r>
      <w:r>
        <w:rPr>
          <w:rFonts w:ascii="Times New Roman" w:hAnsi="Times New Roman"/>
          <w:sz w:val="28"/>
          <w:szCs w:val="28"/>
        </w:rPr>
        <w:t>,</w:t>
      </w:r>
      <w:r w:rsidR="004E5DFB" w:rsidRPr="00CC6A11">
        <w:rPr>
          <w:rFonts w:ascii="Times New Roman" w:hAnsi="Times New Roman"/>
          <w:sz w:val="28"/>
          <w:szCs w:val="28"/>
        </w:rPr>
        <w:t xml:space="preserve"> Луцький центр </w:t>
      </w:r>
      <w:r w:rsidR="004E5DFB" w:rsidRPr="00CC6A11">
        <w:rPr>
          <w:rFonts w:ascii="Times New Roman" w:hAnsi="Times New Roman"/>
          <w:sz w:val="28"/>
          <w:szCs w:val="28"/>
        </w:rPr>
        <w:lastRenderedPageBreak/>
        <w:t>професійно-технічної освіти</w:t>
      </w:r>
      <w:r w:rsidR="00CA4094" w:rsidRPr="00CC6A11">
        <w:rPr>
          <w:rFonts w:ascii="Times New Roman" w:hAnsi="Times New Roman"/>
          <w:sz w:val="28"/>
          <w:szCs w:val="28"/>
        </w:rPr>
        <w:t>.</w:t>
      </w:r>
    </w:p>
    <w:p w:rsidR="00CA4094" w:rsidRDefault="004E5DFB" w:rsidP="00CC6A11">
      <w:pPr>
        <w:widowControl w:val="0"/>
        <w:numPr>
          <w:ilvl w:val="0"/>
          <w:numId w:val="3"/>
        </w:num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6A11">
        <w:rPr>
          <w:rFonts w:ascii="Times New Roman" w:hAnsi="Times New Roman"/>
          <w:sz w:val="28"/>
          <w:szCs w:val="28"/>
        </w:rPr>
        <w:t>Профінанс</w:t>
      </w:r>
      <w:r w:rsidR="00B9007C" w:rsidRPr="00CC6A11">
        <w:rPr>
          <w:rFonts w:ascii="Times New Roman" w:hAnsi="Times New Roman"/>
          <w:sz w:val="28"/>
          <w:szCs w:val="28"/>
        </w:rPr>
        <w:t>о</w:t>
      </w:r>
      <w:r w:rsidRPr="00CC6A11">
        <w:rPr>
          <w:rFonts w:ascii="Times New Roman" w:hAnsi="Times New Roman"/>
          <w:sz w:val="28"/>
          <w:szCs w:val="28"/>
        </w:rPr>
        <w:t>вано</w:t>
      </w:r>
      <w:r w:rsidR="00CA4094" w:rsidRPr="00CC6A11">
        <w:rPr>
          <w:rFonts w:ascii="Times New Roman" w:hAnsi="Times New Roman"/>
          <w:sz w:val="28"/>
          <w:szCs w:val="28"/>
        </w:rPr>
        <w:t xml:space="preserve"> </w:t>
      </w:r>
      <w:r w:rsidRPr="00CC6A11">
        <w:rPr>
          <w:rFonts w:ascii="Times New Roman" w:hAnsi="Times New Roman"/>
          <w:sz w:val="28"/>
          <w:szCs w:val="28"/>
        </w:rPr>
        <w:t>лабораторію</w:t>
      </w:r>
      <w:r w:rsidR="00CA4094" w:rsidRPr="00CC6A11">
        <w:rPr>
          <w:rFonts w:ascii="Times New Roman" w:hAnsi="Times New Roman"/>
          <w:sz w:val="28"/>
          <w:szCs w:val="28"/>
        </w:rPr>
        <w:t xml:space="preserve"> біотехнології з оздоровлення, розмноження та вирощування ягідних та інших культур Східноєвропейського національного університету</w:t>
      </w:r>
      <w:r w:rsidR="00CC6A11">
        <w:rPr>
          <w:rFonts w:ascii="Times New Roman" w:hAnsi="Times New Roman"/>
          <w:sz w:val="28"/>
          <w:szCs w:val="28"/>
        </w:rPr>
        <w:t xml:space="preserve"> імені Лесі Українки</w:t>
      </w:r>
      <w:r w:rsidR="00CA4094" w:rsidRPr="00CC6A11">
        <w:rPr>
          <w:rFonts w:ascii="Times New Roman" w:hAnsi="Times New Roman"/>
          <w:sz w:val="28"/>
          <w:szCs w:val="28"/>
        </w:rPr>
        <w:t>.</w:t>
      </w:r>
    </w:p>
    <w:p w:rsidR="00CA4094" w:rsidRPr="00CC6A11" w:rsidRDefault="004E5DFB" w:rsidP="00CC6A11">
      <w:pPr>
        <w:widowControl w:val="0"/>
        <w:numPr>
          <w:ilvl w:val="0"/>
          <w:numId w:val="3"/>
        </w:num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6A11">
        <w:rPr>
          <w:rFonts w:ascii="Times New Roman" w:hAnsi="Times New Roman"/>
          <w:sz w:val="28"/>
          <w:szCs w:val="28"/>
        </w:rPr>
        <w:t>Придбано мультимедійне обладнання</w:t>
      </w:r>
      <w:r w:rsidR="00CA4094" w:rsidRPr="00CC6A11">
        <w:rPr>
          <w:rFonts w:ascii="Times New Roman" w:hAnsi="Times New Roman"/>
          <w:sz w:val="28"/>
          <w:szCs w:val="28"/>
        </w:rPr>
        <w:t xml:space="preserve"> для реалізації проек</w:t>
      </w:r>
      <w:r w:rsidRPr="00CC6A11">
        <w:rPr>
          <w:rFonts w:ascii="Times New Roman" w:hAnsi="Times New Roman"/>
          <w:sz w:val="28"/>
          <w:szCs w:val="28"/>
        </w:rPr>
        <w:t>ту «Віртуальний Луцьк» у</w:t>
      </w:r>
      <w:r w:rsidR="00CA4094" w:rsidRPr="00CC6A11">
        <w:rPr>
          <w:rFonts w:ascii="Times New Roman" w:hAnsi="Times New Roman"/>
          <w:sz w:val="28"/>
          <w:szCs w:val="28"/>
        </w:rPr>
        <w:t xml:space="preserve"> лаборатор</w:t>
      </w:r>
      <w:r w:rsidRPr="00CC6A11">
        <w:rPr>
          <w:rFonts w:ascii="Times New Roman" w:hAnsi="Times New Roman"/>
          <w:sz w:val="28"/>
          <w:szCs w:val="28"/>
        </w:rPr>
        <w:t>ії</w:t>
      </w:r>
      <w:r w:rsidR="00CA4094" w:rsidRPr="00CC6A11">
        <w:rPr>
          <w:rFonts w:ascii="Times New Roman" w:hAnsi="Times New Roman"/>
          <w:sz w:val="28"/>
          <w:szCs w:val="28"/>
        </w:rPr>
        <w:t xml:space="preserve"> «Інноваційно-інформаційних технологій у туризмі» Східноєвропейського національного університету</w:t>
      </w:r>
      <w:r w:rsidR="00CC6A11">
        <w:rPr>
          <w:rFonts w:ascii="Times New Roman" w:hAnsi="Times New Roman"/>
          <w:sz w:val="28"/>
          <w:szCs w:val="28"/>
        </w:rPr>
        <w:t xml:space="preserve"> імені Лесі Українки</w:t>
      </w:r>
      <w:r w:rsidR="00CA4094" w:rsidRPr="00CC6A11">
        <w:rPr>
          <w:rFonts w:ascii="Times New Roman" w:hAnsi="Times New Roman"/>
          <w:sz w:val="28"/>
          <w:szCs w:val="28"/>
        </w:rPr>
        <w:t>. Проект «Віртуальний Луцьк» – це створення 3-</w:t>
      </w:r>
      <w:r w:rsidR="00CA4094" w:rsidRPr="00CC6A11">
        <w:rPr>
          <w:rFonts w:ascii="Times New Roman" w:hAnsi="Times New Roman"/>
          <w:sz w:val="28"/>
          <w:szCs w:val="28"/>
          <w:lang w:val="en-US"/>
        </w:rPr>
        <w:t>D</w:t>
      </w:r>
      <w:r w:rsidR="00CA4094" w:rsidRPr="00CC6A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4094" w:rsidRPr="00CC6A11">
        <w:rPr>
          <w:rFonts w:ascii="Times New Roman" w:hAnsi="Times New Roman"/>
          <w:sz w:val="28"/>
          <w:szCs w:val="28"/>
        </w:rPr>
        <w:t>панорами міста, яка буде доступною в мережі Інтернет на сайті благодійного фонду</w:t>
      </w:r>
      <w:r w:rsidRPr="00CC6A11">
        <w:rPr>
          <w:rFonts w:ascii="Times New Roman" w:hAnsi="Times New Roman"/>
          <w:sz w:val="28"/>
          <w:szCs w:val="28"/>
        </w:rPr>
        <w:t>.</w:t>
      </w:r>
    </w:p>
    <w:p w:rsidR="00B9007C" w:rsidRDefault="00B9007C" w:rsidP="00B9007C">
      <w:pPr>
        <w:widowControl w:val="0"/>
        <w:spacing w:after="0"/>
        <w:ind w:left="106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7938" w:type="dxa"/>
        <w:tblInd w:w="1242" w:type="dxa"/>
        <w:tblLook w:val="04A0" w:firstRow="1" w:lastRow="0" w:firstColumn="1" w:lastColumn="0" w:noHBand="0" w:noVBand="1"/>
      </w:tblPr>
      <w:tblGrid>
        <w:gridCol w:w="6532"/>
        <w:gridCol w:w="1406"/>
      </w:tblGrid>
      <w:tr w:rsidR="00B9007C" w:rsidRPr="00B9007C" w:rsidTr="00F27548">
        <w:trPr>
          <w:trHeight w:val="630"/>
        </w:trPr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07C" w:rsidRPr="00B9007C" w:rsidRDefault="00B9007C" w:rsidP="00CC6A1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Проекти, спрямовані на </w:t>
            </w:r>
            <w:r w:rsidR="00CC6A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розвиток освітньої</w:t>
            </w:r>
            <w:r w:rsidRPr="00B900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C6A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галузі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07C" w:rsidRPr="00B9007C" w:rsidRDefault="00B9007C" w:rsidP="00B9007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Бюджет, тис.</w:t>
            </w:r>
            <w:r w:rsidR="00F275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900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грн.</w:t>
            </w:r>
          </w:p>
        </w:tc>
      </w:tr>
      <w:tr w:rsidR="00B9007C" w:rsidRPr="00B9007C" w:rsidTr="00F27548">
        <w:trPr>
          <w:trHeight w:val="315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харчування малозабезпечених школярів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13,0</w:t>
            </w:r>
          </w:p>
        </w:tc>
      </w:tr>
      <w:tr w:rsidR="00B9007C" w:rsidRPr="00B9007C" w:rsidTr="00F27548">
        <w:trPr>
          <w:trHeight w:val="315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матеріальне заохочення учнів та вчителів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24,9</w:t>
            </w:r>
          </w:p>
        </w:tc>
      </w:tr>
      <w:tr w:rsidR="00B9007C" w:rsidRPr="00B9007C" w:rsidTr="00F27548">
        <w:trPr>
          <w:trHeight w:val="315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ремонтні роботи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51,8</w:t>
            </w:r>
          </w:p>
        </w:tc>
      </w:tr>
      <w:tr w:rsidR="00B9007C" w:rsidRPr="00B9007C" w:rsidTr="00F27548">
        <w:trPr>
          <w:trHeight w:val="315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підтримка культурно-мистецьких заходів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76,6</w:t>
            </w:r>
          </w:p>
        </w:tc>
      </w:tr>
      <w:tr w:rsidR="00B9007C" w:rsidRPr="00B9007C" w:rsidTr="00F27548">
        <w:trPr>
          <w:trHeight w:val="315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забезпечення технікою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108,0</w:t>
            </w:r>
          </w:p>
        </w:tc>
      </w:tr>
      <w:tr w:rsidR="00B9007C" w:rsidRPr="00B9007C" w:rsidTr="00F27548">
        <w:trPr>
          <w:trHeight w:val="315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передплата фахових видань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151,0</w:t>
            </w:r>
          </w:p>
        </w:tc>
      </w:tr>
      <w:tr w:rsidR="00B9007C" w:rsidRPr="00B9007C" w:rsidTr="00F27548">
        <w:trPr>
          <w:trHeight w:val="315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встановлення міні-футбольних полів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1575,0</w:t>
            </w:r>
          </w:p>
        </w:tc>
      </w:tr>
      <w:tr w:rsidR="00B9007C" w:rsidRPr="00B9007C" w:rsidTr="00F27548">
        <w:trPr>
          <w:trHeight w:val="315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оздоровлення учнів та вчителів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5355,0</w:t>
            </w:r>
          </w:p>
        </w:tc>
      </w:tr>
      <w:tr w:rsidR="00B9007C" w:rsidRPr="00B9007C" w:rsidTr="00F27548">
        <w:trPr>
          <w:trHeight w:val="315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РАЗОМ: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07C" w:rsidRPr="00B9007C" w:rsidRDefault="00B9007C" w:rsidP="00B9007C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B900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7355,3</w:t>
            </w:r>
          </w:p>
        </w:tc>
      </w:tr>
    </w:tbl>
    <w:p w:rsidR="00B9007C" w:rsidRDefault="00B9007C" w:rsidP="00D65B5B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9007C" w:rsidRDefault="00B9007C" w:rsidP="00D65B5B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A4094" w:rsidRPr="003C0A49" w:rsidRDefault="00CA4094" w:rsidP="00D65B5B">
      <w:pPr>
        <w:widowControl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Програма «Луцьк – центр сучасної освіти і науки» реалізовується також шляхом  мотивації учасників навчально-освітнього процесу. Найкращі вчителі та викладачі повинні мати гідні умови життя і праці,</w:t>
      </w:r>
      <w:r w:rsidR="00CC6A11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переконаний засновник благодійного фонду</w:t>
      </w:r>
      <w:r w:rsidR="00CC6A11">
        <w:rPr>
          <w:rFonts w:ascii="Times New Roman" w:hAnsi="Times New Roman"/>
          <w:sz w:val="28"/>
          <w:szCs w:val="28"/>
        </w:rPr>
        <w:t>, народний депутат України Ігор Палиця</w:t>
      </w:r>
      <w:r>
        <w:rPr>
          <w:rFonts w:ascii="Times New Roman" w:hAnsi="Times New Roman"/>
          <w:sz w:val="28"/>
          <w:szCs w:val="28"/>
        </w:rPr>
        <w:t>. З цією метою, фонд розпочав програму забезпечення житлом вчителів та викладачів, які досягли високих результатів у роботі. За звітний період 2 квартири отримали викладачі Східноєвропейського національного університету</w:t>
      </w:r>
      <w:r w:rsidR="00D65B5B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 xml:space="preserve">ереможниця Всеукраїнського конкурсу «Учитель року – 2013» Марина Приходько як заохочення для подальшої плідної праці отримала у подарунок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Ipad</w:t>
      </w:r>
      <w:proofErr w:type="spellEnd"/>
      <w:r w:rsidR="00D65B5B" w:rsidRPr="003C0A49">
        <w:rPr>
          <w:rFonts w:ascii="Times New Roman" w:hAnsi="Times New Roman"/>
          <w:sz w:val="28"/>
          <w:szCs w:val="28"/>
        </w:rPr>
        <w:t>, ц</w:t>
      </w:r>
      <w:r w:rsidR="00EC6FE4" w:rsidRPr="003C0A49">
        <w:rPr>
          <w:rFonts w:ascii="Times New Roman" w:hAnsi="Times New Roman"/>
          <w:sz w:val="28"/>
          <w:szCs w:val="28"/>
        </w:rPr>
        <w:t>інними подарунками нагороджені й</w:t>
      </w:r>
      <w:r w:rsidR="00D65B5B" w:rsidRPr="003C0A49">
        <w:rPr>
          <w:rFonts w:ascii="Times New Roman" w:hAnsi="Times New Roman"/>
          <w:sz w:val="28"/>
          <w:szCs w:val="28"/>
        </w:rPr>
        <w:t xml:space="preserve"> учні – переможці всеукраїнських конкурсів</w:t>
      </w:r>
      <w:r w:rsidR="00455465" w:rsidRPr="003C0A49">
        <w:rPr>
          <w:rFonts w:ascii="Times New Roman" w:hAnsi="Times New Roman"/>
          <w:sz w:val="28"/>
          <w:szCs w:val="28"/>
        </w:rPr>
        <w:t>, олімпіад, турнірів тощо</w:t>
      </w:r>
      <w:r w:rsidRPr="003C0A49">
        <w:rPr>
          <w:rFonts w:ascii="Times New Roman" w:hAnsi="Times New Roman"/>
          <w:sz w:val="28"/>
          <w:szCs w:val="28"/>
        </w:rPr>
        <w:t>. Діяльність фонду спрямована на стимулювання усіх учасників навчально-освітнього процесу, тому мотивація учнів, студентів та обдарованої юні знайшла своє відображення у реалізації ще однієї, не менш важлив</w:t>
      </w:r>
      <w:r w:rsidR="00CC6A11">
        <w:rPr>
          <w:rFonts w:ascii="Times New Roman" w:hAnsi="Times New Roman"/>
          <w:sz w:val="28"/>
          <w:szCs w:val="28"/>
        </w:rPr>
        <w:t>их</w:t>
      </w:r>
      <w:r w:rsidRPr="003C0A49">
        <w:rPr>
          <w:rFonts w:ascii="Times New Roman" w:hAnsi="Times New Roman"/>
          <w:sz w:val="28"/>
          <w:szCs w:val="28"/>
        </w:rPr>
        <w:t xml:space="preserve"> програми фонду – «Підтримка творчої та обдарованої м</w:t>
      </w:r>
      <w:r w:rsidR="00CC6A11">
        <w:rPr>
          <w:rFonts w:ascii="Times New Roman" w:hAnsi="Times New Roman"/>
          <w:sz w:val="28"/>
          <w:szCs w:val="28"/>
        </w:rPr>
        <w:t>олоді – інвестиції в майбутнє», «Культура і духовність – головне багатство лучан», «Луцьку – спорт високих досягнень». Діяльність благодійного фонду у рамках реалізації цих програм спрямована на виконання генеральної – «Зробимо Луцьк європейським містом».</w:t>
      </w:r>
    </w:p>
    <w:p w:rsidR="00A41E26" w:rsidRPr="009031DD" w:rsidRDefault="00A41E26" w:rsidP="00A41E26">
      <w:pPr>
        <w:jc w:val="both"/>
        <w:rPr>
          <w:rFonts w:ascii="Times New Roman" w:hAnsi="Times New Roman"/>
        </w:rPr>
      </w:pPr>
    </w:p>
    <w:p w:rsidR="00A41E26" w:rsidRDefault="00A41E26" w:rsidP="00A41E2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65CA7">
        <w:rPr>
          <w:rFonts w:ascii="Times New Roman" w:hAnsi="Times New Roman"/>
          <w:sz w:val="28"/>
          <w:szCs w:val="28"/>
        </w:rPr>
        <w:t>Благо</w:t>
      </w:r>
      <w:r>
        <w:rPr>
          <w:rFonts w:ascii="Times New Roman" w:hAnsi="Times New Roman"/>
          <w:sz w:val="28"/>
          <w:szCs w:val="28"/>
        </w:rPr>
        <w:t>дійний фонд “</w:t>
      </w:r>
      <w:proofErr w:type="spellStart"/>
      <w:r>
        <w:rPr>
          <w:rFonts w:ascii="Times New Roman" w:hAnsi="Times New Roman"/>
          <w:sz w:val="28"/>
          <w:szCs w:val="28"/>
        </w:rPr>
        <w:t>Фонд</w:t>
      </w:r>
      <w:proofErr w:type="spellEnd"/>
      <w:r>
        <w:rPr>
          <w:rFonts w:ascii="Times New Roman" w:hAnsi="Times New Roman"/>
          <w:sz w:val="28"/>
          <w:szCs w:val="28"/>
        </w:rPr>
        <w:t xml:space="preserve"> Ігоря Палиці – Новий Луцьк” відповідно до Закону “Про благодійну діяльність та благодійні організації”, реалізовуючи </w:t>
      </w:r>
      <w:r>
        <w:rPr>
          <w:rFonts w:ascii="Times New Roman" w:hAnsi="Times New Roman"/>
          <w:sz w:val="28"/>
          <w:szCs w:val="28"/>
        </w:rPr>
        <w:lastRenderedPageBreak/>
        <w:t xml:space="preserve">задекларовану народним депутатом України І.П.Палицею стратегію гуманітарної діяльності, у співпраці з державною владою, міською громадою, громадськими організаціями своєю доброчинністю, яка уже має традицію, сталу динаміку і найголовніше – </w:t>
      </w:r>
      <w:proofErr w:type="spellStart"/>
      <w:r>
        <w:rPr>
          <w:rFonts w:ascii="Times New Roman" w:hAnsi="Times New Roman"/>
          <w:sz w:val="28"/>
          <w:szCs w:val="28"/>
        </w:rPr>
        <w:t>осяжну</w:t>
      </w:r>
      <w:proofErr w:type="spellEnd"/>
      <w:r>
        <w:rPr>
          <w:rFonts w:ascii="Times New Roman" w:hAnsi="Times New Roman"/>
          <w:sz w:val="28"/>
          <w:szCs w:val="28"/>
        </w:rPr>
        <w:t xml:space="preserve"> перспективу, допомагатиме усім, хто цього потребує, покращуватиме життя лучан, виховуючи повагу до благодійних ініціатив, корисних справ, доброчинності.</w:t>
      </w:r>
    </w:p>
    <w:p w:rsidR="00A41E26" w:rsidRDefault="00A41E26" w:rsidP="00A41E26">
      <w:pPr>
        <w:jc w:val="both"/>
        <w:rPr>
          <w:rFonts w:ascii="Times New Roman" w:hAnsi="Times New Roman"/>
          <w:sz w:val="28"/>
          <w:szCs w:val="28"/>
        </w:rPr>
      </w:pPr>
    </w:p>
    <w:p w:rsidR="00A41E26" w:rsidRDefault="00A41E26" w:rsidP="00A41E26">
      <w:pPr>
        <w:jc w:val="both"/>
        <w:rPr>
          <w:rFonts w:ascii="Times New Roman" w:hAnsi="Times New Roman"/>
          <w:sz w:val="28"/>
          <w:szCs w:val="28"/>
        </w:rPr>
      </w:pPr>
    </w:p>
    <w:p w:rsidR="00A41E26" w:rsidRDefault="00A41E26" w:rsidP="00A41E26">
      <w:pPr>
        <w:jc w:val="both"/>
        <w:rPr>
          <w:rFonts w:ascii="Times New Roman" w:hAnsi="Times New Roman"/>
          <w:sz w:val="28"/>
          <w:szCs w:val="28"/>
        </w:rPr>
      </w:pPr>
    </w:p>
    <w:p w:rsidR="00A41E26" w:rsidRDefault="00A41E26" w:rsidP="00A41E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Правління</w:t>
      </w:r>
    </w:p>
    <w:p w:rsidR="00A41E26" w:rsidRDefault="00A41E26" w:rsidP="00A41E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Благодійного фонду </w:t>
      </w:r>
    </w:p>
    <w:p w:rsidR="00A41E26" w:rsidRPr="00965CA7" w:rsidRDefault="00A41E26" w:rsidP="00A41E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“Фонд </w:t>
      </w:r>
      <w:proofErr w:type="spellStart"/>
      <w:r>
        <w:rPr>
          <w:rFonts w:ascii="Times New Roman" w:hAnsi="Times New Roman"/>
          <w:sz w:val="28"/>
          <w:szCs w:val="28"/>
        </w:rPr>
        <w:t>Игоря</w:t>
      </w:r>
      <w:proofErr w:type="spellEnd"/>
      <w:r>
        <w:rPr>
          <w:rFonts w:ascii="Times New Roman" w:hAnsi="Times New Roman"/>
          <w:sz w:val="28"/>
          <w:szCs w:val="28"/>
        </w:rPr>
        <w:t xml:space="preserve"> Палиці – Новий Луцьк”                               І.М.</w:t>
      </w:r>
      <w:proofErr w:type="spellStart"/>
      <w:r>
        <w:rPr>
          <w:rFonts w:ascii="Times New Roman" w:hAnsi="Times New Roman"/>
          <w:sz w:val="28"/>
          <w:szCs w:val="28"/>
        </w:rPr>
        <w:t>Констанкевич</w:t>
      </w:r>
      <w:proofErr w:type="spellEnd"/>
    </w:p>
    <w:p w:rsidR="004E5DFB" w:rsidRPr="003C0A49" w:rsidRDefault="004E5DFB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0051A0"/>
          <w:sz w:val="32"/>
          <w:szCs w:val="32"/>
          <w:shd w:val="clear" w:color="auto" w:fill="FFFFFF"/>
        </w:rPr>
      </w:pPr>
    </w:p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0051A0"/>
          <w:sz w:val="32"/>
          <w:szCs w:val="32"/>
          <w:shd w:val="clear" w:color="auto" w:fill="FFFFFF"/>
        </w:rPr>
      </w:pPr>
    </w:p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0051A0"/>
          <w:sz w:val="32"/>
          <w:szCs w:val="32"/>
          <w:shd w:val="clear" w:color="auto" w:fill="FFFFFF"/>
        </w:rPr>
      </w:pPr>
    </w:p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00B050"/>
          <w:sz w:val="32"/>
          <w:szCs w:val="32"/>
          <w:shd w:val="clear" w:color="auto" w:fill="FFFFFF"/>
        </w:rPr>
      </w:pPr>
    </w:p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00B050"/>
          <w:sz w:val="32"/>
          <w:szCs w:val="32"/>
          <w:shd w:val="clear" w:color="auto" w:fill="FFFFFF"/>
        </w:rPr>
      </w:pPr>
    </w:p>
    <w:p w:rsidR="00CA4094" w:rsidRPr="009031DD" w:rsidRDefault="00CA4094" w:rsidP="008B0503">
      <w:pPr>
        <w:widowControl w:val="0"/>
        <w:spacing w:after="0"/>
        <w:contextualSpacing/>
        <w:jc w:val="both"/>
        <w:textAlignment w:val="baseline"/>
        <w:rPr>
          <w:rFonts w:ascii="Times New Roman" w:hAnsi="Times New Roman"/>
          <w:color w:val="242424"/>
          <w:sz w:val="24"/>
          <w:szCs w:val="24"/>
          <w:shd w:val="clear" w:color="auto" w:fill="FFFFFF"/>
        </w:rPr>
      </w:pPr>
    </w:p>
    <w:p w:rsidR="00CA4094" w:rsidRPr="009031DD" w:rsidRDefault="00CA4094" w:rsidP="008B0503">
      <w:pPr>
        <w:jc w:val="both"/>
        <w:rPr>
          <w:rFonts w:ascii="Times New Roman" w:hAnsi="Times New Roman"/>
        </w:rPr>
      </w:pPr>
    </w:p>
    <w:p w:rsidR="00CA4094" w:rsidRDefault="00CA4094" w:rsidP="008B0503">
      <w:pPr>
        <w:jc w:val="both"/>
      </w:pPr>
    </w:p>
    <w:sectPr w:rsidR="00CA4094" w:rsidSect="00A41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11" w:rsidRDefault="00E70511">
      <w:pPr>
        <w:spacing w:after="0"/>
      </w:pPr>
      <w:r>
        <w:separator/>
      </w:r>
    </w:p>
  </w:endnote>
  <w:endnote w:type="continuationSeparator" w:id="0">
    <w:p w:rsidR="00E70511" w:rsidRDefault="00E70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11" w:rsidRDefault="00E705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11" w:rsidRDefault="00E705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11" w:rsidRDefault="00E705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11" w:rsidRDefault="00E70511">
      <w:pPr>
        <w:spacing w:after="0"/>
      </w:pPr>
      <w:r>
        <w:separator/>
      </w:r>
    </w:p>
  </w:footnote>
  <w:footnote w:type="continuationSeparator" w:id="0">
    <w:p w:rsidR="00E70511" w:rsidRDefault="00E705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11" w:rsidRDefault="00E705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11" w:rsidRDefault="00E7051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11" w:rsidRDefault="00E705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163"/>
    <w:multiLevelType w:val="hybridMultilevel"/>
    <w:tmpl w:val="ECC4AD2C"/>
    <w:lvl w:ilvl="0" w:tplc="13C23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47F20"/>
    <w:multiLevelType w:val="hybridMultilevel"/>
    <w:tmpl w:val="1EB42A7E"/>
    <w:lvl w:ilvl="0" w:tplc="9A0074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64874"/>
    <w:multiLevelType w:val="hybridMultilevel"/>
    <w:tmpl w:val="127EF08A"/>
    <w:lvl w:ilvl="0" w:tplc="54C20C96">
      <w:numFmt w:val="bullet"/>
      <w:lvlText w:val="-"/>
      <w:lvlJc w:val="left"/>
      <w:pPr>
        <w:tabs>
          <w:tab w:val="num" w:pos="480"/>
        </w:tabs>
        <w:ind w:left="48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6FC06925"/>
    <w:multiLevelType w:val="hybridMultilevel"/>
    <w:tmpl w:val="1A8E32B2"/>
    <w:lvl w:ilvl="0" w:tplc="402C62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64E5409"/>
    <w:multiLevelType w:val="hybridMultilevel"/>
    <w:tmpl w:val="C9F45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89"/>
    <w:rsid w:val="000B1099"/>
    <w:rsid w:val="00177F79"/>
    <w:rsid w:val="001960E5"/>
    <w:rsid w:val="00196A0F"/>
    <w:rsid w:val="001A10C9"/>
    <w:rsid w:val="001A64E5"/>
    <w:rsid w:val="001B0A47"/>
    <w:rsid w:val="00211A3E"/>
    <w:rsid w:val="0021231A"/>
    <w:rsid w:val="00277D2B"/>
    <w:rsid w:val="0028091C"/>
    <w:rsid w:val="00296324"/>
    <w:rsid w:val="002B138E"/>
    <w:rsid w:val="002C7F08"/>
    <w:rsid w:val="002E403C"/>
    <w:rsid w:val="002E502C"/>
    <w:rsid w:val="00310774"/>
    <w:rsid w:val="003172D5"/>
    <w:rsid w:val="00334541"/>
    <w:rsid w:val="003C0A49"/>
    <w:rsid w:val="00455465"/>
    <w:rsid w:val="004979D7"/>
    <w:rsid w:val="004E411F"/>
    <w:rsid w:val="004E5DFB"/>
    <w:rsid w:val="004F667D"/>
    <w:rsid w:val="00517C7E"/>
    <w:rsid w:val="00554DBF"/>
    <w:rsid w:val="005640F3"/>
    <w:rsid w:val="005747DE"/>
    <w:rsid w:val="005C3FD5"/>
    <w:rsid w:val="005E6B7D"/>
    <w:rsid w:val="005F519F"/>
    <w:rsid w:val="00675734"/>
    <w:rsid w:val="006838F9"/>
    <w:rsid w:val="0068642A"/>
    <w:rsid w:val="00695B0B"/>
    <w:rsid w:val="00695E6F"/>
    <w:rsid w:val="006D1BE4"/>
    <w:rsid w:val="00727710"/>
    <w:rsid w:val="00765631"/>
    <w:rsid w:val="00773194"/>
    <w:rsid w:val="007735C1"/>
    <w:rsid w:val="00787ADE"/>
    <w:rsid w:val="0079438C"/>
    <w:rsid w:val="008468B8"/>
    <w:rsid w:val="00862148"/>
    <w:rsid w:val="00864101"/>
    <w:rsid w:val="008B0503"/>
    <w:rsid w:val="008D1D37"/>
    <w:rsid w:val="008E2061"/>
    <w:rsid w:val="008F1F34"/>
    <w:rsid w:val="00900589"/>
    <w:rsid w:val="00902711"/>
    <w:rsid w:val="009031DD"/>
    <w:rsid w:val="00965F41"/>
    <w:rsid w:val="009E790D"/>
    <w:rsid w:val="00A41E26"/>
    <w:rsid w:val="00A60532"/>
    <w:rsid w:val="00AD6050"/>
    <w:rsid w:val="00AF7034"/>
    <w:rsid w:val="00B21622"/>
    <w:rsid w:val="00B22030"/>
    <w:rsid w:val="00B9007C"/>
    <w:rsid w:val="00BA524F"/>
    <w:rsid w:val="00BE0613"/>
    <w:rsid w:val="00C61B8C"/>
    <w:rsid w:val="00CA4094"/>
    <w:rsid w:val="00CC6A11"/>
    <w:rsid w:val="00CF386A"/>
    <w:rsid w:val="00D10CE8"/>
    <w:rsid w:val="00D65B5B"/>
    <w:rsid w:val="00DB6AA0"/>
    <w:rsid w:val="00DD5B48"/>
    <w:rsid w:val="00DF11DC"/>
    <w:rsid w:val="00E70511"/>
    <w:rsid w:val="00E9075B"/>
    <w:rsid w:val="00EC6FE4"/>
    <w:rsid w:val="00F15ABF"/>
    <w:rsid w:val="00F27548"/>
    <w:rsid w:val="00F841BC"/>
    <w:rsid w:val="00F87348"/>
    <w:rsid w:val="00F91F5F"/>
    <w:rsid w:val="00FC300B"/>
    <w:rsid w:val="00FC717F"/>
    <w:rsid w:val="00FD3BF1"/>
    <w:rsid w:val="00FE6C36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89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00589"/>
  </w:style>
  <w:style w:type="paragraph" w:customStyle="1" w:styleId="1">
    <w:name w:val="Л_Ќ¤љ –•Џ–ђ¤1"/>
    <w:basedOn w:val="a"/>
    <w:uiPriority w:val="99"/>
    <w:rsid w:val="00900589"/>
    <w:pPr>
      <w:ind w:left="720"/>
      <w:contextualSpacing/>
    </w:pPr>
  </w:style>
  <w:style w:type="paragraph" w:styleId="a3">
    <w:name w:val="header"/>
    <w:basedOn w:val="a"/>
    <w:link w:val="a4"/>
    <w:uiPriority w:val="99"/>
    <w:rsid w:val="00900589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0589"/>
    <w:rPr>
      <w:rFonts w:ascii="Calibri" w:hAnsi="Calibri" w:cs="Times New Roman"/>
      <w:lang w:val="uk-UA" w:eastAsia="x-none"/>
    </w:rPr>
  </w:style>
  <w:style w:type="paragraph" w:styleId="a5">
    <w:name w:val="footer"/>
    <w:basedOn w:val="a"/>
    <w:link w:val="a6"/>
    <w:uiPriority w:val="99"/>
    <w:rsid w:val="00900589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0589"/>
    <w:rPr>
      <w:rFonts w:ascii="Calibri" w:hAnsi="Calibri" w:cs="Times New Roman"/>
      <w:lang w:val="uk-UA" w:eastAsia="x-none"/>
    </w:rPr>
  </w:style>
  <w:style w:type="paragraph" w:styleId="a7">
    <w:name w:val="Normal (Web)"/>
    <w:basedOn w:val="a"/>
    <w:uiPriority w:val="99"/>
    <w:rsid w:val="0090058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rsid w:val="0090058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005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00589"/>
    <w:rPr>
      <w:rFonts w:ascii="Tahoma" w:hAnsi="Tahoma" w:cs="Tahoma"/>
      <w:sz w:val="16"/>
      <w:szCs w:val="16"/>
      <w:lang w:val="uk-UA" w:eastAsia="x-none"/>
    </w:rPr>
  </w:style>
  <w:style w:type="paragraph" w:styleId="ab">
    <w:name w:val="List Paragraph"/>
    <w:basedOn w:val="a"/>
    <w:uiPriority w:val="99"/>
    <w:qFormat/>
    <w:rsid w:val="000B1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89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00589"/>
  </w:style>
  <w:style w:type="paragraph" w:customStyle="1" w:styleId="1">
    <w:name w:val="Л_Ќ¤љ –•Џ–ђ¤1"/>
    <w:basedOn w:val="a"/>
    <w:uiPriority w:val="99"/>
    <w:rsid w:val="00900589"/>
    <w:pPr>
      <w:ind w:left="720"/>
      <w:contextualSpacing/>
    </w:pPr>
  </w:style>
  <w:style w:type="paragraph" w:styleId="a3">
    <w:name w:val="header"/>
    <w:basedOn w:val="a"/>
    <w:link w:val="a4"/>
    <w:uiPriority w:val="99"/>
    <w:rsid w:val="00900589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0589"/>
    <w:rPr>
      <w:rFonts w:ascii="Calibri" w:hAnsi="Calibri" w:cs="Times New Roman"/>
      <w:lang w:val="uk-UA" w:eastAsia="x-none"/>
    </w:rPr>
  </w:style>
  <w:style w:type="paragraph" w:styleId="a5">
    <w:name w:val="footer"/>
    <w:basedOn w:val="a"/>
    <w:link w:val="a6"/>
    <w:uiPriority w:val="99"/>
    <w:rsid w:val="00900589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0589"/>
    <w:rPr>
      <w:rFonts w:ascii="Calibri" w:hAnsi="Calibri" w:cs="Times New Roman"/>
      <w:lang w:val="uk-UA" w:eastAsia="x-none"/>
    </w:rPr>
  </w:style>
  <w:style w:type="paragraph" w:styleId="a7">
    <w:name w:val="Normal (Web)"/>
    <w:basedOn w:val="a"/>
    <w:uiPriority w:val="99"/>
    <w:rsid w:val="0090058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rsid w:val="0090058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005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00589"/>
    <w:rPr>
      <w:rFonts w:ascii="Tahoma" w:hAnsi="Tahoma" w:cs="Tahoma"/>
      <w:sz w:val="16"/>
      <w:szCs w:val="16"/>
      <w:lang w:val="uk-UA" w:eastAsia="x-none"/>
    </w:rPr>
  </w:style>
  <w:style w:type="paragraph" w:styleId="ab">
    <w:name w:val="List Paragraph"/>
    <w:basedOn w:val="a"/>
    <w:uiPriority w:val="99"/>
    <w:qFormat/>
    <w:rsid w:val="000B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1;&#1091;&#1082;&#1086;&#1074;&#1077;&#1083;&#1100;%20&#1076;&#1110;&#1072;&#1075;&#1088;&#1072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5"/>
          <c:dPt>
            <c:idx val="0"/>
            <c:bubble3D val="0"/>
            <c:spPr>
              <a:effectLst>
                <a:outerShdw blurRad="40000" dist="23000" dir="5400000" rotWithShape="0">
                  <a:schemeClr val="tx2">
                    <a:lumMod val="60000"/>
                    <a:lumOff val="40000"/>
                    <a:alpha val="35000"/>
                  </a:schemeClr>
                </a:outerShdw>
              </a:effectLst>
            </c:spPr>
          </c:dPt>
          <c:cat>
            <c:strRef>
              <c:f>здоровя!$B$2:$B$13</c:f>
              <c:strCache>
                <c:ptCount val="12"/>
                <c:pt idx="0">
                  <c:v>Школярі, 51%</c:v>
                </c:pt>
                <c:pt idx="1">
                  <c:v>Студенти, 25%</c:v>
                </c:pt>
                <c:pt idx="2">
                  <c:v>Вчителі, 8%</c:v>
                </c:pt>
                <c:pt idx="3">
                  <c:v>Викладачі, 6%</c:v>
                </c:pt>
                <c:pt idx="4">
                  <c:v>Бібліотекарі, 2%</c:v>
                </c:pt>
                <c:pt idx="5">
                  <c:v>Медики, 2%</c:v>
                </c:pt>
                <c:pt idx="6">
                  <c:v>Представники ЗМІ, 1%</c:v>
                </c:pt>
                <c:pt idx="7">
                  <c:v>Працівники театрів,1%</c:v>
                </c:pt>
                <c:pt idx="8">
                  <c:v>Працівники соціальної сфери,1%</c:v>
                </c:pt>
                <c:pt idx="9">
                  <c:v>Спортсмени,1%</c:v>
                </c:pt>
                <c:pt idx="10">
                  <c:v>Працівники культури,1%</c:v>
                </c:pt>
                <c:pt idx="11">
                  <c:v>Спілка чорнобильців,1%</c:v>
                </c:pt>
              </c:strCache>
            </c:strRef>
          </c:cat>
          <c:val>
            <c:numRef>
              <c:f>здоровя!$C$2:$C$13</c:f>
              <c:numCache>
                <c:formatCode>General</c:formatCode>
                <c:ptCount val="12"/>
                <c:pt idx="0">
                  <c:v>1030</c:v>
                </c:pt>
                <c:pt idx="1">
                  <c:v>500</c:v>
                </c:pt>
                <c:pt idx="2">
                  <c:v>160</c:v>
                </c:pt>
                <c:pt idx="3">
                  <c:v>110</c:v>
                </c:pt>
                <c:pt idx="4">
                  <c:v>42</c:v>
                </c:pt>
                <c:pt idx="5">
                  <c:v>40</c:v>
                </c:pt>
                <c:pt idx="6">
                  <c:v>27</c:v>
                </c:pt>
                <c:pt idx="7">
                  <c:v>23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076531058617672"/>
          <c:y val="0.10428802708072706"/>
          <c:w val="0.31256802274715662"/>
          <c:h val="0.83790545472287492"/>
        </c:manualLayout>
      </c:layout>
      <c:overlay val="0"/>
      <c:txPr>
        <a:bodyPr/>
        <a:lstStyle/>
        <a:p>
          <a:pPr>
            <a:defRPr sz="1100" baseline="0">
              <a:solidFill>
                <a:srgbClr val="002060"/>
              </a:solidFill>
            </a:defRPr>
          </a:pPr>
          <a:endParaRPr lang="uk-U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1992</Words>
  <Characters>14289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2013-07-18T07:41:00Z</cp:lastPrinted>
  <dcterms:created xsi:type="dcterms:W3CDTF">2013-07-18T07:27:00Z</dcterms:created>
  <dcterms:modified xsi:type="dcterms:W3CDTF">2013-07-18T07:41:00Z</dcterms:modified>
</cp:coreProperties>
</file>