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2A" w:rsidRPr="00CD5A2A" w:rsidRDefault="00CD5A2A" w:rsidP="00CD5A2A">
      <w:pPr>
        <w:widowControl/>
        <w:jc w:val="right"/>
        <w:rPr>
          <w:szCs w:val="28"/>
        </w:rPr>
      </w:pPr>
      <w:r w:rsidRPr="00CD5A2A">
        <w:rPr>
          <w:szCs w:val="28"/>
        </w:rPr>
        <w:t>Додаток 1</w:t>
      </w:r>
    </w:p>
    <w:p w:rsidR="00CD5A2A" w:rsidRDefault="00CD5A2A" w:rsidP="00CD5A2A">
      <w:pPr>
        <w:widowControl/>
        <w:jc w:val="right"/>
        <w:rPr>
          <w:b/>
          <w:szCs w:val="28"/>
        </w:rPr>
      </w:pPr>
    </w:p>
    <w:p w:rsidR="00F94C6B" w:rsidRDefault="00F94C6B" w:rsidP="00F94C6B">
      <w:pPr>
        <w:widowControl/>
        <w:jc w:val="center"/>
        <w:rPr>
          <w:b/>
          <w:szCs w:val="28"/>
        </w:rPr>
      </w:pPr>
      <w:r>
        <w:rPr>
          <w:b/>
          <w:szCs w:val="28"/>
        </w:rPr>
        <w:t>Інформація</w:t>
      </w:r>
    </w:p>
    <w:p w:rsidR="00F94C6B" w:rsidRDefault="00F94C6B" w:rsidP="00F94C6B">
      <w:pPr>
        <w:widowControl/>
        <w:jc w:val="center"/>
        <w:rPr>
          <w:b/>
          <w:szCs w:val="28"/>
        </w:rPr>
      </w:pPr>
      <w:r>
        <w:rPr>
          <w:b/>
          <w:szCs w:val="28"/>
        </w:rPr>
        <w:t>щодо тематики запитів на інформацію</w:t>
      </w:r>
    </w:p>
    <w:p w:rsidR="00544724" w:rsidRDefault="00544724" w:rsidP="00F94C6B">
      <w:pPr>
        <w:widowControl/>
        <w:jc w:val="center"/>
        <w:rPr>
          <w:b/>
          <w:szCs w:val="28"/>
        </w:rPr>
      </w:pPr>
      <w:r>
        <w:rPr>
          <w:b/>
          <w:szCs w:val="28"/>
        </w:rPr>
        <w:t>(2023 рік)</w:t>
      </w:r>
    </w:p>
    <w:p w:rsidR="00F94C6B" w:rsidRDefault="00F94C6B" w:rsidP="00F94C6B">
      <w:pPr>
        <w:widowControl/>
        <w:jc w:val="center"/>
        <w:rPr>
          <w:b/>
          <w:szCs w:val="28"/>
        </w:rPr>
      </w:pPr>
    </w:p>
    <w:p w:rsidR="00F94C6B" w:rsidRDefault="00F94C6B" w:rsidP="00F94C6B">
      <w:pPr>
        <w:widowControl/>
        <w:jc w:val="center"/>
        <w:rPr>
          <w:b/>
          <w:szCs w:val="28"/>
        </w:rPr>
      </w:pPr>
      <w:r>
        <w:rPr>
          <w:b/>
          <w:noProof/>
          <w:szCs w:val="28"/>
          <w:lang w:eastAsia="uk-UA" w:bidi="ar-SA"/>
        </w:rPr>
        <w:drawing>
          <wp:inline distT="0" distB="0" distL="0" distR="0">
            <wp:extent cx="5762625" cy="51530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723C2" w:rsidRDefault="002723C2"/>
    <w:sectPr w:rsidR="002723C2" w:rsidSect="00544724">
      <w:pgSz w:w="11906" w:h="16838"/>
      <w:pgMar w:top="850" w:right="850" w:bottom="850" w:left="141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F94C6B"/>
    <w:rsid w:val="002723C2"/>
    <w:rsid w:val="00544724"/>
    <w:rsid w:val="00884C99"/>
    <w:rsid w:val="00995275"/>
    <w:rsid w:val="00BC5FD4"/>
    <w:rsid w:val="00CD5A2A"/>
    <w:rsid w:val="00F9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6B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6B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6B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>
        <c:manualLayout>
          <c:layoutTarget val="inner"/>
          <c:xMode val="edge"/>
          <c:yMode val="edge"/>
          <c:x val="0.41547645086030932"/>
          <c:y val="0.10345049752329942"/>
          <c:w val="0.42175269757946954"/>
          <c:h val="0.8348079040951677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запитів</c:v>
                </c:pt>
              </c:strCache>
            </c:strRef>
          </c:tx>
          <c:dLbls>
            <c:numFmt formatCode="General" sourceLinked="0"/>
            <c:spPr>
              <a:scene3d>
                <a:camera prst="orthographicFront"/>
                <a:lightRig rig="threePt" dir="t"/>
              </a:scene3d>
              <a:sp3d>
                <a:bevelB/>
              </a:sp3d>
            </c:spPr>
            <c:txPr>
              <a:bodyPr/>
              <a:lstStyle/>
              <a:p>
                <a:pPr>
                  <a:defRPr>
                    <a:solidFill>
                      <a:schemeClr val="tx2">
                        <a:lumMod val="50000"/>
                      </a:schemeClr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Лист1!$A$2:$A$24</c:f>
              <c:strCache>
                <c:ptCount val="23"/>
                <c:pt idx="0">
                  <c:v>Реклама</c:v>
                </c:pt>
                <c:pt idx="1">
                  <c:v>Туризм</c:v>
                </c:pt>
                <c:pt idx="2">
                  <c:v>Спорт</c:v>
                </c:pt>
                <c:pt idx="3">
                  <c:v>Будівництво</c:v>
                </c:pt>
                <c:pt idx="4">
                  <c:v>Міжнародна діяльність</c:v>
                </c:pt>
                <c:pt idx="5">
                  <c:v>Екологія</c:v>
                </c:pt>
                <c:pt idx="6">
                  <c:v>Охорона здоров'я</c:v>
                </c:pt>
                <c:pt idx="7">
                  <c:v>Архівна справа</c:v>
                </c:pt>
                <c:pt idx="8">
                  <c:v>Соціальні питання</c:v>
                </c:pt>
                <c:pt idx="9">
                  <c:v>Житлові питання</c:v>
                </c:pt>
                <c:pt idx="10">
                  <c:v>Майно комунальної власності</c:v>
                </c:pt>
                <c:pt idx="11">
                  <c:v>Культура та заходи</c:v>
                </c:pt>
                <c:pt idx="12">
                  <c:v>Діяльність комунальних підприємств</c:v>
                </c:pt>
                <c:pt idx="13">
                  <c:v>Депутатська діяльність</c:v>
                </c:pt>
                <c:pt idx="14">
                  <c:v>Освіта</c:v>
                </c:pt>
                <c:pt idx="15">
                  <c:v>Кадрові питання </c:v>
                </c:pt>
                <c:pt idx="16">
                  <c:v>Економіка і тарифи</c:v>
                </c:pt>
                <c:pt idx="17">
                  <c:v>Юридичні питання</c:v>
                </c:pt>
                <c:pt idx="18">
                  <c:v>Транспорт</c:v>
                </c:pt>
                <c:pt idx="19">
                  <c:v>Благоустрій та ЖКГ</c:v>
                </c:pt>
                <c:pt idx="20">
                  <c:v>Закупівлі </c:v>
                </c:pt>
                <c:pt idx="21">
                  <c:v>Бюджет</c:v>
                </c:pt>
                <c:pt idx="22">
                  <c:v>Містобудування та земельні питання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12</c:v>
                </c:pt>
                <c:pt idx="10">
                  <c:v>13</c:v>
                </c:pt>
                <c:pt idx="11">
                  <c:v>15</c:v>
                </c:pt>
                <c:pt idx="12">
                  <c:v>16</c:v>
                </c:pt>
                <c:pt idx="13">
                  <c:v>17</c:v>
                </c:pt>
                <c:pt idx="14">
                  <c:v>17</c:v>
                </c:pt>
                <c:pt idx="15">
                  <c:v>18</c:v>
                </c:pt>
                <c:pt idx="16">
                  <c:v>22</c:v>
                </c:pt>
                <c:pt idx="17">
                  <c:v>26</c:v>
                </c:pt>
                <c:pt idx="18">
                  <c:v>37</c:v>
                </c:pt>
                <c:pt idx="19">
                  <c:v>44</c:v>
                </c:pt>
                <c:pt idx="20">
                  <c:v>51</c:v>
                </c:pt>
                <c:pt idx="21">
                  <c:v>51</c:v>
                </c:pt>
                <c:pt idx="22">
                  <c:v>91</c:v>
                </c:pt>
              </c:numCache>
            </c:numRef>
          </c:val>
        </c:ser>
        <c:axId val="80716928"/>
        <c:axId val="80718464"/>
      </c:barChart>
      <c:catAx>
        <c:axId val="80716928"/>
        <c:scaling>
          <c:orientation val="minMax"/>
        </c:scaling>
        <c:axPos val="l"/>
        <c:tickLblPos val="nextTo"/>
        <c:txPr>
          <a:bodyPr/>
          <a:lstStyle/>
          <a:p>
            <a:pPr>
              <a:defRPr>
                <a:solidFill>
                  <a:srgbClr val="7030A0"/>
                </a:solidFill>
              </a:defRPr>
            </a:pPr>
            <a:endParaRPr lang="uk-UA"/>
          </a:p>
        </c:txPr>
        <c:crossAx val="80718464"/>
        <c:crosses val="autoZero"/>
        <c:auto val="1"/>
        <c:lblAlgn val="ctr"/>
        <c:lblOffset val="100"/>
      </c:catAx>
      <c:valAx>
        <c:axId val="80718464"/>
        <c:scaling>
          <c:orientation val="minMax"/>
        </c:scaling>
        <c:axPos val="b"/>
        <c:majorGridlines/>
        <c:numFmt formatCode="General" sourceLinked="1"/>
        <c:tickLblPos val="nextTo"/>
        <c:crossAx val="807169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demediuk</dc:creator>
  <cp:keywords/>
  <dc:description/>
  <cp:lastModifiedBy>demediuk</cp:lastModifiedBy>
  <cp:revision>3</cp:revision>
  <dcterms:created xsi:type="dcterms:W3CDTF">2024-01-16T07:35:00Z</dcterms:created>
  <dcterms:modified xsi:type="dcterms:W3CDTF">2024-01-16T08:53:00Z</dcterms:modified>
</cp:coreProperties>
</file>