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20"/>
        <w:jc w:val="center"/>
        <w:rPr/>
      </w:pPr>
      <w:r>
        <w:rPr/>
        <w:t xml:space="preserve">                                                 </w:t>
      </w:r>
      <w:r>
        <w:rPr/>
        <w:t xml:space="preserve">Додаток </w:t>
      </w:r>
    </w:p>
    <w:p>
      <w:pPr>
        <w:pStyle w:val="Normal"/>
        <w:ind w:firstLine="720"/>
        <w:jc w:val="center"/>
        <w:rPr/>
      </w:pPr>
      <w:r>
        <w:rPr/>
        <w:t xml:space="preserve">                                                                             </w:t>
      </w:r>
      <w:r>
        <w:rPr/>
        <w:t xml:space="preserve">до рішення міської ради                  </w:t>
      </w:r>
    </w:p>
    <w:p>
      <w:pPr>
        <w:pStyle w:val="Normal"/>
        <w:jc w:val="center"/>
        <w:rPr>
          <w:b/>
          <w:b/>
        </w:rPr>
      </w:pPr>
      <w:r>
        <w:rPr/>
        <w:t xml:space="preserve">                                                                                     </w:t>
      </w:r>
      <w:r>
        <w:rPr/>
        <w:t>__________ № ______</w:t>
      </w:r>
    </w:p>
    <w:p>
      <w:pPr>
        <w:pStyle w:val="Normal"/>
        <w:jc w:val="center"/>
        <w:rPr>
          <w:b/>
          <w:b/>
        </w:rPr>
      </w:pPr>
      <w:r>
        <w:rPr>
          <w:b/>
        </w:rPr>
      </w:r>
    </w:p>
    <w:p>
      <w:pPr>
        <w:pStyle w:val="Normal"/>
        <w:jc w:val="center"/>
        <w:rPr>
          <w:b/>
          <w:b/>
        </w:rPr>
      </w:pPr>
      <w:r>
        <w:rPr>
          <w:b/>
        </w:rPr>
        <w:t>ПРОГРАМА</w:t>
      </w:r>
    </w:p>
    <w:p>
      <w:pPr>
        <w:pStyle w:val="Normal"/>
        <w:jc w:val="center"/>
        <w:rPr>
          <w:b/>
          <w:b/>
        </w:rPr>
      </w:pPr>
      <w:r>
        <w:rPr>
          <w:b/>
        </w:rPr>
        <w:t xml:space="preserve">впорядкування малих архітектурних форм, тимчасових споруд,  металевих та дерев’яних конструкцій на території </w:t>
      </w:r>
    </w:p>
    <w:p>
      <w:pPr>
        <w:pStyle w:val="Normal"/>
        <w:jc w:val="center"/>
        <w:rPr>
          <w:b/>
          <w:b/>
        </w:rPr>
      </w:pPr>
      <w:r>
        <w:rPr>
          <w:b/>
        </w:rPr>
        <w:t>міста Луцька на 2019 рік</w:t>
      </w:r>
    </w:p>
    <w:p>
      <w:pPr>
        <w:pStyle w:val="Normal"/>
        <w:tabs>
          <w:tab w:val="left" w:pos="4078" w:leader="none"/>
        </w:tabs>
        <w:jc w:val="center"/>
        <w:rPr>
          <w:b/>
          <w:b/>
        </w:rPr>
      </w:pPr>
      <w:r>
        <w:rPr/>
      </w:r>
    </w:p>
    <w:p>
      <w:pPr>
        <w:pStyle w:val="Normal"/>
        <w:rPr>
          <w:b/>
          <w:b/>
        </w:rPr>
      </w:pPr>
      <w:r>
        <w:rPr>
          <w:b/>
        </w:rPr>
      </w:r>
    </w:p>
    <w:p>
      <w:pPr>
        <w:pStyle w:val="Normal"/>
        <w:jc w:val="center"/>
        <w:rPr>
          <w:b/>
          <w:b/>
        </w:rPr>
      </w:pPr>
      <w:r>
        <w:rPr>
          <w:b/>
        </w:rPr>
        <w:t>ПАСПОРТ ПРОГРАМИ</w:t>
      </w:r>
    </w:p>
    <w:p>
      <w:pPr>
        <w:pStyle w:val="Normal"/>
        <w:jc w:val="center"/>
        <w:rPr/>
      </w:pPr>
      <w:r>
        <w:rPr/>
      </w:r>
    </w:p>
    <w:p>
      <w:pPr>
        <w:pStyle w:val="Normal"/>
        <w:jc w:val="center"/>
        <w:rPr>
          <w:sz w:val="16"/>
          <w:szCs w:val="16"/>
        </w:rPr>
      </w:pPr>
      <w:r>
        <w:rPr>
          <w:sz w:val="16"/>
          <w:szCs w:val="16"/>
        </w:rPr>
      </w:r>
    </w:p>
    <w:tbl>
      <w:tblPr>
        <w:tblStyle w:val="ab"/>
        <w:tblW w:w="9464" w:type="dxa"/>
        <w:jc w:val="left"/>
        <w:tblInd w:w="0" w:type="dxa"/>
        <w:tblCellMar>
          <w:top w:w="0" w:type="dxa"/>
          <w:left w:w="108" w:type="dxa"/>
          <w:bottom w:w="0" w:type="dxa"/>
          <w:right w:w="108" w:type="dxa"/>
        </w:tblCellMar>
        <w:tblLook w:val="01e0"/>
      </w:tblPr>
      <w:tblGrid>
        <w:gridCol w:w="781"/>
        <w:gridCol w:w="4183"/>
        <w:gridCol w:w="4500"/>
      </w:tblGrid>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1.</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Ініціатор розроблення Програми</w:t>
            </w:r>
          </w:p>
        </w:tc>
        <w:tc>
          <w:tcPr>
            <w:tcW w:w="4500"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 xml:space="preserve">Департамент муніципальної варти </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2.</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Дата, номер і назва документа органу виконавчої влади про розроблення Програми</w:t>
            </w:r>
          </w:p>
        </w:tc>
        <w:tc>
          <w:tcPr>
            <w:tcW w:w="450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_</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3.</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Розробник Програми</w:t>
            </w:r>
          </w:p>
        </w:tc>
        <w:tc>
          <w:tcPr>
            <w:tcW w:w="4500"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 xml:space="preserve">Департамент муніципальної варти </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4.</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Співрозробники Програми</w:t>
            </w:r>
          </w:p>
        </w:tc>
        <w:tc>
          <w:tcPr>
            <w:tcW w:w="450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5.</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Відповідальний виконавець Програми</w:t>
            </w:r>
          </w:p>
        </w:tc>
        <w:tc>
          <w:tcPr>
            <w:tcW w:w="4500"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 xml:space="preserve">Департамент муніципальної варти </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6.</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Учасники Програми</w:t>
            </w:r>
          </w:p>
        </w:tc>
        <w:tc>
          <w:tcPr>
            <w:tcW w:w="4500" w:type="dxa"/>
            <w:tcBorders/>
            <w:shd w:fill="auto" w:val="clear"/>
          </w:tcPr>
          <w:p>
            <w:pPr>
              <w:pStyle w:val="Normal"/>
              <w:spacing w:lineRule="auto" w:line="240" w:before="0" w:after="0"/>
              <w:jc w:val="both"/>
              <w:rPr>
                <w:rFonts w:ascii="Times New Roman" w:hAnsi="Times New Roman" w:eastAsia="Times New Roman" w:cs="Times New Roman"/>
                <w:lang w:eastAsia="uk-UA"/>
              </w:rPr>
            </w:pPr>
            <w:r>
              <w:rPr>
                <w:rFonts w:eastAsia="Times New Roman" w:cs="Times New Roman"/>
                <w:lang w:eastAsia="uk-UA"/>
              </w:rPr>
              <w:t>Підприємства,</w:t>
            </w:r>
            <w:r>
              <w:rPr>
                <w:rFonts w:eastAsia="Times New Roman" w:cs="Times New Roman"/>
                <w:sz w:val="16"/>
                <w:szCs w:val="16"/>
                <w:lang w:eastAsia="uk-UA"/>
              </w:rPr>
              <w:t xml:space="preserve"> </w:t>
            </w:r>
            <w:r>
              <w:rPr>
                <w:rFonts w:eastAsia="Times New Roman" w:cs="Times New Roman"/>
                <w:lang w:eastAsia="uk-UA"/>
              </w:rPr>
              <w:t xml:space="preserve">установи, організації незалежно від форми власності, підприємці, громадськість міста, управління містобудування та архітектури, управління земельних ресурсів </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7.</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Термін реалізації Програми</w:t>
            </w:r>
          </w:p>
        </w:tc>
        <w:tc>
          <w:tcPr>
            <w:tcW w:w="4500"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2019 рік</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r>
          </w:p>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8.</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Загальний обсяг фінансових ресурсів, необхідних для реалізації Програми всього (тис. грн.).</w:t>
            </w:r>
          </w:p>
        </w:tc>
        <w:tc>
          <w:tcPr>
            <w:tcW w:w="450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2190,0</w:t>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у тому числі:</w:t>
            </w:r>
          </w:p>
        </w:tc>
        <w:tc>
          <w:tcPr>
            <w:tcW w:w="450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c>
          <w:tcPr>
            <w:tcW w:w="781"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8.1.</w:t>
            </w:r>
          </w:p>
        </w:tc>
        <w:tc>
          <w:tcPr>
            <w:tcW w:w="4183" w:type="dxa"/>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 xml:space="preserve">коштів міського бюджету </w:t>
            </w:r>
          </w:p>
        </w:tc>
        <w:tc>
          <w:tcPr>
            <w:tcW w:w="450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2190,0</w:t>
            </w:r>
          </w:p>
        </w:tc>
      </w:tr>
    </w:tbl>
    <w:p>
      <w:pPr>
        <w:pStyle w:val="Normal"/>
        <w:jc w:val="center"/>
        <w:rPr>
          <w:b/>
          <w:b/>
        </w:rPr>
      </w:pPr>
      <w:r>
        <w:rPr>
          <w:b/>
        </w:rPr>
      </w:r>
    </w:p>
    <w:p>
      <w:pPr>
        <w:pStyle w:val="Normal"/>
        <w:rPr>
          <w:color w:val="FF0000"/>
        </w:rPr>
      </w:pPr>
      <w:r>
        <w:rPr>
          <w:color w:val="FF0000"/>
        </w:rPr>
      </w:r>
    </w:p>
    <w:p>
      <w:pPr>
        <w:pStyle w:val="Normal"/>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jc w:val="both"/>
        <w:rPr>
          <w:color w:val="FF0000"/>
        </w:rPr>
      </w:pPr>
      <w:r>
        <w:rPr>
          <w:color w:val="FF0000"/>
        </w:rPr>
      </w:r>
    </w:p>
    <w:p>
      <w:pPr>
        <w:pStyle w:val="Normal"/>
        <w:tabs>
          <w:tab w:val="left" w:pos="540" w:leader="none"/>
        </w:tabs>
        <w:ind w:firstLine="540"/>
        <w:jc w:val="center"/>
        <w:rPr>
          <w:b/>
          <w:b/>
        </w:rPr>
      </w:pPr>
      <w:r>
        <w:rPr>
          <w:b/>
        </w:rPr>
        <w:t>1. Визначення проблеми на розв’язання якої спрямована Програма</w:t>
      </w:r>
    </w:p>
    <w:p>
      <w:pPr>
        <w:pStyle w:val="Default"/>
        <w:ind w:firstLine="708"/>
        <w:jc w:val="both"/>
        <w:rPr>
          <w:sz w:val="28"/>
          <w:szCs w:val="28"/>
          <w:lang w:val="uk-UA"/>
        </w:rPr>
      </w:pPr>
      <w:r>
        <w:rPr>
          <w:sz w:val="28"/>
          <w:szCs w:val="28"/>
          <w:lang w:val="uk-UA"/>
        </w:rPr>
        <w:t>Благоустрій міста Луцька – один із пріоритетних напрямів його розвитку. Протягом останніх десятиліть через відсутність належного контролю, на території міста розміщується значна кількість самовільно встановлених малих архітектурних форм, тимчасових споруд та різноманітних конструкцій (торгові кіоски, металеві гаражі, дерев’яні сараї, паркани та загорожі, обмежувачі руху автотранспорту тощо).</w:t>
      </w:r>
    </w:p>
    <w:p>
      <w:pPr>
        <w:pStyle w:val="Default"/>
        <w:ind w:firstLine="708"/>
        <w:jc w:val="both"/>
        <w:rPr>
          <w:sz w:val="28"/>
          <w:szCs w:val="28"/>
          <w:lang w:val="uk-UA"/>
        </w:rPr>
      </w:pPr>
      <w:r>
        <w:rPr>
          <w:sz w:val="28"/>
          <w:szCs w:val="28"/>
          <w:lang w:val="uk-UA"/>
        </w:rPr>
        <w:t xml:space="preserve">Зазначені об’єкти встановлені з порушенням Правил благоустрою міста Луцька, Правил розміщення та функціонування тимчасових споруд для провадження підприємницької діяльності на території міста Луцька, Земельного Кодексу України, Закону України «Про благоустрій населених пунктів».  </w:t>
      </w:r>
    </w:p>
    <w:p>
      <w:pPr>
        <w:pStyle w:val="Normal"/>
        <w:tabs>
          <w:tab w:val="left" w:pos="540" w:leader="none"/>
        </w:tabs>
        <w:ind w:firstLine="540"/>
        <w:jc w:val="both"/>
        <w:rPr/>
      </w:pPr>
      <w:r>
        <w:rPr/>
        <w:tab/>
        <w:t>Слід зазначити, що впродовж багатьох років незаконно встановлені малі архітектурні форми, тимчасові споруди,  металеві та дерев’яні конструкції захаращують місто, створюють непривабливий вигляд, закривають фасади історичних будівель, обмежують зелені зони, прибудинкові території, дитячі та спортивні майданчики тощо. Дуже часто такі споруди розміщені з грубим порушення законодавства, зокрема розміщуються на підземних комунікаціях, зелених зонах, тротуарах, проїжджих частинах міста без дозвільних документів та сплати за користування земельними ділянками.</w:t>
      </w:r>
    </w:p>
    <w:p>
      <w:pPr>
        <w:pStyle w:val="Normal"/>
        <w:tabs>
          <w:tab w:val="left" w:pos="540" w:leader="none"/>
        </w:tabs>
        <w:ind w:firstLine="540"/>
        <w:jc w:val="both"/>
        <w:rPr/>
      </w:pPr>
      <w:r>
        <w:rPr/>
        <w:tab/>
        <w:t>Поширеним явищем в місті є самовільно встановлені загорожі та паркани, які використовуються жителями міста, як правило, для загородження городів та інших земельних ділянок. Такі конструкції через свій зовнішніх вигляд (арматурні сітки, колючі дроти, будівельні матеріали, старі поломані штахети) негативно впливають на естетичний вигляд міста. Часто зустрічаються випадки, коли за допомогою парканів мешканці міста відгороджують земельні ділянки загального користування.</w:t>
      </w:r>
    </w:p>
    <w:p>
      <w:pPr>
        <w:pStyle w:val="Normal"/>
        <w:tabs>
          <w:tab w:val="left" w:pos="540" w:leader="none"/>
        </w:tabs>
        <w:ind w:firstLine="540"/>
        <w:jc w:val="both"/>
        <w:rPr/>
      </w:pPr>
      <w:r>
        <w:rPr/>
        <w:tab/>
        <w:t>Біля багатоквартирних житлових будинків в місті зустрічаються самовільно встановлені дерев’яні конструкції – сараї, більшість з яких знаходиться в занедбаному стані та негативно впливають на благоустрій міста. Такі конструкції слугують місцем для складування сміття, старих будівельних матеріалів тощо та стають місцями антисанітарії.</w:t>
      </w:r>
    </w:p>
    <w:p>
      <w:pPr>
        <w:pStyle w:val="Normal"/>
        <w:tabs>
          <w:tab w:val="left" w:pos="540" w:leader="none"/>
        </w:tabs>
        <w:ind w:firstLine="540"/>
        <w:jc w:val="both"/>
        <w:rPr/>
      </w:pPr>
      <w:r>
        <w:rPr/>
        <w:tab/>
        <w:t>Виконавчим комітетом та виконавчими органами міської ради проводиться робота щодо впорядкування на території міста тимчасових споруд для ведення підприємницької діяльності, в тому числі і у відповідність до затверджених комплексних схем. На сьогоднішній день на території міста знаходяться тимчасові споруди (кіоски, торгові павільйони тощо), які розміщені без відповідних дозвільних документів та власники яких не сплачують коштів за користування елементами благоустрою.</w:t>
      </w:r>
    </w:p>
    <w:p>
      <w:pPr>
        <w:pStyle w:val="Normal"/>
        <w:tabs>
          <w:tab w:val="left" w:pos="540" w:leader="none"/>
        </w:tabs>
        <w:ind w:firstLine="540"/>
        <w:jc w:val="both"/>
        <w:rPr/>
      </w:pPr>
      <w:r>
        <w:rPr/>
        <w:tab/>
        <w:t xml:space="preserve">Поширені випадки, коли жителі обласного центру самовільно встановлюють різні обмежувачі на проїжджих частинах (стовпці, бетонні блоки, клумби тощо), Встановлення на проїжджій частині дороги будь-який обмежувачів руху  перешкоджає доїзду бригад екстреної медичної допомоги та пожежно-рятувальній техніці до місця виклику в законом встановлений термін. </w:t>
      </w:r>
    </w:p>
    <w:p>
      <w:pPr>
        <w:pStyle w:val="Default"/>
        <w:ind w:firstLine="708"/>
        <w:jc w:val="both"/>
        <w:rPr>
          <w:sz w:val="28"/>
          <w:szCs w:val="28"/>
          <w:lang w:val="uk-UA"/>
        </w:rPr>
      </w:pPr>
      <w:r>
        <w:rPr>
          <w:sz w:val="28"/>
          <w:szCs w:val="28"/>
          <w:lang w:val="uk-UA"/>
        </w:rPr>
        <w:t xml:space="preserve">Слід зазначити, що департаментом муніципальної варти Луцької міської ради починаючи з жовтня 2015 року проводиться активна робота щодо контролю за розміщенням та демонтажу незаконно розміщених малих архітектурних форм, тимчасових споруд та конструкцій. За цей час в місті демонтовано силами департаменту муніципальної варти, а також власниками добровільно понад 1700 тимчасових споруд та конструкцій. </w:t>
      </w:r>
    </w:p>
    <w:p>
      <w:pPr>
        <w:pStyle w:val="Default"/>
        <w:ind w:firstLine="708"/>
        <w:jc w:val="both"/>
        <w:rPr>
          <w:color w:val="auto"/>
          <w:sz w:val="28"/>
          <w:szCs w:val="28"/>
          <w:lang w:val="uk-UA"/>
        </w:rPr>
      </w:pPr>
      <w:r>
        <w:rPr>
          <w:color w:val="auto"/>
          <w:sz w:val="28"/>
          <w:szCs w:val="28"/>
          <w:lang w:val="uk-UA"/>
        </w:rPr>
        <w:t>Проте, на сьогодні на території міста налічується ряд незаконно розміщених тимчасових споруд та конструкцій, зокрема значна кількість старих сараїв,  парканів і загорож, які підлягають демонтажу.</w:t>
      </w:r>
    </w:p>
    <w:p>
      <w:pPr>
        <w:pStyle w:val="Normal"/>
        <w:ind w:firstLine="708"/>
        <w:jc w:val="center"/>
        <w:rPr>
          <w:b/>
          <w:b/>
        </w:rPr>
      </w:pPr>
      <w:r>
        <w:rPr>
          <w:b/>
        </w:rPr>
      </w:r>
    </w:p>
    <w:p>
      <w:pPr>
        <w:pStyle w:val="Normal"/>
        <w:ind w:firstLine="708"/>
        <w:jc w:val="center"/>
        <w:rPr>
          <w:b/>
          <w:b/>
        </w:rPr>
      </w:pPr>
      <w:r>
        <w:rPr>
          <w:b/>
        </w:rPr>
        <w:t xml:space="preserve">2. Визначення мети </w:t>
      </w:r>
    </w:p>
    <w:p>
      <w:pPr>
        <w:pStyle w:val="Normal"/>
        <w:ind w:firstLine="708"/>
        <w:jc w:val="both"/>
        <w:rPr/>
      </w:pPr>
      <w:r>
        <w:rPr/>
        <w:t xml:space="preserve">Метою Програми є демонтаж незаконно розміщених тимчасових споруд, малих архітектурних форм, металевих і дерев’яних конструкцій у місті Луцьку для забезпечення належного утримання та експлуатації об’єктів вуличної мережі, інженерних комунікацій, належного рівня благоустрою, озеленення, естетичного вигляду та якісного формування забудови вулиць міста, поліпшення якості життя мешканців і підвищення привабливості міста. </w:t>
      </w:r>
    </w:p>
    <w:p>
      <w:pPr>
        <w:pStyle w:val="Normal"/>
        <w:ind w:firstLine="708"/>
        <w:jc w:val="both"/>
        <w:rPr/>
      </w:pPr>
      <w:r>
        <w:rPr/>
      </w:r>
    </w:p>
    <w:p>
      <w:pPr>
        <w:pStyle w:val="Normal"/>
        <w:ind w:firstLine="708"/>
        <w:jc w:val="both"/>
        <w:rPr/>
      </w:pPr>
      <w:r>
        <w:rPr/>
      </w:r>
    </w:p>
    <w:p>
      <w:pPr>
        <w:pStyle w:val="Normal"/>
        <w:ind w:left="720" w:hanging="0"/>
        <w:jc w:val="center"/>
        <w:rPr>
          <w:b/>
          <w:b/>
        </w:rPr>
      </w:pPr>
      <w:r>
        <w:rPr>
          <w:b/>
        </w:rPr>
        <w:t>3. Обґрунтування шляхів і засобів розв’язання проблеми, обсягів</w:t>
      </w:r>
    </w:p>
    <w:p>
      <w:pPr>
        <w:pStyle w:val="Normal"/>
        <w:jc w:val="center"/>
        <w:rPr>
          <w:b/>
          <w:b/>
        </w:rPr>
      </w:pPr>
      <w:r>
        <w:rPr>
          <w:b/>
        </w:rPr>
        <w:t xml:space="preserve">та джерел фінансування, терміни виконання завдань, заходів </w:t>
      </w:r>
    </w:p>
    <w:p>
      <w:pPr>
        <w:pStyle w:val="Normal"/>
        <w:ind w:firstLine="720"/>
        <w:jc w:val="both"/>
        <w:rPr/>
      </w:pPr>
      <w:r>
        <w:rPr/>
        <w:t>Реалізація у 2019 році завдань та заходів Програми за рахунок коштів бюджету міста буде сприяти виконанню делегованих повноважень департаменту муніципальної варти в сфері покращення благоустрою території міста Луцька, зокрема проведення:</w:t>
      </w:r>
    </w:p>
    <w:p>
      <w:pPr>
        <w:pStyle w:val="Normal"/>
        <w:ind w:firstLine="720"/>
        <w:jc w:val="both"/>
        <w:rPr/>
      </w:pPr>
      <w:r>
        <w:rPr/>
        <w:t>- контролю за розміщенням тимчасових споруд, металевих і дерев’яних конструкцій, гаражів, сараїв, кіосків, МАФів, парканів, шлагбаумів, обмежувачів руху на території міста;</w:t>
      </w:r>
    </w:p>
    <w:p>
      <w:pPr>
        <w:pStyle w:val="Normal"/>
        <w:ind w:firstLine="708"/>
        <w:jc w:val="both"/>
        <w:rPr/>
      </w:pPr>
      <w:r>
        <w:rPr/>
        <w:t>- демонтажу тимчасових споруд, що розміщені з порушенням Правил розміщення та функціонування тимчасових споруд для провадження підприємницької діяльності на території міста Луцька, затверджених рішенням виконавчого комітету Луцької міської ради від 02.08.2012   №528-1;</w:t>
      </w:r>
    </w:p>
    <w:p>
      <w:pPr>
        <w:pStyle w:val="Default"/>
        <w:ind w:firstLine="708"/>
        <w:jc w:val="both"/>
        <w:rPr>
          <w:sz w:val="28"/>
          <w:szCs w:val="28"/>
          <w:lang w:val="uk-UA"/>
        </w:rPr>
      </w:pPr>
      <w:r>
        <w:rPr>
          <w:sz w:val="28"/>
          <w:szCs w:val="28"/>
          <w:lang w:val="uk-UA"/>
        </w:rPr>
        <w:t>Демонтовані тимчасові споруди, малі архітектурні форми, конструкції будуть перевозитись на майданчик для тимчасового зберігання та передаватимуться відповідальній особі. Дані об’єкти видаватимуться власнику, або його представнику після оплати ним збитків, понесених під час проведення демонтажу, перевезення, розвантаження та зберігання. Якщо власник споруди протягом 90 календарних днів не звернеться до департаменту муніципальної варти, або не вживе заходів щодо її повернення, така споруда утилізовується шляхом здачі на металобрухт. Кошти від утилізації перераховуватимуться на цільовий фонд бюджету міста.</w:t>
      </w:r>
    </w:p>
    <w:p>
      <w:pPr>
        <w:pStyle w:val="Default"/>
        <w:ind w:firstLine="708"/>
        <w:jc w:val="both"/>
        <w:rPr>
          <w:sz w:val="28"/>
          <w:szCs w:val="28"/>
          <w:lang w:val="uk-UA"/>
        </w:rPr>
      </w:pPr>
      <w:r>
        <w:rPr>
          <w:sz w:val="28"/>
          <w:szCs w:val="28"/>
          <w:lang w:val="uk-UA"/>
        </w:rPr>
        <w:t>Демонтовані металеві паркани, огорожі, стовпці, запірні планки, шлагбауми, юніпаркери тощо утилізовуватимуться шляхом здачі на металобрухт протягом 15 днів з дати демонтажу, оскільки такі об’єкти зберігати тривалий час не доцільно.</w:t>
      </w:r>
    </w:p>
    <w:p>
      <w:pPr>
        <w:pStyle w:val="Default"/>
        <w:ind w:firstLine="708"/>
        <w:jc w:val="both"/>
        <w:rPr>
          <w:sz w:val="28"/>
          <w:szCs w:val="28"/>
          <w:lang w:val="uk-UA"/>
        </w:rPr>
      </w:pPr>
      <w:r>
        <w:rPr>
          <w:sz w:val="28"/>
          <w:szCs w:val="28"/>
          <w:lang w:val="uk-UA"/>
        </w:rPr>
        <w:t>З метою зменшення навантаження на міський бюджет та з відсутністю потреби зберігати дерев’яні сараї, дерев’яні паркани, такі об’єкти можуть перевозитись після демонтажу на сміттєзвалище.</w:t>
      </w:r>
    </w:p>
    <w:p>
      <w:pPr>
        <w:pStyle w:val="Normal"/>
        <w:ind w:firstLine="708"/>
        <w:jc w:val="both"/>
        <w:rPr/>
      </w:pPr>
      <w:r>
        <w:rPr/>
        <w:t xml:space="preserve">Фінансування заходів передбачених Програмою здійснюватиметься за рахунок коштів бюджету міста на 2019 рік (додаток 1 до Програми). </w:t>
      </w:r>
    </w:p>
    <w:p>
      <w:pPr>
        <w:pStyle w:val="Normal"/>
        <w:ind w:firstLine="720"/>
        <w:jc w:val="both"/>
        <w:rPr/>
      </w:pPr>
      <w:r>
        <w:rPr/>
        <w:t>Обсяг фінансування Програми може уточнюватись у процесі реалізації заходів протягом року, шляхом внесення змін до бюджету міста.</w:t>
      </w:r>
    </w:p>
    <w:p>
      <w:pPr>
        <w:pStyle w:val="Normal"/>
        <w:ind w:firstLine="720"/>
        <w:jc w:val="both"/>
        <w:rPr>
          <w:b/>
          <w:b/>
        </w:rPr>
      </w:pPr>
      <w:r>
        <w:rPr>
          <w:b/>
        </w:rPr>
      </w:r>
    </w:p>
    <w:p>
      <w:pPr>
        <w:pStyle w:val="Normal"/>
        <w:ind w:firstLine="720"/>
        <w:jc w:val="center"/>
        <w:rPr>
          <w:b/>
          <w:b/>
        </w:rPr>
      </w:pPr>
      <w:r>
        <w:rPr>
          <w:b/>
        </w:rPr>
        <w:t>4. Перелік завдань та заходів Програми, напрями використання бюджетних коштів та результативні показники</w:t>
      </w:r>
    </w:p>
    <w:p>
      <w:pPr>
        <w:pStyle w:val="Normal"/>
        <w:ind w:firstLine="720"/>
        <w:jc w:val="both"/>
        <w:rPr/>
      </w:pPr>
      <w:r>
        <w:rPr/>
        <w:t>Перелік заходів, завдань Програми та напрями використання коштів наведено у додатку 2 до Програми.</w:t>
      </w:r>
    </w:p>
    <w:p>
      <w:pPr>
        <w:pStyle w:val="Normal"/>
        <w:jc w:val="both"/>
        <w:rPr>
          <w:b/>
          <w:b/>
        </w:rPr>
      </w:pPr>
      <w:r>
        <w:rPr>
          <w:b/>
        </w:rPr>
      </w:r>
    </w:p>
    <w:p>
      <w:pPr>
        <w:pStyle w:val="Normal"/>
        <w:ind w:firstLine="708"/>
        <w:jc w:val="center"/>
        <w:rPr>
          <w:b/>
          <w:b/>
        </w:rPr>
      </w:pPr>
      <w:r>
        <w:rPr>
          <w:b/>
        </w:rPr>
        <w:t>5. Координація та контроль за ходом виконання Програми</w:t>
      </w:r>
    </w:p>
    <w:p>
      <w:pPr>
        <w:pStyle w:val="Normal"/>
        <w:ind w:firstLine="720"/>
        <w:jc w:val="both"/>
        <w:rPr/>
      </w:pPr>
      <w:r>
        <w:rPr/>
        <w:t>Контроль за використанням бюджетних коштів, передбачених для здійснення заходів, визначених Програмою, здійснюється в порядку, встановленому законодавством.</w:t>
      </w:r>
    </w:p>
    <w:p>
      <w:pPr>
        <w:pStyle w:val="Normal"/>
        <w:ind w:firstLine="709"/>
        <w:jc w:val="both"/>
        <w:rPr/>
      </w:pPr>
      <w:r>
        <w:rPr/>
        <w:t xml:space="preserve">Загальна координація та контроль за ходом виконання Програми покладені на департамент муніципальної варти та на постійну комісію </w:t>
      </w:r>
      <w:r>
        <w:rPr>
          <w:shd w:fill="FFFFFF" w:val="clear"/>
        </w:rPr>
        <w:t>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енергозбереження</w:t>
      </w:r>
      <w:r>
        <w:rPr/>
        <w:t xml:space="preserve">. </w:t>
      </w:r>
    </w:p>
    <w:p>
      <w:pPr>
        <w:pStyle w:val="Default"/>
        <w:ind w:firstLine="708"/>
        <w:jc w:val="both"/>
        <w:rPr>
          <w:sz w:val="28"/>
          <w:szCs w:val="28"/>
          <w:lang w:val="uk-UA"/>
        </w:rPr>
      </w:pPr>
      <w:r>
        <w:rPr>
          <w:sz w:val="28"/>
          <w:szCs w:val="28"/>
          <w:lang w:val="uk-UA"/>
        </w:rPr>
        <w:t>Звіт про виконання Програми заслуховується на сесії міської ради після завершення її виконання.</w:t>
      </w:r>
    </w:p>
    <w:p>
      <w:pPr>
        <w:pStyle w:val="Default"/>
        <w:jc w:val="both"/>
        <w:rPr>
          <w:sz w:val="28"/>
          <w:szCs w:val="28"/>
          <w:lang w:val="uk-UA"/>
        </w:rPr>
      </w:pPr>
      <w:r>
        <w:rPr>
          <w:sz w:val="28"/>
          <w:szCs w:val="28"/>
          <w:lang w:val="uk-UA"/>
        </w:rPr>
      </w:r>
    </w:p>
    <w:p>
      <w:pPr>
        <w:pStyle w:val="Default"/>
        <w:jc w:val="both"/>
        <w:rPr>
          <w:sz w:val="28"/>
          <w:szCs w:val="28"/>
          <w:lang w:val="uk-UA"/>
        </w:rPr>
      </w:pPr>
      <w:r>
        <w:rPr>
          <w:sz w:val="28"/>
          <w:szCs w:val="28"/>
          <w:lang w:val="uk-UA"/>
        </w:rPr>
      </w:r>
    </w:p>
    <w:p>
      <w:pPr>
        <w:pStyle w:val="Normal"/>
        <w:rPr>
          <w:sz w:val="24"/>
        </w:rPr>
      </w:pPr>
      <w:r>
        <w:rPr/>
        <w:t>Секретар міської ради                                                            Григорій Пустовіт</w:t>
      </w:r>
    </w:p>
    <w:p>
      <w:pPr>
        <w:pStyle w:val="Default"/>
        <w:ind w:firstLine="708"/>
        <w:jc w:val="both"/>
        <w:rPr>
          <w:sz w:val="28"/>
          <w:szCs w:val="28"/>
          <w:lang w:val="uk-UA"/>
        </w:rPr>
      </w:pPr>
      <w:r>
        <w:rPr>
          <w:sz w:val="28"/>
          <w:szCs w:val="28"/>
          <w:lang w:val="uk-UA"/>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left="4860" w:hanging="0"/>
        <w:rPr/>
      </w:pPr>
      <w:r>
        <w:rPr/>
        <w:t xml:space="preserve">Додаток 1 до Програми              </w:t>
      </w:r>
    </w:p>
    <w:p>
      <w:pPr>
        <w:pStyle w:val="Normal"/>
        <w:ind w:left="4860" w:hanging="0"/>
        <w:rPr/>
      </w:pPr>
      <w:r>
        <w:rPr/>
        <w:t xml:space="preserve">впорядкування малих архітектурних форм, тимчасових споруд,  металевих та дерев’яних конструкцій на території </w:t>
      </w:r>
    </w:p>
    <w:p>
      <w:pPr>
        <w:pStyle w:val="Normal"/>
        <w:ind w:left="4860" w:hanging="0"/>
        <w:rPr/>
      </w:pPr>
      <w:r>
        <w:rPr/>
        <w:t>міста Луцька на 2019 рік</w:t>
      </w:r>
    </w:p>
    <w:p>
      <w:pPr>
        <w:pStyle w:val="Normal"/>
        <w:tabs>
          <w:tab w:val="left" w:pos="6222" w:leader="none"/>
        </w:tabs>
        <w:ind w:left="-360" w:firstLine="360"/>
        <w:rPr/>
      </w:pPr>
      <w:r>
        <w:rPr/>
      </w:r>
    </w:p>
    <w:p>
      <w:pPr>
        <w:pStyle w:val="Normal"/>
        <w:ind w:left="-360" w:firstLine="360"/>
        <w:jc w:val="center"/>
        <w:rPr/>
      </w:pPr>
      <w:r>
        <w:rPr/>
      </w:r>
    </w:p>
    <w:p>
      <w:pPr>
        <w:pStyle w:val="Normal"/>
        <w:ind w:left="-360" w:firstLine="360"/>
        <w:jc w:val="center"/>
        <w:rPr/>
      </w:pPr>
      <w:r>
        <w:rPr/>
      </w:r>
    </w:p>
    <w:p>
      <w:pPr>
        <w:pStyle w:val="Normal"/>
        <w:ind w:left="-360" w:firstLine="360"/>
        <w:jc w:val="center"/>
        <w:rPr/>
      </w:pPr>
      <w:r>
        <w:rPr/>
      </w:r>
    </w:p>
    <w:p>
      <w:pPr>
        <w:pStyle w:val="Normal"/>
        <w:ind w:left="-360" w:firstLine="360"/>
        <w:jc w:val="center"/>
        <w:rPr>
          <w:b/>
          <w:b/>
        </w:rPr>
      </w:pPr>
      <w:r>
        <w:rPr>
          <w:b/>
        </w:rPr>
        <w:t>Ресурсне забезпечення</w:t>
      </w:r>
    </w:p>
    <w:p>
      <w:pPr>
        <w:pStyle w:val="Normal"/>
        <w:jc w:val="center"/>
        <w:rPr>
          <w:b/>
          <w:b/>
        </w:rPr>
      </w:pPr>
      <w:r>
        <w:rPr>
          <w:b/>
        </w:rPr>
        <w:t xml:space="preserve">Програми впорядкування малих архітектурних форм, тимчасових споруд,  металевих та дерев’яних конструкцій </w:t>
      </w:r>
    </w:p>
    <w:p>
      <w:pPr>
        <w:pStyle w:val="Normal"/>
        <w:ind w:left="-360" w:firstLine="360"/>
        <w:jc w:val="center"/>
        <w:rPr>
          <w:b/>
          <w:b/>
        </w:rPr>
      </w:pPr>
      <w:r>
        <w:rPr>
          <w:b/>
        </w:rPr>
        <w:t>на території міста Луцька на 2019 рік</w:t>
      </w:r>
    </w:p>
    <w:p>
      <w:pPr>
        <w:pStyle w:val="Normal"/>
        <w:ind w:left="-360" w:firstLine="360"/>
        <w:jc w:val="center"/>
        <w:rPr/>
      </w:pPr>
      <w:r>
        <w:rPr/>
      </w:r>
    </w:p>
    <w:p>
      <w:pPr>
        <w:pStyle w:val="Normal"/>
        <w:rPr>
          <w:sz w:val="27"/>
          <w:szCs w:val="27"/>
        </w:rPr>
      </w:pPr>
      <w:r>
        <w:rPr>
          <w:sz w:val="27"/>
          <w:szCs w:val="27"/>
        </w:rPr>
      </w:r>
    </w:p>
    <w:tbl>
      <w:tblPr>
        <w:tblW w:w="9473" w:type="dxa"/>
        <w:jc w:val="left"/>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Look w:val="0000"/>
      </w:tblPr>
      <w:tblGrid>
        <w:gridCol w:w="683"/>
        <w:gridCol w:w="4028"/>
        <w:gridCol w:w="2209"/>
        <w:gridCol w:w="2552"/>
      </w:tblGrid>
      <w:tr>
        <w:trPr>
          <w:trHeight w:val="1302" w:hRule="atLeast"/>
          <w:cantSplit w:val="true"/>
        </w:trPr>
        <w:tc>
          <w:tcPr>
            <w:tcW w:w="6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color w:val="000000"/>
              </w:rPr>
            </w:pPr>
            <w:r>
              <w:rPr>
                <w:color w:val="000000"/>
              </w:rPr>
            </w:r>
          </w:p>
          <w:p>
            <w:pPr>
              <w:pStyle w:val="Normal"/>
              <w:jc w:val="center"/>
              <w:rPr>
                <w:color w:val="000000"/>
              </w:rPr>
            </w:pPr>
            <w:r>
              <w:rPr>
                <w:color w:val="000000"/>
              </w:rPr>
              <w:t>№</w:t>
            </w:r>
          </w:p>
          <w:p>
            <w:pPr>
              <w:pStyle w:val="Normal"/>
              <w:jc w:val="center"/>
              <w:rPr>
                <w:color w:val="000000"/>
              </w:rPr>
            </w:pPr>
            <w:r>
              <w:rPr>
                <w:color w:val="000000"/>
              </w:rPr>
              <w:t>з/п</w:t>
            </w:r>
          </w:p>
          <w:p>
            <w:pPr>
              <w:pStyle w:val="Normal"/>
              <w:jc w:val="center"/>
              <w:rPr/>
            </w:pPr>
            <w:r>
              <w:rPr/>
            </w:r>
          </w:p>
        </w:tc>
        <w:tc>
          <w:tcPr>
            <w:tcW w:w="40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color w:val="000000"/>
              </w:rPr>
            </w:pPr>
            <w:r>
              <w:rPr>
                <w:color w:val="000000"/>
              </w:rPr>
              <w:t xml:space="preserve">Обсяг коштів, які планується </w:t>
            </w:r>
          </w:p>
          <w:p>
            <w:pPr>
              <w:pStyle w:val="Normal"/>
              <w:jc w:val="center"/>
              <w:rPr>
                <w:color w:val="000000"/>
              </w:rPr>
            </w:pPr>
            <w:r>
              <w:rPr>
                <w:color w:val="000000"/>
              </w:rPr>
              <w:t xml:space="preserve">залучити на виконання </w:t>
            </w:r>
          </w:p>
          <w:p>
            <w:pPr>
              <w:pStyle w:val="Normal"/>
              <w:jc w:val="center"/>
              <w:rPr>
                <w:color w:val="000000"/>
              </w:rPr>
            </w:pPr>
            <w:r>
              <w:rPr>
                <w:color w:val="000000"/>
              </w:rPr>
              <w:t>Програми,</w:t>
            </w:r>
          </w:p>
          <w:p>
            <w:pPr>
              <w:pStyle w:val="Normal"/>
              <w:jc w:val="center"/>
              <w:rPr/>
            </w:pPr>
            <w:r>
              <w:rPr>
                <w:color w:val="000000"/>
              </w:rPr>
              <w:t>тис.грн.</w:t>
            </w:r>
          </w:p>
        </w:tc>
        <w:tc>
          <w:tcPr>
            <w:tcW w:w="2209" w:type="dxa"/>
            <w:tcBorders>
              <w:top w:val="single" w:sz="4" w:space="0" w:color="000000"/>
              <w:left w:val="single" w:sz="4" w:space="0" w:color="000000"/>
            </w:tcBorders>
            <w:shd w:fill="auto" w:val="clear"/>
            <w:vAlign w:val="center"/>
          </w:tcPr>
          <w:p>
            <w:pPr>
              <w:pStyle w:val="Normal"/>
              <w:jc w:val="center"/>
              <w:rPr/>
            </w:pPr>
            <w:r>
              <w:rPr>
                <w:color w:val="000000"/>
              </w:rPr>
              <w:t>2019 рік</w:t>
            </w:r>
          </w:p>
        </w:tc>
        <w:tc>
          <w:tcPr>
            <w:tcW w:w="25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color w:val="000000"/>
              </w:rPr>
            </w:pPr>
            <w:r>
              <w:rPr>
                <w:color w:val="000000"/>
              </w:rPr>
              <w:t>Загальний обсяг фінансування  Програми,</w:t>
            </w:r>
          </w:p>
          <w:p>
            <w:pPr>
              <w:pStyle w:val="Normal"/>
              <w:jc w:val="center"/>
              <w:rPr/>
            </w:pPr>
            <w:r>
              <w:rPr>
                <w:color w:val="000000"/>
              </w:rPr>
              <w:t>тис.грн.</w:t>
            </w:r>
          </w:p>
        </w:tc>
      </w:tr>
      <w:tr>
        <w:trPr/>
        <w:tc>
          <w:tcPr>
            <w:tcW w:w="6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color w:val="000000"/>
              </w:rPr>
            </w:pPr>
            <w:r>
              <w:rPr>
                <w:color w:val="000000"/>
              </w:rPr>
              <w:t>1.</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pPr>
            <w:r>
              <w:rPr/>
            </w:r>
          </w:p>
        </w:tc>
        <w:tc>
          <w:tcPr>
            <w:tcW w:w="40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color w:val="000000"/>
              </w:rPr>
            </w:pPr>
            <w:r>
              <w:rPr>
                <w:color w:val="000000"/>
              </w:rPr>
              <w:t xml:space="preserve">Обсяг фінансових ресурсів, </w:t>
            </w:r>
          </w:p>
          <w:p>
            <w:pPr>
              <w:pStyle w:val="Normal"/>
              <w:rPr>
                <w:color w:val="000000"/>
              </w:rPr>
            </w:pPr>
            <w:r>
              <w:rPr>
                <w:color w:val="000000"/>
              </w:rPr>
              <w:t>усього,</w:t>
            </w:r>
          </w:p>
          <w:p>
            <w:pPr>
              <w:pStyle w:val="Normal"/>
              <w:rPr>
                <w:color w:val="000000"/>
              </w:rPr>
            </w:pPr>
            <w:r>
              <w:rPr>
                <w:color w:val="000000"/>
              </w:rPr>
              <w:t>у тому числі:</w:t>
            </w:r>
          </w:p>
          <w:p>
            <w:pPr>
              <w:pStyle w:val="Normal"/>
              <w:rPr/>
            </w:pPr>
            <w:r>
              <w:rPr>
                <w:color w:val="000000"/>
              </w:rPr>
              <w:t>міський бюджет</w:t>
            </w:r>
          </w:p>
          <w:p>
            <w:pPr>
              <w:pStyle w:val="Normal"/>
              <w:rPr/>
            </w:pPr>
            <w:r>
              <w:rPr/>
            </w:r>
          </w:p>
        </w:tc>
        <w:tc>
          <w:tcPr>
            <w:tcW w:w="2209"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pPr>
            <w:r>
              <w:rPr/>
            </w:r>
          </w:p>
          <w:p>
            <w:pPr>
              <w:pStyle w:val="Normal"/>
              <w:jc w:val="center"/>
              <w:rPr/>
            </w:pPr>
            <w:r>
              <w:rPr/>
              <w:t>2190,0</w:t>
            </w:r>
          </w:p>
          <w:p>
            <w:pPr>
              <w:pStyle w:val="Normal"/>
              <w:jc w:val="center"/>
              <w:rPr>
                <w:color w:val="000000"/>
              </w:rPr>
            </w:pPr>
            <w:r>
              <w:rPr>
                <w:color w:val="000000"/>
              </w:rPr>
            </w:r>
          </w:p>
          <w:p>
            <w:pPr>
              <w:pStyle w:val="Normal"/>
              <w:jc w:val="center"/>
              <w:rPr/>
            </w:pPr>
            <w:r>
              <w:rPr/>
              <w:t>2190,0</w:t>
            </w:r>
          </w:p>
          <w:p>
            <w:pPr>
              <w:pStyle w:val="Normal"/>
              <w:jc w:val="center"/>
              <w:rPr/>
            </w:pPr>
            <w:r>
              <w:rPr/>
            </w:r>
          </w:p>
          <w:p>
            <w:pPr>
              <w:pStyle w:val="Normal"/>
              <w:jc w:val="center"/>
              <w:rPr/>
            </w:pPr>
            <w:r>
              <w:rPr/>
            </w:r>
          </w:p>
        </w:tc>
        <w:tc>
          <w:tcPr>
            <w:tcW w:w="25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pPr>
            <w:r>
              <w:rPr/>
              <w:t>2190,0</w:t>
            </w:r>
          </w:p>
        </w:tc>
      </w:tr>
    </w:tbl>
    <w:p>
      <w:pPr>
        <w:pStyle w:val="Normal"/>
        <w:jc w:val="both"/>
        <w:rPr/>
      </w:pPr>
      <w:r>
        <w:rPr/>
      </w:r>
    </w:p>
    <w:p>
      <w:pPr>
        <w:pStyle w:val="Normal"/>
        <w:jc w:val="both"/>
        <w:rPr/>
      </w:pPr>
      <w:r>
        <w:rPr/>
      </w:r>
    </w:p>
    <w:p>
      <w:pPr>
        <w:pStyle w:val="Default"/>
        <w:ind w:firstLine="708"/>
        <w:jc w:val="both"/>
        <w:rPr>
          <w:sz w:val="28"/>
          <w:szCs w:val="28"/>
          <w:lang w:val="uk-UA"/>
        </w:rPr>
      </w:pPr>
      <w:r>
        <w:rPr>
          <w:sz w:val="28"/>
          <w:szCs w:val="28"/>
          <w:lang w:val="uk-UA"/>
        </w:rPr>
      </w:r>
    </w:p>
    <w:p>
      <w:pPr>
        <w:pStyle w:val="Default"/>
        <w:ind w:left="-284" w:hanging="0"/>
        <w:jc w:val="both"/>
        <w:rPr>
          <w:lang w:val="uk-UA"/>
        </w:rPr>
      </w:pPr>
      <w:r>
        <w:rPr>
          <w:lang w:val="uk-UA"/>
        </w:rPr>
        <w:t>Сиротинська 722861</w:t>
      </w:r>
    </w:p>
    <w:p>
      <w:pPr>
        <w:pStyle w:val="Default"/>
        <w:ind w:firstLine="708"/>
        <w:jc w:val="both"/>
        <w:rPr>
          <w:sz w:val="28"/>
          <w:szCs w:val="28"/>
          <w:lang w:val="uk-UA"/>
        </w:rPr>
      </w:pPr>
      <w:r>
        <w:rPr>
          <w:sz w:val="28"/>
          <w:szCs w:val="28"/>
          <w:lang w:val="uk-UA"/>
        </w:rPr>
      </w:r>
    </w:p>
    <w:p>
      <w:pPr>
        <w:pStyle w:val="Default"/>
        <w:ind w:firstLine="708"/>
        <w:jc w:val="both"/>
        <w:rPr>
          <w:sz w:val="28"/>
          <w:szCs w:val="28"/>
          <w:lang w:val="uk-UA"/>
        </w:rPr>
      </w:pPr>
      <w:r>
        <w:rPr>
          <w:sz w:val="28"/>
          <w:szCs w:val="28"/>
          <w:lang w:val="uk-UA"/>
        </w:rPr>
      </w:r>
    </w:p>
    <w:p>
      <w:pPr>
        <w:pStyle w:val="Default"/>
        <w:ind w:firstLine="708"/>
        <w:jc w:val="both"/>
        <w:rPr>
          <w:sz w:val="28"/>
          <w:szCs w:val="28"/>
          <w:lang w:val="uk-UA"/>
        </w:rPr>
      </w:pPr>
      <w:r>
        <w:rPr>
          <w:sz w:val="28"/>
          <w:szCs w:val="28"/>
          <w:lang w:val="uk-UA"/>
        </w:rPr>
      </w:r>
    </w:p>
    <w:p>
      <w:pPr>
        <w:pStyle w:val="Default"/>
        <w:ind w:firstLine="708"/>
        <w:jc w:val="both"/>
        <w:rPr>
          <w:sz w:val="28"/>
          <w:szCs w:val="28"/>
          <w:lang w:val="uk-UA"/>
        </w:rPr>
      </w:pPr>
      <w:r>
        <w:rPr>
          <w:sz w:val="28"/>
          <w:szCs w:val="28"/>
          <w:lang w:val="uk-UA"/>
        </w:rPr>
      </w:r>
    </w:p>
    <w:p>
      <w:pPr>
        <w:pStyle w:val="Default"/>
        <w:ind w:firstLine="708"/>
        <w:jc w:val="both"/>
        <w:rPr>
          <w:sz w:val="28"/>
          <w:szCs w:val="28"/>
          <w:lang w:val="uk-UA"/>
        </w:rPr>
      </w:pPr>
      <w:r>
        <w:rPr>
          <w:sz w:val="28"/>
          <w:szCs w:val="28"/>
          <w:lang w:val="uk-UA"/>
        </w:rPr>
      </w:r>
    </w:p>
    <w:p>
      <w:pPr>
        <w:pStyle w:val="Default"/>
        <w:ind w:firstLine="708"/>
        <w:jc w:val="both"/>
        <w:rPr>
          <w:sz w:val="28"/>
          <w:szCs w:val="28"/>
          <w:lang w:val="uk-UA"/>
        </w:rPr>
      </w:pPr>
      <w:r>
        <w:rPr>
          <w:sz w:val="28"/>
          <w:szCs w:val="28"/>
          <w:lang w:val="uk-UA"/>
        </w:rPr>
      </w:r>
    </w:p>
    <w:p>
      <w:pPr>
        <w:sectPr>
          <w:headerReference w:type="default" r:id="rId2"/>
          <w:type w:val="nextPage"/>
          <w:pgSz w:w="11906" w:h="16838"/>
          <w:pgMar w:left="1985" w:right="851" w:header="709" w:top="766" w:footer="0" w:bottom="851" w:gutter="0"/>
          <w:pgNumType w:start="2" w:fmt="decimal"/>
          <w:formProt w:val="false"/>
          <w:textDirection w:val="lrTb"/>
          <w:docGrid w:type="default" w:linePitch="360" w:charSpace="0"/>
        </w:sectPr>
        <w:pStyle w:val="Default"/>
        <w:ind w:firstLine="708"/>
        <w:jc w:val="both"/>
        <w:rPr>
          <w:sz w:val="28"/>
          <w:szCs w:val="28"/>
          <w:lang w:val="uk-UA"/>
        </w:rPr>
      </w:pPr>
      <w:r>
        <w:rPr>
          <w:sz w:val="28"/>
          <w:szCs w:val="28"/>
          <w:lang w:val="uk-UA"/>
        </w:rPr>
      </w:r>
    </w:p>
    <w:p>
      <w:pPr>
        <w:pStyle w:val="Normal"/>
        <w:tabs>
          <w:tab w:val="left" w:pos="10206" w:leader="none"/>
        </w:tabs>
        <w:ind w:left="4860" w:hanging="0"/>
        <w:jc w:val="center"/>
        <w:rPr/>
      </w:pPr>
      <w:r>
        <w:rPr/>
        <w:t xml:space="preserve">                                              </w:t>
      </w:r>
      <w:r>
        <w:rPr/>
        <w:t>Додаток 2 до Програми</w:t>
      </w:r>
    </w:p>
    <w:p>
      <w:pPr>
        <w:pStyle w:val="Normal"/>
        <w:tabs>
          <w:tab w:val="left" w:pos="11340" w:leader="none"/>
          <w:tab w:val="left" w:pos="11624" w:leader="none"/>
        </w:tabs>
        <w:ind w:left="10206" w:hanging="0"/>
        <w:rPr/>
      </w:pPr>
      <w:r>
        <w:rPr/>
        <w:t xml:space="preserve">впорядкування малих архітектурних форм, тимчасових споруд,  металевих та дерев’яних конструкцій на території </w:t>
      </w:r>
    </w:p>
    <w:p>
      <w:pPr>
        <w:pStyle w:val="Normal"/>
        <w:tabs>
          <w:tab w:val="left" w:pos="11340" w:leader="none"/>
          <w:tab w:val="left" w:pos="11624" w:leader="none"/>
        </w:tabs>
        <w:ind w:left="10206" w:hanging="0"/>
        <w:rPr/>
      </w:pPr>
      <w:r>
        <w:rPr/>
        <w:t>міста Луцька на 2019 рік</w:t>
      </w:r>
    </w:p>
    <w:p>
      <w:pPr>
        <w:pStyle w:val="Normal"/>
        <w:ind w:left="4860" w:hanging="0"/>
        <w:jc w:val="right"/>
        <w:rPr/>
      </w:pPr>
      <w:r>
        <w:rPr/>
        <w:t xml:space="preserve">                  </w:t>
      </w:r>
      <w:r>
        <w:rPr>
          <w:sz w:val="16"/>
          <w:szCs w:val="16"/>
        </w:rPr>
        <w:t xml:space="preserve">                       </w:t>
      </w:r>
      <w:r>
        <w:rPr>
          <w:sz w:val="10"/>
          <w:szCs w:val="10"/>
        </w:rPr>
        <w:t xml:space="preserve">                     </w:t>
      </w:r>
    </w:p>
    <w:p>
      <w:pPr>
        <w:pStyle w:val="Normal"/>
        <w:rPr>
          <w:sz w:val="10"/>
          <w:szCs w:val="10"/>
        </w:rPr>
      </w:pPr>
      <w:r>
        <w:rPr>
          <w:sz w:val="10"/>
          <w:szCs w:val="10"/>
        </w:rPr>
      </w:r>
    </w:p>
    <w:p>
      <w:pPr>
        <w:pStyle w:val="Normal"/>
        <w:jc w:val="center"/>
        <w:rPr/>
      </w:pPr>
      <w:r>
        <w:rPr/>
        <w:t>Напрямки діяльності, завдання та заходи Програми впорядкування малих архітектурних форм, тимчасових споруд,  металевих та дерев’яних конструкцій на території міста Луцька на 2019 рік</w:t>
      </w:r>
    </w:p>
    <w:p>
      <w:pPr>
        <w:pStyle w:val="Normal"/>
        <w:rPr/>
      </w:pPr>
      <w:r>
        <w:rPr/>
      </w:r>
    </w:p>
    <w:tbl>
      <w:tblPr>
        <w:tblStyle w:val="ab"/>
        <w:tblW w:w="15300" w:type="dxa"/>
        <w:jc w:val="left"/>
        <w:tblInd w:w="250" w:type="dxa"/>
        <w:tblCellMar>
          <w:top w:w="0" w:type="dxa"/>
          <w:left w:w="108" w:type="dxa"/>
          <w:bottom w:w="0" w:type="dxa"/>
          <w:right w:w="108" w:type="dxa"/>
        </w:tblCellMar>
        <w:tblLook w:val="01e0"/>
      </w:tblPr>
      <w:tblGrid>
        <w:gridCol w:w="540"/>
        <w:gridCol w:w="3003"/>
        <w:gridCol w:w="3118"/>
        <w:gridCol w:w="1844"/>
        <w:gridCol w:w="2125"/>
        <w:gridCol w:w="1548"/>
        <w:gridCol w:w="1428"/>
        <w:gridCol w:w="1692"/>
      </w:tblGrid>
      <w:tr>
        <w:trPr>
          <w:trHeight w:val="1710" w:hRule="atLeast"/>
          <w:cantSplit w:val="true"/>
        </w:trPr>
        <w:tc>
          <w:tcPr>
            <w:tcW w:w="540"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з/п</w:t>
            </w:r>
          </w:p>
        </w:tc>
        <w:tc>
          <w:tcPr>
            <w:tcW w:w="3003"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Напрямки</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діяльності,</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пріоритетні завдання</w:t>
            </w:r>
          </w:p>
        </w:tc>
        <w:tc>
          <w:tcPr>
            <w:tcW w:w="3118"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Перелік</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заходів</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Програми</w:t>
            </w:r>
          </w:p>
        </w:tc>
        <w:tc>
          <w:tcPr>
            <w:tcW w:w="1844"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Терміни</w:t>
            </w:r>
          </w:p>
          <w:p>
            <w:pPr>
              <w:pStyle w:val="Normal"/>
              <w:spacing w:lineRule="auto" w:line="240" w:before="0" w:after="0"/>
              <w:ind w:left="72" w:hanging="72"/>
              <w:jc w:val="center"/>
              <w:rPr>
                <w:rFonts w:ascii="Times New Roman" w:hAnsi="Times New Roman" w:eastAsia="Times New Roman" w:cs="Times New Roman"/>
                <w:szCs w:val="20"/>
                <w:lang w:eastAsia="uk-UA"/>
              </w:rPr>
            </w:pPr>
            <w:r>
              <w:rPr>
                <w:rFonts w:eastAsia="Times New Roman" w:cs="Times New Roman"/>
                <w:szCs w:val="20"/>
                <w:lang w:eastAsia="uk-UA"/>
              </w:rPr>
              <w:t>виконання</w:t>
            </w:r>
          </w:p>
          <w:p>
            <w:pPr>
              <w:pStyle w:val="Normal"/>
              <w:spacing w:lineRule="auto" w:line="240" w:before="0" w:after="0"/>
              <w:ind w:left="72" w:hanging="72"/>
              <w:jc w:val="center"/>
              <w:rPr>
                <w:rFonts w:ascii="Times New Roman" w:hAnsi="Times New Roman" w:eastAsia="Times New Roman" w:cs="Times New Roman"/>
                <w:szCs w:val="20"/>
                <w:lang w:eastAsia="uk-UA"/>
              </w:rPr>
            </w:pPr>
            <w:r>
              <w:rPr>
                <w:rFonts w:eastAsia="Times New Roman" w:cs="Times New Roman"/>
                <w:szCs w:val="20"/>
                <w:lang w:eastAsia="uk-UA"/>
              </w:rPr>
              <w:t>заходу</w:t>
            </w:r>
          </w:p>
        </w:tc>
        <w:tc>
          <w:tcPr>
            <w:tcW w:w="2125"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Виконавці</w:t>
            </w:r>
          </w:p>
        </w:tc>
        <w:tc>
          <w:tcPr>
            <w:tcW w:w="1548"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Джерело</w:t>
            </w:r>
          </w:p>
          <w:p>
            <w:pPr>
              <w:pStyle w:val="Normal"/>
              <w:spacing w:lineRule="auto" w:line="240" w:before="0" w:after="0"/>
              <w:ind w:right="-119" w:hanging="0"/>
              <w:jc w:val="center"/>
              <w:rPr>
                <w:rFonts w:ascii="Times New Roman" w:hAnsi="Times New Roman" w:eastAsia="Times New Roman" w:cs="Times New Roman"/>
                <w:szCs w:val="20"/>
                <w:lang w:eastAsia="uk-UA"/>
              </w:rPr>
            </w:pPr>
            <w:r>
              <w:rPr>
                <w:rFonts w:eastAsia="Times New Roman" w:cs="Times New Roman"/>
                <w:szCs w:val="20"/>
                <w:lang w:eastAsia="uk-UA"/>
              </w:rPr>
              <w:t>фінансуван-ня</w:t>
            </w:r>
          </w:p>
        </w:tc>
        <w:tc>
          <w:tcPr>
            <w:tcW w:w="1428"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Орієнтов-ні обсяги</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фінансу-вання,</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тис. грн</w:t>
            </w:r>
          </w:p>
        </w:tc>
        <w:tc>
          <w:tcPr>
            <w:tcW w:w="1692" w:type="dxa"/>
            <w:tcBorders/>
            <w:shd w:fill="auto" w:val="clear"/>
            <w:vAlign w:val="cente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Очікувані результати</w:t>
            </w:r>
          </w:p>
        </w:tc>
      </w:tr>
      <w:tr>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w:t>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w:t>
            </w:r>
          </w:p>
        </w:tc>
        <w:tc>
          <w:tcPr>
            <w:tcW w:w="311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3</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4</w:t>
            </w:r>
          </w:p>
        </w:tc>
        <w:tc>
          <w:tcPr>
            <w:tcW w:w="2125"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5</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6</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7</w:t>
            </w:r>
          </w:p>
        </w:tc>
        <w:tc>
          <w:tcPr>
            <w:tcW w:w="1692"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8</w:t>
            </w:r>
          </w:p>
        </w:tc>
      </w:tr>
      <w:tr>
        <w:trPr>
          <w:trHeight w:val="64" w:hRule="atLeast"/>
        </w:trPr>
        <w:tc>
          <w:tcPr>
            <w:tcW w:w="540" w:type="dxa"/>
            <w:vMerge w:val="restart"/>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w:t>
            </w:r>
          </w:p>
        </w:tc>
        <w:tc>
          <w:tcPr>
            <w:tcW w:w="3003" w:type="dxa"/>
            <w:vMerge w:val="restart"/>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Виявлення малих архітектурних форм, тимчасових споруд та конструкцій які розміщені без відповідної дозвільної документації</w:t>
            </w:r>
          </w:p>
        </w:tc>
        <w:tc>
          <w:tcPr>
            <w:tcW w:w="3118" w:type="dxa"/>
            <w:tcBorders/>
            <w:shd w:fill="auto" w:val="clear"/>
          </w:tcPr>
          <w:p>
            <w:pPr>
              <w:pStyle w:val="Normal"/>
              <w:suppressAutoHyphens w:val="true"/>
              <w:spacing w:lineRule="auto" w:line="240" w:before="0" w:after="0"/>
              <w:jc w:val="both"/>
              <w:rPr>
                <w:rFonts w:eastAsia="SimSun"/>
                <w:kern w:val="2"/>
                <w:lang w:eastAsia="ar-SA"/>
              </w:rPr>
            </w:pPr>
            <w:r>
              <w:rPr>
                <w:rFonts w:eastAsia="SimSun" w:cs="Times New Roman"/>
                <w:kern w:val="2"/>
                <w:szCs w:val="20"/>
                <w:lang w:eastAsia="ar-SA"/>
              </w:rPr>
              <w:t>Визначення тимчасових споруд, які встановлені без паспорта прив’язки та</w:t>
            </w:r>
            <w:r>
              <w:rPr>
                <w:rFonts w:cs="Times New Roman"/>
                <w:szCs w:val="20"/>
              </w:rPr>
              <w:t xml:space="preserve"> договорів оренди землі</w:t>
            </w:r>
            <w:r>
              <w:rPr>
                <w:rFonts w:eastAsia="SimSun" w:cs="Times New Roman"/>
                <w:kern w:val="2"/>
                <w:szCs w:val="20"/>
                <w:lang w:eastAsia="ar-SA"/>
              </w:rPr>
              <w:t xml:space="preserve"> </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року</w:t>
            </w:r>
          </w:p>
        </w:tc>
        <w:tc>
          <w:tcPr>
            <w:tcW w:w="2125" w:type="dxa"/>
            <w:tcBorders/>
            <w:shd w:fill="auto" w:val="clear"/>
          </w:tcPr>
          <w:p>
            <w:pPr>
              <w:pStyle w:val="Normal"/>
              <w:spacing w:lineRule="auto" w:line="240" w:before="0" w:after="0"/>
              <w:ind w:left="-108" w:right="-108" w:hanging="0"/>
              <w:jc w:val="center"/>
              <w:rPr>
                <w:rFonts w:ascii="Times New Roman" w:hAnsi="Times New Roman" w:cs="Times New Roman"/>
                <w:szCs w:val="20"/>
              </w:rPr>
            </w:pPr>
            <w:r>
              <w:rPr>
                <w:rFonts w:eastAsia="SimSun" w:cs="Times New Roman"/>
                <w:kern w:val="2"/>
                <w:szCs w:val="20"/>
                <w:lang w:eastAsia="ar-SA"/>
              </w:rPr>
              <w:t>Управління містобудування та архітектури,  управління земельних ресурсів, департамент муніципальної варти</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Не потребує фінансу-вання</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c>
          <w:tcPr>
            <w:tcW w:w="1692" w:type="dxa"/>
            <w:vMerge w:val="restart"/>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Моніторинг розміщення тимчасових споруд та металевих і дерев’яних конструкцій</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p>
            <w:pPr>
              <w:pStyle w:val="Normal"/>
              <w:spacing w:lineRule="auto" w:line="240" w:before="0" w:after="0"/>
              <w:rPr>
                <w:rFonts w:ascii="Times New Roman" w:hAnsi="Times New Roman" w:eastAsia="Times New Roman" w:cs="Times New Roman"/>
                <w:szCs w:val="20"/>
                <w:lang w:eastAsia="uk-UA"/>
              </w:rPr>
            </w:pPr>
            <w:r>
              <w:rPr>
                <w:rFonts w:eastAsia="Times New Roman" w:cs="Times New Roman"/>
                <w:szCs w:val="20"/>
                <w:lang w:eastAsia="uk-UA"/>
              </w:rPr>
            </w:r>
          </w:p>
          <w:p>
            <w:pPr>
              <w:pStyle w:val="Normal"/>
              <w:spacing w:lineRule="auto" w:line="240" w:before="0" w:after="0"/>
              <w:rPr>
                <w:rFonts w:ascii="Times New Roman" w:hAnsi="Times New Roman" w:eastAsia="Times New Roman" w:cs="Times New Roman"/>
                <w:szCs w:val="20"/>
                <w:lang w:eastAsia="uk-UA"/>
              </w:rPr>
            </w:pPr>
            <w:r>
              <w:rPr>
                <w:rFonts w:eastAsia="Times New Roman" w:cs="Times New Roman"/>
                <w:szCs w:val="20"/>
                <w:lang w:eastAsia="uk-UA"/>
              </w:rPr>
            </w:r>
          </w:p>
        </w:tc>
      </w:tr>
      <w:tr>
        <w:trPr/>
        <w:tc>
          <w:tcPr>
            <w:tcW w:w="540"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vMerge w:val="continue"/>
            <w:tcBorders/>
            <w:shd w:fill="auto" w:val="clear"/>
          </w:tcPr>
          <w:p>
            <w:pPr>
              <w:pStyle w:val="Normal"/>
              <w:spacing w:lineRule="auto" w:line="240" w:before="0" w:after="0"/>
              <w:ind w:left="-108" w:hanging="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both"/>
              <w:rPr>
                <w:rFonts w:eastAsia="SimSun"/>
                <w:kern w:val="2"/>
                <w:lang w:eastAsia="ar-SA"/>
              </w:rPr>
            </w:pPr>
            <w:r>
              <w:rPr>
                <w:rFonts w:eastAsia="SimSun" w:cs="Times New Roman"/>
                <w:kern w:val="2"/>
                <w:szCs w:val="20"/>
                <w:lang w:eastAsia="ar-SA"/>
              </w:rPr>
              <w:t xml:space="preserve">Оперативне реагування на встановлені факти шляхом складання </w:t>
            </w:r>
          </w:p>
          <w:p>
            <w:pPr>
              <w:pStyle w:val="Normal"/>
              <w:spacing w:lineRule="auto" w:line="240" w:before="0" w:after="0"/>
              <w:jc w:val="both"/>
              <w:rPr>
                <w:rFonts w:ascii="Times New Roman" w:hAnsi="Times New Roman" w:cs="Times New Roman"/>
                <w:szCs w:val="20"/>
              </w:rPr>
            </w:pPr>
            <w:r>
              <w:rPr>
                <w:rFonts w:cs="Times New Roman"/>
                <w:szCs w:val="20"/>
              </w:rPr>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lang w:val="en-US"/>
              </w:rPr>
            </w:pPr>
            <w:r>
              <w:rPr>
                <w:rFonts w:eastAsia="Times New Roman" w:cs="Times New Roman"/>
                <w:szCs w:val="20"/>
                <w:lang w:eastAsia="uk-UA"/>
              </w:rPr>
              <w:t>року</w:t>
            </w:r>
          </w:p>
        </w:tc>
        <w:tc>
          <w:tcPr>
            <w:tcW w:w="2125" w:type="dxa"/>
            <w:tcBorders/>
            <w:shd w:fill="auto" w:val="clear"/>
          </w:tcPr>
          <w:p>
            <w:pPr>
              <w:pStyle w:val="Normal"/>
              <w:spacing w:lineRule="auto" w:line="240" w:before="0" w:after="0"/>
              <w:jc w:val="center"/>
              <w:rPr>
                <w:rFonts w:ascii="Times New Roman" w:hAnsi="Times New Roman" w:cs="Times New Roman"/>
                <w:szCs w:val="20"/>
              </w:rPr>
            </w:pPr>
            <w:r>
              <w:rPr>
                <w:rFonts w:eastAsia="SimSun" w:cs="Times New Roman"/>
                <w:kern w:val="2"/>
                <w:szCs w:val="20"/>
                <w:lang w:eastAsia="ar-SA"/>
              </w:rPr>
              <w:t>Департамент муніципальної варти</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Не потребує фінансу-</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вання</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c>
          <w:tcPr>
            <w:tcW w:w="1692" w:type="dxa"/>
            <w:vMerge w:val="continue"/>
            <w:tcBorders/>
            <w:shd w:fill="auto" w:val="clear"/>
            <w:vAlign w:val="center"/>
          </w:tcPr>
          <w:p>
            <w:pPr>
              <w:pStyle w:val="Normal"/>
              <w:spacing w:lineRule="auto" w:line="240" w:before="0" w:after="0"/>
              <w:rPr>
                <w:rFonts w:ascii="Times New Roman" w:hAnsi="Times New Roman" w:eastAsia="Times New Roman" w:cs="Times New Roman"/>
                <w:szCs w:val="20"/>
                <w:lang w:eastAsia="uk-UA"/>
              </w:rPr>
            </w:pPr>
            <w:r>
              <w:rPr>
                <w:rFonts w:eastAsia="Times New Roman" w:cs="Times New Roman"/>
                <w:szCs w:val="20"/>
                <w:lang w:eastAsia="uk-UA"/>
              </w:rPr>
            </w:r>
          </w:p>
        </w:tc>
      </w:tr>
      <w:tr>
        <w:trPr>
          <w:trHeight w:val="163" w:hRule="atLeast"/>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w:t>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w:t>
            </w:r>
          </w:p>
        </w:tc>
        <w:tc>
          <w:tcPr>
            <w:tcW w:w="311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3</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4</w:t>
            </w:r>
          </w:p>
        </w:tc>
        <w:tc>
          <w:tcPr>
            <w:tcW w:w="2125"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5</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6</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7</w:t>
            </w:r>
          </w:p>
        </w:tc>
        <w:tc>
          <w:tcPr>
            <w:tcW w:w="1692"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8</w:t>
            </w:r>
          </w:p>
        </w:tc>
      </w:tr>
      <w:tr>
        <w:trPr>
          <w:trHeight w:val="802" w:hRule="atLeast"/>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center"/>
              <w:rPr>
                <w:rFonts w:eastAsia="SimSun"/>
                <w:kern w:val="2"/>
                <w:lang w:eastAsia="ar-SA"/>
              </w:rPr>
            </w:pPr>
            <w:r>
              <w:rPr>
                <w:rFonts w:eastAsia="SimSun" w:cs="Times New Roman"/>
                <w:kern w:val="2"/>
                <w:szCs w:val="20"/>
                <w:lang w:eastAsia="ar-SA"/>
              </w:rPr>
              <w:t>протоколів про</w:t>
            </w:r>
          </w:p>
          <w:p>
            <w:pPr>
              <w:pStyle w:val="Normal"/>
              <w:spacing w:lineRule="auto" w:line="240" w:before="0" w:after="0"/>
              <w:jc w:val="center"/>
              <w:rPr>
                <w:rFonts w:eastAsia="SimSun"/>
                <w:kern w:val="2"/>
                <w:lang w:eastAsia="ar-SA"/>
              </w:rPr>
            </w:pPr>
            <w:r>
              <w:rPr>
                <w:rFonts w:eastAsia="SimSun" w:cs="Times New Roman"/>
                <w:kern w:val="2"/>
                <w:szCs w:val="20"/>
                <w:lang w:eastAsia="ar-SA"/>
              </w:rPr>
              <w:t>адміністративне правопорушення</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2125"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1692"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rHeight w:val="2898" w:hRule="atLeast"/>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both"/>
              <w:rPr>
                <w:rFonts w:ascii="Times New Roman" w:hAnsi="Times New Roman" w:cs="Times New Roman"/>
                <w:szCs w:val="20"/>
              </w:rPr>
            </w:pPr>
            <w:r>
              <w:rPr>
                <w:rFonts w:eastAsia="SimSun" w:cs="Times New Roman"/>
                <w:kern w:val="2"/>
                <w:szCs w:val="20"/>
                <w:lang w:eastAsia="ar-SA"/>
              </w:rPr>
              <w:t>Обробка інформації та підготовка проектів рішень виконавчого комітету щодо демонтажу</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року</w:t>
            </w:r>
          </w:p>
        </w:tc>
        <w:tc>
          <w:tcPr>
            <w:tcW w:w="2125" w:type="dxa"/>
            <w:tcBorders/>
            <w:shd w:fill="auto" w:val="clear"/>
          </w:tcPr>
          <w:p>
            <w:pPr>
              <w:pStyle w:val="Normal"/>
              <w:spacing w:lineRule="auto" w:line="240" w:before="0" w:after="0"/>
              <w:ind w:left="-108" w:right="-108" w:hanging="0"/>
              <w:jc w:val="center"/>
              <w:rPr>
                <w:rFonts w:ascii="Times New Roman" w:hAnsi="Times New Roman" w:cs="Times New Roman"/>
                <w:szCs w:val="20"/>
              </w:rPr>
            </w:pPr>
            <w:r>
              <w:rPr>
                <w:rFonts w:eastAsia="SimSun" w:cs="Times New Roman"/>
                <w:kern w:val="2"/>
                <w:szCs w:val="20"/>
                <w:lang w:eastAsia="ar-SA"/>
              </w:rPr>
              <w:t>Управління містобудування та архітектури,  управління земельних ресурсів, департамент муніципальної варти</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Не потребує фінансу-вання</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c>
          <w:tcPr>
            <w:tcW w:w="1692"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c>
          <w:tcPr>
            <w:tcW w:w="540" w:type="dxa"/>
            <w:vMerge w:val="restart"/>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w:t>
            </w:r>
          </w:p>
        </w:tc>
        <w:tc>
          <w:tcPr>
            <w:tcW w:w="3003" w:type="dxa"/>
            <w:vMerge w:val="restart"/>
            <w:tcBorders/>
            <w:shd w:fill="auto" w:val="clear"/>
          </w:tcPr>
          <w:p>
            <w:pPr>
              <w:pStyle w:val="Normal"/>
              <w:spacing w:lineRule="auto" w:line="240" w:before="0" w:after="0"/>
              <w:jc w:val="both"/>
              <w:rPr>
                <w:rFonts w:ascii="Times New Roman" w:hAnsi="Times New Roman" w:eastAsia="Times New Roman" w:cs="Times New Roman"/>
                <w:szCs w:val="20"/>
                <w:lang w:eastAsia="uk-UA"/>
              </w:rPr>
            </w:pPr>
            <w:r>
              <w:rPr>
                <w:rFonts w:eastAsia="Times New Roman" w:cs="Times New Roman"/>
                <w:szCs w:val="20"/>
                <w:lang w:eastAsia="uk-UA"/>
              </w:rPr>
              <w:t>Порядок  демонтажу самовільно встановлених малих архітектурних форм,  тимчасових споруд та конструкцій які розміщені без відповідної дозвільної документації</w:t>
            </w:r>
          </w:p>
        </w:tc>
        <w:tc>
          <w:tcPr>
            <w:tcW w:w="3118" w:type="dxa"/>
            <w:tcBorders/>
            <w:shd w:fill="auto" w:val="clear"/>
          </w:tcPr>
          <w:p>
            <w:pPr>
              <w:pStyle w:val="Normal"/>
              <w:spacing w:lineRule="auto" w:line="240" w:before="0" w:after="0"/>
              <w:jc w:val="center"/>
              <w:rPr>
                <w:rFonts w:ascii="Times New Roman" w:hAnsi="Times New Roman" w:cs="Times New Roman"/>
                <w:szCs w:val="20"/>
              </w:rPr>
            </w:pPr>
            <w:r>
              <w:rPr>
                <w:rFonts w:eastAsia="SimSun" w:cs="Times New Roman"/>
                <w:kern w:val="2"/>
                <w:szCs w:val="20"/>
                <w:lang w:eastAsia="ar-SA"/>
              </w:rPr>
              <w:t>Організація та проведення демонтажу</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lang w:val="en-US"/>
              </w:rPr>
            </w:pPr>
            <w:r>
              <w:rPr>
                <w:rFonts w:eastAsia="Times New Roman" w:cs="Times New Roman"/>
                <w:szCs w:val="20"/>
                <w:lang w:eastAsia="uk-UA"/>
              </w:rPr>
              <w:t>року</w:t>
            </w:r>
          </w:p>
        </w:tc>
        <w:tc>
          <w:tcPr>
            <w:tcW w:w="2125" w:type="dxa"/>
            <w:tcBorders/>
            <w:shd w:fill="auto" w:val="clear"/>
          </w:tcPr>
          <w:p>
            <w:pPr>
              <w:pStyle w:val="Normal"/>
              <w:spacing w:lineRule="auto" w:line="240" w:before="0" w:after="0"/>
              <w:ind w:left="-108" w:right="-108" w:hanging="0"/>
              <w:jc w:val="center"/>
              <w:rPr>
                <w:rFonts w:ascii="Times New Roman" w:hAnsi="Times New Roman" w:cs="Times New Roman"/>
                <w:szCs w:val="20"/>
              </w:rPr>
            </w:pPr>
            <w:r>
              <w:rPr>
                <w:rFonts w:eastAsia="SimSun" w:cs="Times New Roman"/>
                <w:kern w:val="2"/>
                <w:szCs w:val="20"/>
                <w:lang w:eastAsia="ar-SA"/>
              </w:rPr>
              <w:t>Департамент муніципальної варти, підрядна організація</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Бюджет</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міста</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1900,0</w:t>
            </w:r>
          </w:p>
        </w:tc>
        <w:tc>
          <w:tcPr>
            <w:tcW w:w="1692" w:type="dxa"/>
            <w:vMerge w:val="restart"/>
            <w:tcBorders/>
            <w:shd w:fill="auto" w:val="clear"/>
          </w:tcPr>
          <w:p>
            <w:pPr>
              <w:pStyle w:val="Normal"/>
              <w:spacing w:lineRule="auto" w:line="240" w:before="0" w:after="0"/>
              <w:ind w:left="-108" w:hanging="0"/>
              <w:jc w:val="center"/>
              <w:rPr>
                <w:rFonts w:ascii="Times New Roman" w:hAnsi="Times New Roman" w:eastAsia="Times New Roman" w:cs="Times New Roman"/>
                <w:szCs w:val="20"/>
                <w:lang w:eastAsia="uk-UA"/>
              </w:rPr>
            </w:pPr>
            <w:r>
              <w:rPr>
                <w:rFonts w:eastAsia="Times New Roman" w:cs="Times New Roman"/>
                <w:szCs w:val="20"/>
                <w:lang w:eastAsia="uk-UA"/>
              </w:rPr>
              <w:t>Відновлення порушеного благоустрою на території  міста Луцька</w:t>
            </w:r>
          </w:p>
        </w:tc>
      </w:tr>
      <w:tr>
        <w:trPr/>
        <w:tc>
          <w:tcPr>
            <w:tcW w:w="540"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both"/>
              <w:rPr>
                <w:rFonts w:ascii="Times New Roman" w:hAnsi="Times New Roman" w:cs="Times New Roman"/>
                <w:szCs w:val="20"/>
              </w:rPr>
            </w:pPr>
            <w:r>
              <w:rPr>
                <w:rFonts w:eastAsia="SimSun" w:cs="Times New Roman"/>
                <w:kern w:val="2"/>
                <w:szCs w:val="20"/>
                <w:lang w:eastAsia="ar-SA"/>
              </w:rPr>
              <w:t xml:space="preserve">Зберігання </w:t>
            </w:r>
            <w:r>
              <w:rPr>
                <w:rFonts w:cs="Times New Roman"/>
                <w:szCs w:val="20"/>
              </w:rPr>
              <w:t>тимчасових споруд (гаражів, кіосків тощо)</w:t>
            </w:r>
            <w:r>
              <w:rPr>
                <w:rFonts w:eastAsia="SimSun" w:cs="Times New Roman"/>
                <w:kern w:val="2"/>
                <w:szCs w:val="20"/>
                <w:lang w:eastAsia="ar-SA"/>
              </w:rPr>
              <w:t xml:space="preserve"> та конструкцій</w:t>
            </w:r>
          </w:p>
        </w:tc>
        <w:tc>
          <w:tcPr>
            <w:tcW w:w="1844" w:type="dxa"/>
            <w:tcBorders/>
            <w:shd w:fill="auto" w:val="clear"/>
          </w:tcPr>
          <w:p>
            <w:pPr>
              <w:pStyle w:val="Normal"/>
              <w:spacing w:lineRule="auto" w:line="240" w:before="0" w:after="0"/>
              <w:jc w:val="center"/>
              <w:rPr>
                <w:rFonts w:eastAsia="SimSun"/>
                <w:kern w:val="2"/>
                <w:lang w:eastAsia="ar-SA"/>
              </w:rPr>
            </w:pPr>
            <w:r>
              <w:rPr>
                <w:rFonts w:eastAsia="SimSun" w:cs="Times New Roman"/>
                <w:kern w:val="2"/>
                <w:szCs w:val="20"/>
                <w:lang w:eastAsia="ar-SA"/>
              </w:rPr>
              <w:t>Тимчасові споруди – не менше 90 календарних днів, конструкції (паркани, стовпці тощо) – до 15 днів</w:t>
            </w:r>
          </w:p>
          <w:p>
            <w:pPr>
              <w:pStyle w:val="Normal"/>
              <w:spacing w:lineRule="auto" w:line="240" w:before="0" w:after="0"/>
              <w:jc w:val="center"/>
              <w:rPr>
                <w:rFonts w:ascii="Times New Roman" w:hAnsi="Times New Roman" w:cs="Times New Roman"/>
                <w:szCs w:val="20"/>
              </w:rPr>
            </w:pPr>
            <w:r>
              <w:rPr>
                <w:rFonts w:cs="Times New Roman"/>
                <w:szCs w:val="20"/>
              </w:rPr>
            </w:r>
          </w:p>
        </w:tc>
        <w:tc>
          <w:tcPr>
            <w:tcW w:w="2125" w:type="dxa"/>
            <w:tcBorders/>
            <w:shd w:fill="auto" w:val="clear"/>
          </w:tcPr>
          <w:p>
            <w:pPr>
              <w:pStyle w:val="Normal"/>
              <w:spacing w:lineRule="auto" w:line="240" w:before="0" w:after="0"/>
              <w:ind w:left="-108" w:right="-108" w:hanging="0"/>
              <w:jc w:val="center"/>
              <w:rPr>
                <w:rFonts w:ascii="Times New Roman" w:hAnsi="Times New Roman" w:cs="Times New Roman"/>
                <w:szCs w:val="20"/>
              </w:rPr>
            </w:pPr>
            <w:r>
              <w:rPr>
                <w:rFonts w:eastAsia="SimSun" w:cs="Times New Roman"/>
                <w:kern w:val="2"/>
                <w:szCs w:val="20"/>
                <w:lang w:eastAsia="ar-SA"/>
              </w:rPr>
              <w:t>Департамент муніципальної варти, підрядна організація</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Бюджет</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міста</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190,0</w:t>
            </w:r>
          </w:p>
        </w:tc>
        <w:tc>
          <w:tcPr>
            <w:tcW w:w="1692"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c>
          <w:tcPr>
            <w:tcW w:w="540"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both"/>
              <w:rPr>
                <w:rFonts w:ascii="Times New Roman" w:hAnsi="Times New Roman" w:cs="Times New Roman"/>
                <w:szCs w:val="20"/>
              </w:rPr>
            </w:pPr>
            <w:r>
              <w:rPr>
                <w:rFonts w:eastAsia="SimSun" w:cs="Times New Roman"/>
                <w:kern w:val="2"/>
                <w:szCs w:val="20"/>
                <w:lang w:eastAsia="ar-SA"/>
              </w:rPr>
              <w:t>Повернення власнику об’єктів після відшкодування витрат на демонтаж та зберігання</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року</w:t>
            </w:r>
          </w:p>
        </w:tc>
        <w:tc>
          <w:tcPr>
            <w:tcW w:w="2125" w:type="dxa"/>
            <w:tcBorders/>
            <w:shd w:fill="auto" w:val="clear"/>
          </w:tcPr>
          <w:p>
            <w:pPr>
              <w:pStyle w:val="Normal"/>
              <w:spacing w:lineRule="auto" w:line="240" w:before="0" w:after="0"/>
              <w:ind w:left="-108" w:right="-108" w:hanging="0"/>
              <w:jc w:val="center"/>
              <w:rPr>
                <w:rFonts w:ascii="Times New Roman" w:hAnsi="Times New Roman" w:cs="Times New Roman"/>
                <w:szCs w:val="20"/>
              </w:rPr>
            </w:pPr>
            <w:r>
              <w:rPr>
                <w:rFonts w:eastAsia="SimSun" w:cs="Times New Roman"/>
                <w:kern w:val="2"/>
                <w:szCs w:val="20"/>
                <w:lang w:eastAsia="ar-SA"/>
              </w:rPr>
              <w:t>Департамент муніципальної варти, підрядна організація</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Не потребує фінансу-вання</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c>
          <w:tcPr>
            <w:tcW w:w="1692" w:type="dxa"/>
            <w:vMerge w:val="continue"/>
            <w:tcBorders/>
            <w:shd w:fill="auto" w:val="clear"/>
          </w:tcPr>
          <w:p>
            <w:pPr>
              <w:pStyle w:val="Normal"/>
              <w:spacing w:lineRule="auto" w:line="240" w:before="0" w:after="0"/>
              <w:ind w:left="-108" w:hanging="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rHeight w:val="4028" w:hRule="atLeast"/>
        </w:trPr>
        <w:tc>
          <w:tcPr>
            <w:tcW w:w="540"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both"/>
              <w:rPr>
                <w:rFonts w:ascii="Times New Roman" w:hAnsi="Times New Roman" w:cs="Times New Roman"/>
                <w:szCs w:val="20"/>
              </w:rPr>
            </w:pPr>
            <w:r>
              <w:rPr>
                <w:rFonts w:eastAsia="SimSun" w:cs="Times New Roman"/>
                <w:kern w:val="2"/>
                <w:szCs w:val="20"/>
                <w:lang w:eastAsia="ar-SA"/>
              </w:rPr>
              <w:t>Утилізація не витребуваних об’єктів демонтажу шляхом здачі на металобрухт</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року (тимчасові споруди – не раніше як за 90 днів з дати демонтажу, конструкції – протягом 15 днів з дати демонтажу</w:t>
            </w:r>
          </w:p>
        </w:tc>
        <w:tc>
          <w:tcPr>
            <w:tcW w:w="2125" w:type="dxa"/>
            <w:tcBorders/>
            <w:shd w:fill="auto" w:val="clear"/>
          </w:tcPr>
          <w:p>
            <w:pPr>
              <w:pStyle w:val="Normal"/>
              <w:spacing w:lineRule="auto" w:line="240" w:before="0" w:after="0"/>
              <w:ind w:left="-108" w:hanging="0"/>
              <w:jc w:val="center"/>
              <w:rPr>
                <w:rFonts w:ascii="Times New Roman" w:hAnsi="Times New Roman" w:cs="Times New Roman"/>
                <w:szCs w:val="20"/>
              </w:rPr>
            </w:pPr>
            <w:r>
              <w:rPr>
                <w:rFonts w:eastAsia="SimSun" w:cs="Times New Roman"/>
                <w:kern w:val="2"/>
                <w:szCs w:val="20"/>
                <w:lang w:eastAsia="ar-SA"/>
              </w:rPr>
              <w:t>Департамент муніципальної варти, підрядна організація</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Не потребує фінансу-вання</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w:t>
            </w:r>
          </w:p>
        </w:tc>
        <w:tc>
          <w:tcPr>
            <w:tcW w:w="1692" w:type="dxa"/>
            <w:vMerge w:val="continue"/>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r>
        <w:trPr>
          <w:trHeight w:val="149" w:hRule="atLeast"/>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3.</w:t>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Відновлення благоустрою після демонтажу незаконно встановлених тимчасових споруд та конструкцій</w:t>
            </w:r>
          </w:p>
        </w:tc>
        <w:tc>
          <w:tcPr>
            <w:tcW w:w="311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Прибирання та вивіз сміття, яке залишається після проведення демонтажу</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Протягом року/ після проведення демонтажу</w:t>
            </w:r>
          </w:p>
        </w:tc>
        <w:tc>
          <w:tcPr>
            <w:tcW w:w="2125" w:type="dxa"/>
            <w:tcBorders/>
            <w:shd w:fill="auto" w:val="clear"/>
          </w:tcPr>
          <w:p>
            <w:pPr>
              <w:pStyle w:val="Normal"/>
              <w:spacing w:lineRule="auto" w:line="240" w:before="0" w:after="0"/>
              <w:jc w:val="center"/>
              <w:rPr>
                <w:rFonts w:ascii="Times New Roman" w:hAnsi="Times New Roman" w:cs="Times New Roman"/>
                <w:szCs w:val="20"/>
              </w:rPr>
            </w:pPr>
            <w:r>
              <w:rPr>
                <w:rFonts w:eastAsia="SimSun" w:cs="Times New Roman"/>
                <w:kern w:val="2"/>
                <w:szCs w:val="20"/>
                <w:lang w:eastAsia="ar-SA"/>
              </w:rPr>
              <w:t>Департамент муніципальної варти, підрядна організація</w:t>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Бюджет</w:t>
            </w:r>
          </w:p>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міста</w:t>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100,0</w:t>
            </w:r>
          </w:p>
        </w:tc>
        <w:tc>
          <w:tcPr>
            <w:tcW w:w="1692" w:type="dxa"/>
            <w:tcBorders/>
            <w:shd w:fill="auto" w:val="clear"/>
          </w:tcPr>
          <w:p>
            <w:pPr>
              <w:pStyle w:val="Normal"/>
              <w:spacing w:lineRule="auto" w:line="240" w:before="0" w:after="0"/>
              <w:ind w:right="-117" w:hanging="0"/>
              <w:jc w:val="center"/>
              <w:rPr>
                <w:rFonts w:ascii="Times New Roman" w:hAnsi="Times New Roman" w:eastAsia="Times New Roman" w:cs="Times New Roman"/>
                <w:szCs w:val="20"/>
                <w:lang w:eastAsia="uk-UA"/>
              </w:rPr>
            </w:pPr>
            <w:r>
              <w:rPr>
                <w:rFonts w:eastAsia="Times New Roman" w:cs="Times New Roman"/>
                <w:szCs w:val="20"/>
                <w:lang w:eastAsia="uk-UA"/>
              </w:rPr>
              <w:t>Відновлення порушеного благоустрою</w:t>
            </w:r>
          </w:p>
        </w:tc>
      </w:tr>
      <w:tr>
        <w:trPr>
          <w:trHeight w:val="177" w:hRule="atLeast"/>
        </w:trPr>
        <w:tc>
          <w:tcPr>
            <w:tcW w:w="540"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003"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311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Всього:</w:t>
            </w:r>
          </w:p>
        </w:tc>
        <w:tc>
          <w:tcPr>
            <w:tcW w:w="1844"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2125"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154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c>
          <w:tcPr>
            <w:tcW w:w="1428"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t>2190,0</w:t>
            </w:r>
          </w:p>
        </w:tc>
        <w:tc>
          <w:tcPr>
            <w:tcW w:w="1692" w:type="dxa"/>
            <w:tcBorders/>
            <w:shd w:fill="auto" w:val="clear"/>
          </w:tcPr>
          <w:p>
            <w:pPr>
              <w:pStyle w:val="Normal"/>
              <w:spacing w:lineRule="auto" w:line="240" w:before="0" w:after="0"/>
              <w:jc w:val="center"/>
              <w:rPr>
                <w:rFonts w:ascii="Times New Roman" w:hAnsi="Times New Roman" w:eastAsia="Times New Roman" w:cs="Times New Roman"/>
                <w:szCs w:val="20"/>
                <w:lang w:eastAsia="uk-UA"/>
              </w:rPr>
            </w:pPr>
            <w:r>
              <w:rPr>
                <w:rFonts w:eastAsia="Times New Roman" w:cs="Times New Roman"/>
                <w:szCs w:val="20"/>
                <w:lang w:eastAsia="uk-UA"/>
              </w:rPr>
            </w:r>
          </w:p>
        </w:tc>
      </w:tr>
    </w:tbl>
    <w:p>
      <w:pPr>
        <w:pStyle w:val="Default"/>
        <w:ind w:left="-284" w:hanging="0"/>
        <w:jc w:val="both"/>
        <w:rPr>
          <w:lang w:val="uk-UA"/>
        </w:rPr>
      </w:pPr>
      <w:r>
        <w:rPr>
          <w:lang w:val="uk-UA"/>
        </w:rPr>
      </w:r>
    </w:p>
    <w:p>
      <w:pPr>
        <w:pStyle w:val="Default"/>
        <w:ind w:left="-284" w:hanging="0"/>
        <w:jc w:val="both"/>
        <w:rPr>
          <w:lang w:val="uk-UA"/>
        </w:rPr>
      </w:pPr>
      <w:r>
        <w:rPr>
          <w:lang w:val="uk-UA"/>
        </w:rPr>
      </w:r>
    </w:p>
    <w:p>
      <w:pPr>
        <w:pStyle w:val="Default"/>
        <w:ind w:left="-284" w:hanging="0"/>
        <w:jc w:val="both"/>
        <w:rPr>
          <w:lang w:val="uk-UA"/>
        </w:rPr>
      </w:pPr>
      <w:r>
        <w:rPr>
          <w:lang w:val="uk-UA"/>
        </w:rPr>
      </w:r>
    </w:p>
    <w:p>
      <w:pPr>
        <w:sectPr>
          <w:headerReference w:type="default" r:id="rId3"/>
          <w:type w:val="nextPage"/>
          <w:pgSz w:orient="landscape" w:w="16838" w:h="11906"/>
          <w:pgMar w:left="850" w:right="850" w:header="708" w:top="1702" w:footer="0" w:bottom="850" w:gutter="0"/>
          <w:pgNumType w:fmt="decimal"/>
          <w:formProt w:val="false"/>
          <w:textDirection w:val="lrTb"/>
          <w:docGrid w:type="default" w:linePitch="381" w:charSpace="0"/>
        </w:sectPr>
        <w:pStyle w:val="Default"/>
        <w:ind w:left="-284" w:hanging="0"/>
        <w:jc w:val="both"/>
        <w:rPr>
          <w:lang w:val="uk-UA"/>
        </w:rPr>
      </w:pPr>
      <w:r>
        <w:rPr>
          <w:lang w:val="uk-UA"/>
        </w:rPr>
        <w:t>Сиротинська 722861</w:t>
      </w:r>
    </w:p>
    <w:p>
      <w:pPr>
        <w:pStyle w:val="Normal"/>
        <w:rPr/>
      </w:pPr>
      <w:r>
        <w:rPr/>
      </w:r>
    </w:p>
    <w:sectPr>
      <w:headerReference w:type="default" r:id="rId4"/>
      <w:type w:val="nextPage"/>
      <w:pgSz w:w="11906" w:h="16838"/>
      <w:pgMar w:left="1417" w:right="850" w:header="708" w:top="993" w:footer="0" w:bottom="85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779377325"/>
    </w:sdtPr>
    <w:sdtContent>
      <w:p>
        <w:pPr>
          <w:pStyle w:val="Style21"/>
          <w:jc w:val="center"/>
          <w:rPr/>
        </w:pPr>
        <w:r>
          <w:rPr/>
          <w:fldChar w:fldCharType="begin"/>
        </w:r>
        <w:r>
          <w:rPr/>
          <w:instrText> PAGE </w:instrText>
        </w:r>
        <w:r>
          <w:rPr/>
          <w:fldChar w:fldCharType="separate"/>
        </w:r>
        <w:r>
          <w:rPr/>
          <w:t>6</w:t>
        </w:r>
        <w:r>
          <w:rPr/>
          <w:fldChar w:fldCharType="end"/>
        </w:r>
      </w:p>
      <w:p>
        <w:pPr>
          <w:pStyle w:val="Style21"/>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927452005"/>
    </w:sdtPr>
    <w:sdtContent>
      <w:p>
        <w:pPr>
          <w:pStyle w:val="Style21"/>
          <w:jc w:val="center"/>
          <w:rPr/>
        </w:pPr>
        <w:r>
          <w:rPr/>
          <w:fldChar w:fldCharType="begin"/>
        </w:r>
        <w:r>
          <w:rPr/>
          <w:instrText> PAGE </w:instrText>
        </w:r>
        <w:r>
          <w:rPr/>
          <w:fldChar w:fldCharType="separate"/>
        </w:r>
        <w:r>
          <w:rPr/>
          <w:t>9</w:t>
        </w:r>
        <w:r>
          <w:rPr/>
          <w:fldChar w:fldCharType="end"/>
        </w:r>
      </w:p>
      <w:p>
        <w:pPr>
          <w:pStyle w:val="Style21"/>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89179044"/>
    </w:sdtPr>
    <w:sdtContent>
      <w:p>
        <w:pPr>
          <w:pStyle w:val="Style21"/>
          <w:jc w:val="center"/>
          <w:rPr/>
        </w:pPr>
        <w:r>
          <w:rPr/>
          <w:fldChar w:fldCharType="begin"/>
        </w:r>
        <w:r>
          <w:rPr/>
          <w:instrText> PAGE </w:instrText>
        </w:r>
        <w:r>
          <w:rPr/>
          <w:fldChar w:fldCharType="separate"/>
        </w:r>
        <w:r>
          <w:rPr/>
          <w:t>10</w:t>
        </w:r>
        <w:r>
          <w:rPr/>
          <w:fldChar w:fldCharType="end"/>
        </w:r>
      </w:p>
      <w:p>
        <w:pPr>
          <w:pStyle w:val="Style21"/>
          <w:rPr/>
        </w:pPr>
        <w:r>
          <w:rPr/>
        </w:r>
      </w:p>
    </w:sdtContent>
  </w:sdt>
</w:hdr>
</file>

<file path=word/settings.xml><?xml version="1.0" encoding="utf-8"?>
<w:settings xmlns:w="http://schemas.openxmlformats.org/wordprocessingml/2006/main">
  <w:zoom w:percent="13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06f05"/>
    <w:pPr>
      <w:widowControl/>
      <w:bidi w:val="0"/>
      <w:spacing w:lineRule="auto" w:line="240" w:before="0" w:after="0"/>
      <w:jc w:val="left"/>
    </w:pPr>
    <w:rPr>
      <w:rFonts w:ascii="Times New Roman" w:hAnsi="Times New Roman" w:eastAsia="Times New Roman" w:cs="Times New Roman"/>
      <w:color w:val="auto"/>
      <w:kern w:val="0"/>
      <w:sz w:val="28"/>
      <w:szCs w:val="28"/>
      <w:lang w:eastAsia="ru-RU" w:val="uk-UA" w:bidi="ar-SA"/>
    </w:rPr>
  </w:style>
  <w:style w:type="paragraph" w:styleId="2">
    <w:name w:val="Heading 2"/>
    <w:basedOn w:val="Normal"/>
    <w:next w:val="Normal"/>
    <w:link w:val="20"/>
    <w:unhideWhenUsed/>
    <w:qFormat/>
    <w:rsid w:val="00e06f05"/>
    <w:pPr>
      <w:keepNext w:val="true"/>
      <w:widowControl w:val="false"/>
      <w:jc w:val="center"/>
      <w:outlineLvl w:val="1"/>
    </w:pPr>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qFormat/>
    <w:rsid w:val="00e06f05"/>
    <w:rPr>
      <w:rFonts w:ascii="Times New Roman" w:hAnsi="Times New Roman" w:eastAsia="Times New Roman" w:cs="Times New Roman"/>
      <w:sz w:val="28"/>
      <w:szCs w:val="28"/>
      <w:lang w:eastAsia="ru-RU"/>
    </w:rPr>
  </w:style>
  <w:style w:type="character" w:styleId="Style13" w:customStyle="1">
    <w:name w:val="Текст у виносці Знак"/>
    <w:basedOn w:val="DefaultParagraphFont"/>
    <w:link w:val="a4"/>
    <w:uiPriority w:val="99"/>
    <w:semiHidden/>
    <w:qFormat/>
    <w:rsid w:val="004c2c11"/>
    <w:rPr>
      <w:rFonts w:ascii="Tahoma" w:hAnsi="Tahoma" w:eastAsia="Times New Roman" w:cs="Tahoma"/>
      <w:sz w:val="16"/>
      <w:szCs w:val="16"/>
      <w:lang w:eastAsia="ru-RU"/>
    </w:rPr>
  </w:style>
  <w:style w:type="character" w:styleId="Linenumber">
    <w:name w:val="line number"/>
    <w:basedOn w:val="DefaultParagraphFont"/>
    <w:uiPriority w:val="99"/>
    <w:semiHidden/>
    <w:unhideWhenUsed/>
    <w:qFormat/>
    <w:rsid w:val="00ae1921"/>
    <w:rPr/>
  </w:style>
  <w:style w:type="character" w:styleId="Style14" w:customStyle="1">
    <w:name w:val="Верхній колонтитул Знак"/>
    <w:basedOn w:val="DefaultParagraphFont"/>
    <w:link w:val="a7"/>
    <w:uiPriority w:val="99"/>
    <w:qFormat/>
    <w:rsid w:val="00ae1921"/>
    <w:rPr>
      <w:rFonts w:ascii="Times New Roman" w:hAnsi="Times New Roman" w:eastAsia="Times New Roman" w:cs="Times New Roman"/>
      <w:sz w:val="28"/>
      <w:szCs w:val="28"/>
      <w:lang w:eastAsia="ru-RU"/>
    </w:rPr>
  </w:style>
  <w:style w:type="character" w:styleId="Style15" w:customStyle="1">
    <w:name w:val="Нижній колонтитул Знак"/>
    <w:basedOn w:val="DefaultParagraphFont"/>
    <w:link w:val="a9"/>
    <w:uiPriority w:val="99"/>
    <w:qFormat/>
    <w:rsid w:val="00ae1921"/>
    <w:rPr>
      <w:rFonts w:ascii="Times New Roman" w:hAnsi="Times New Roman" w:eastAsia="Times New Roman" w:cs="Times New Roman"/>
      <w:sz w:val="28"/>
      <w:szCs w:val="28"/>
      <w:lang w:eastAsia="ru-RU"/>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Default" w:customStyle="1">
    <w:name w:val="Default"/>
    <w:qFormat/>
    <w:rsid w:val="00e06f05"/>
    <w:pPr>
      <w:widowControl/>
      <w:bidi w:val="0"/>
      <w:spacing w:lineRule="auto" w:line="240" w:before="0" w:after="0"/>
      <w:jc w:val="left"/>
    </w:pPr>
    <w:rPr>
      <w:rFonts w:ascii="Times New Roman" w:hAnsi="Times New Roman" w:eastAsia="Times New Roman" w:cs="Times New Roman"/>
      <w:color w:val="000000"/>
      <w:kern w:val="0"/>
      <w:sz w:val="24"/>
      <w:szCs w:val="24"/>
      <w:lang w:val="ru-RU" w:eastAsia="ru-RU" w:bidi="ar-SA"/>
    </w:rPr>
  </w:style>
  <w:style w:type="paragraph" w:styleId="ListParagraph">
    <w:name w:val="List Paragraph"/>
    <w:basedOn w:val="Normal"/>
    <w:uiPriority w:val="34"/>
    <w:qFormat/>
    <w:rsid w:val="00dd320b"/>
    <w:pPr>
      <w:spacing w:before="0" w:after="0"/>
      <w:ind w:left="720" w:hanging="0"/>
      <w:contextualSpacing/>
    </w:pPr>
    <w:rPr/>
  </w:style>
  <w:style w:type="paragraph" w:styleId="BalloonText">
    <w:name w:val="Balloon Text"/>
    <w:basedOn w:val="Normal"/>
    <w:link w:val="a5"/>
    <w:uiPriority w:val="99"/>
    <w:semiHidden/>
    <w:unhideWhenUsed/>
    <w:qFormat/>
    <w:rsid w:val="004c2c11"/>
    <w:pPr/>
    <w:rPr>
      <w:rFonts w:ascii="Tahoma" w:hAnsi="Tahoma" w:cs="Tahoma"/>
      <w:sz w:val="16"/>
      <w:szCs w:val="16"/>
    </w:rPr>
  </w:style>
  <w:style w:type="paragraph" w:styleId="Style21">
    <w:name w:val="Header"/>
    <w:basedOn w:val="Normal"/>
    <w:link w:val="a8"/>
    <w:uiPriority w:val="99"/>
    <w:unhideWhenUsed/>
    <w:rsid w:val="00ae1921"/>
    <w:pPr>
      <w:tabs>
        <w:tab w:val="center" w:pos="4819" w:leader="none"/>
        <w:tab w:val="right" w:pos="9639" w:leader="none"/>
      </w:tabs>
    </w:pPr>
    <w:rPr/>
  </w:style>
  <w:style w:type="paragraph" w:styleId="Style22">
    <w:name w:val="Footer"/>
    <w:basedOn w:val="Normal"/>
    <w:link w:val="aa"/>
    <w:uiPriority w:val="99"/>
    <w:unhideWhenUsed/>
    <w:rsid w:val="00ae1921"/>
    <w:pPr>
      <w:tabs>
        <w:tab w:val="center" w:pos="4819" w:leader="none"/>
        <w:tab w:val="right" w:pos="9639" w:leader="none"/>
      </w:tabs>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b">
    <w:name w:val="Table Grid"/>
    <w:basedOn w:val="a1"/>
    <w:rsid w:val="00937c4f"/>
    <w:pPr>
      <w:spacing w:after="0" w:line="240" w:lineRule="auto"/>
    </w:pPr>
    <w:rPr>
      <w:lang w:eastAsia="uk-UA"/>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1691</TotalTime>
  <Application>LibreOffice/6.1.0.3$Windows_x86 LibreOffice_project/efb621ed25068d70781dc026f7e9c5187a4decd1</Application>
  <Pages>9</Pages>
  <Words>1377</Words>
  <Characters>9803</Characters>
  <CharactersWithSpaces>11448</CharactersWithSpaces>
  <Paragraphs>195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2016-11-14T09:28:00Z</dcterms:created>
  <dc:creator>DMP1</dc:creator>
  <dc:description/>
  <dc:language>ru-RU</dc:language>
  <cp:lastModifiedBy/>
  <cp:lastPrinted>2018-11-21T08:33:00Z</cp:lastPrinted>
  <dcterms:modified xsi:type="dcterms:W3CDTF">2018-11-21T12:52:46Z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