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262" w:rsidRDefault="00C21262" w:rsidP="00C21262">
      <w:pPr>
        <w:spacing w:before="100" w:beforeAutospacing="1" w:after="100" w:afterAutospacing="1" w:line="240" w:lineRule="auto"/>
        <w:jc w:val="center"/>
        <w:outlineLvl w:val="1"/>
        <w:rPr>
          <w:rFonts w:ascii="Times New Roman" w:eastAsia="Times New Roman" w:hAnsi="Times New Roman" w:cs="Times New Roman"/>
          <w:b/>
          <w:bCs/>
          <w:sz w:val="36"/>
          <w:szCs w:val="36"/>
          <w:lang w:val="uk-UA" w:eastAsia="ru-RU"/>
        </w:rPr>
      </w:pPr>
    </w:p>
    <w:p w:rsidR="00C21262" w:rsidRDefault="00C21262" w:rsidP="00C21262">
      <w:pPr>
        <w:spacing w:before="100" w:beforeAutospacing="1" w:after="100" w:afterAutospacing="1" w:line="240" w:lineRule="auto"/>
        <w:jc w:val="center"/>
        <w:outlineLvl w:val="1"/>
        <w:rPr>
          <w:rFonts w:ascii="Times New Roman" w:eastAsia="Times New Roman" w:hAnsi="Times New Roman" w:cs="Times New Roman"/>
          <w:b/>
          <w:bCs/>
          <w:sz w:val="36"/>
          <w:szCs w:val="36"/>
          <w:lang w:val="uk-UA" w:eastAsia="ru-RU"/>
        </w:rPr>
      </w:pPr>
    </w:p>
    <w:p w:rsidR="00C21262" w:rsidRDefault="00C21262" w:rsidP="00C21262">
      <w:pPr>
        <w:spacing w:before="100" w:beforeAutospacing="1" w:after="100" w:afterAutospacing="1" w:line="240" w:lineRule="auto"/>
        <w:jc w:val="center"/>
        <w:outlineLvl w:val="1"/>
        <w:rPr>
          <w:rFonts w:ascii="Times New Roman" w:eastAsia="Times New Roman" w:hAnsi="Times New Roman" w:cs="Times New Roman"/>
          <w:b/>
          <w:bCs/>
          <w:sz w:val="52"/>
          <w:szCs w:val="52"/>
          <w:lang w:val="uk-UA" w:eastAsia="ru-RU"/>
        </w:rPr>
      </w:pPr>
      <w:r w:rsidRPr="00C21262">
        <w:rPr>
          <w:rFonts w:ascii="Times New Roman" w:eastAsia="Times New Roman" w:hAnsi="Times New Roman" w:cs="Times New Roman"/>
          <w:b/>
          <w:bCs/>
          <w:sz w:val="52"/>
          <w:szCs w:val="52"/>
          <w:lang w:val="uk-UA" w:eastAsia="ru-RU"/>
        </w:rPr>
        <w:t>КОНЦЕПЦІЯ РЕКОНСТРУКЦІЇ</w:t>
      </w:r>
    </w:p>
    <w:p w:rsidR="00C21262" w:rsidRPr="00C21262" w:rsidRDefault="00C21262" w:rsidP="00C21262">
      <w:pPr>
        <w:spacing w:before="100" w:beforeAutospacing="1" w:after="100" w:afterAutospacing="1" w:line="240" w:lineRule="auto"/>
        <w:jc w:val="center"/>
        <w:outlineLvl w:val="1"/>
        <w:rPr>
          <w:rFonts w:ascii="Times New Roman" w:eastAsia="Times New Roman" w:hAnsi="Times New Roman" w:cs="Times New Roman"/>
          <w:b/>
          <w:bCs/>
          <w:sz w:val="52"/>
          <w:szCs w:val="52"/>
          <w:lang w:val="uk-UA" w:eastAsia="ru-RU"/>
        </w:rPr>
      </w:pPr>
      <w:r w:rsidRPr="00C21262">
        <w:rPr>
          <w:rFonts w:ascii="Times New Roman" w:eastAsia="Times New Roman" w:hAnsi="Times New Roman" w:cs="Times New Roman"/>
          <w:b/>
          <w:bCs/>
          <w:sz w:val="52"/>
          <w:szCs w:val="52"/>
          <w:lang w:val="uk-UA" w:eastAsia="ru-RU"/>
        </w:rPr>
        <w:t>Парку імені 900-річчя міста Луцька</w:t>
      </w:r>
    </w:p>
    <w:p w:rsidR="00C21262" w:rsidRDefault="00C21262" w:rsidP="00C21262">
      <w:pPr>
        <w:spacing w:before="100" w:beforeAutospacing="1" w:after="100" w:afterAutospacing="1" w:line="240" w:lineRule="auto"/>
        <w:jc w:val="center"/>
        <w:outlineLvl w:val="1"/>
        <w:rPr>
          <w:rFonts w:ascii="Times New Roman" w:eastAsia="Times New Roman" w:hAnsi="Times New Roman" w:cs="Times New Roman"/>
          <w:b/>
          <w:bCs/>
          <w:sz w:val="52"/>
          <w:szCs w:val="52"/>
          <w:lang w:val="uk-UA" w:eastAsia="ru-RU"/>
        </w:rPr>
      </w:pPr>
    </w:p>
    <w:p w:rsidR="00502FF2" w:rsidRPr="00C21262" w:rsidRDefault="00502FF2" w:rsidP="00C21262">
      <w:pPr>
        <w:spacing w:before="100" w:beforeAutospacing="1" w:after="100" w:afterAutospacing="1" w:line="240" w:lineRule="auto"/>
        <w:jc w:val="center"/>
        <w:outlineLvl w:val="1"/>
        <w:rPr>
          <w:rFonts w:ascii="Times New Roman" w:eastAsia="Times New Roman" w:hAnsi="Times New Roman" w:cs="Times New Roman"/>
          <w:b/>
          <w:bCs/>
          <w:sz w:val="52"/>
          <w:szCs w:val="52"/>
          <w:lang w:val="uk-UA" w:eastAsia="ru-RU"/>
        </w:rPr>
      </w:pPr>
      <w:bookmarkStart w:id="0" w:name="_GoBack"/>
      <w:bookmarkEnd w:id="0"/>
    </w:p>
    <w:p w:rsidR="00C21262" w:rsidRDefault="00C21262" w:rsidP="00C21262">
      <w:pPr>
        <w:spacing w:before="100" w:beforeAutospacing="1" w:after="100" w:afterAutospacing="1" w:line="240" w:lineRule="auto"/>
        <w:jc w:val="center"/>
        <w:outlineLvl w:val="1"/>
        <w:rPr>
          <w:rFonts w:ascii="Times New Roman" w:eastAsia="Times New Roman" w:hAnsi="Times New Roman" w:cs="Times New Roman"/>
          <w:b/>
          <w:bCs/>
          <w:sz w:val="52"/>
          <w:szCs w:val="52"/>
          <w:lang w:val="uk-UA" w:eastAsia="ru-RU"/>
        </w:rPr>
      </w:pPr>
      <w:r w:rsidRPr="00C21262">
        <w:rPr>
          <w:rFonts w:ascii="Times New Roman" w:eastAsia="Times New Roman" w:hAnsi="Times New Roman" w:cs="Times New Roman"/>
          <w:b/>
          <w:bCs/>
          <w:sz w:val="52"/>
          <w:szCs w:val="52"/>
          <w:lang w:val="uk-UA" w:eastAsia="ru-RU"/>
        </w:rPr>
        <w:t>Пояснювальна записка</w:t>
      </w:r>
    </w:p>
    <w:p w:rsidR="00C21262" w:rsidRPr="00C21262" w:rsidRDefault="00C21262" w:rsidP="00C21262">
      <w:pPr>
        <w:spacing w:before="100" w:beforeAutospacing="1" w:after="100" w:afterAutospacing="1" w:line="240" w:lineRule="auto"/>
        <w:jc w:val="center"/>
        <w:outlineLvl w:val="1"/>
        <w:rPr>
          <w:rFonts w:ascii="Times New Roman" w:eastAsia="Times New Roman" w:hAnsi="Times New Roman" w:cs="Times New Roman"/>
          <w:b/>
          <w:bCs/>
          <w:sz w:val="52"/>
          <w:szCs w:val="52"/>
          <w:lang w:val="uk-UA" w:eastAsia="ru-RU"/>
        </w:rPr>
      </w:pPr>
      <w:r>
        <w:rPr>
          <w:noProof/>
          <w:lang w:eastAsia="ru-RU"/>
        </w:rPr>
        <w:drawing>
          <wp:inline distT="0" distB="0" distL="0" distR="0">
            <wp:extent cx="4991100" cy="4991100"/>
            <wp:effectExtent l="0" t="0" r="0" b="0"/>
            <wp:docPr id="25" name="Рисунок 25" descr="Реконструкція парку імені 900-річчя Луць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Реконструкція парку імені 900-річчя Луцьк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91100" cy="4991100"/>
                    </a:xfrm>
                    <a:prstGeom prst="rect">
                      <a:avLst/>
                    </a:prstGeom>
                    <a:noFill/>
                    <a:ln>
                      <a:noFill/>
                    </a:ln>
                    <a:effectLst>
                      <a:outerShdw blurRad="63500" sx="108000" sy="108000" algn="ctr" rotWithShape="0">
                        <a:schemeClr val="accent6">
                          <a:alpha val="99000"/>
                        </a:schemeClr>
                      </a:outerShdw>
                    </a:effectLst>
                  </pic:spPr>
                </pic:pic>
              </a:graphicData>
            </a:graphic>
          </wp:inline>
        </w:drawing>
      </w:r>
    </w:p>
    <w:p w:rsidR="00502FF2" w:rsidRDefault="00502FF2" w:rsidP="00502FF2">
      <w:pPr>
        <w:spacing w:before="100" w:beforeAutospacing="1" w:after="100" w:afterAutospacing="1" w:line="240" w:lineRule="auto"/>
        <w:jc w:val="center"/>
        <w:outlineLvl w:val="1"/>
        <w:rPr>
          <w:rFonts w:ascii="Times New Roman" w:eastAsia="Times New Roman" w:hAnsi="Times New Roman" w:cs="Times New Roman"/>
          <w:b/>
          <w:bCs/>
          <w:sz w:val="36"/>
          <w:szCs w:val="36"/>
          <w:lang w:val="uk-UA" w:eastAsia="ru-RU"/>
        </w:rPr>
      </w:pPr>
    </w:p>
    <w:p w:rsidR="00502FF2" w:rsidRDefault="00502FF2" w:rsidP="00502FF2">
      <w:pPr>
        <w:spacing w:before="100" w:beforeAutospacing="1" w:after="100" w:afterAutospacing="1" w:line="240" w:lineRule="auto"/>
        <w:jc w:val="center"/>
        <w:outlineLvl w:val="1"/>
        <w:rPr>
          <w:rFonts w:ascii="Times New Roman" w:eastAsia="Times New Roman" w:hAnsi="Times New Roman" w:cs="Times New Roman"/>
          <w:b/>
          <w:bCs/>
          <w:sz w:val="36"/>
          <w:szCs w:val="36"/>
          <w:lang w:val="uk-UA" w:eastAsia="ru-RU"/>
        </w:rPr>
      </w:pPr>
      <w:r>
        <w:rPr>
          <w:rFonts w:ascii="Times New Roman" w:eastAsia="Times New Roman" w:hAnsi="Times New Roman" w:cs="Times New Roman"/>
          <w:b/>
          <w:bCs/>
          <w:sz w:val="36"/>
          <w:szCs w:val="36"/>
          <w:lang w:val="uk-UA" w:eastAsia="ru-RU"/>
        </w:rPr>
        <w:t>Місто Луцьк-2018</w:t>
      </w:r>
    </w:p>
    <w:p w:rsidR="00C21262" w:rsidRPr="00502FF2" w:rsidRDefault="00C21262" w:rsidP="00C21262">
      <w:pPr>
        <w:spacing w:before="100" w:beforeAutospacing="1" w:after="100" w:afterAutospacing="1" w:line="240" w:lineRule="auto"/>
        <w:outlineLvl w:val="1"/>
        <w:rPr>
          <w:rFonts w:ascii="Times New Roman" w:eastAsia="Times New Roman" w:hAnsi="Times New Roman" w:cs="Times New Roman"/>
          <w:b/>
          <w:bCs/>
          <w:sz w:val="36"/>
          <w:szCs w:val="36"/>
          <w:lang w:val="uk-UA" w:eastAsia="ru-RU"/>
        </w:rPr>
      </w:pPr>
      <w:r w:rsidRPr="00502FF2">
        <w:rPr>
          <w:rFonts w:ascii="Times New Roman" w:eastAsia="Times New Roman" w:hAnsi="Times New Roman" w:cs="Times New Roman"/>
          <w:b/>
          <w:bCs/>
          <w:sz w:val="36"/>
          <w:szCs w:val="36"/>
          <w:lang w:val="uk-UA" w:eastAsia="ru-RU"/>
        </w:rPr>
        <w:lastRenderedPageBreak/>
        <w:t>Зміст</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36"/>
          <w:szCs w:val="36"/>
          <w:lang w:eastAsia="ru-RU"/>
        </w:rPr>
      </w:pPr>
      <w:hyperlink r:id="rId6" w:anchor="1" w:history="1">
        <w:r w:rsidRPr="00502FF2">
          <w:rPr>
            <w:rFonts w:ascii="Times New Roman" w:eastAsia="Times New Roman" w:hAnsi="Times New Roman" w:cs="Times New Roman"/>
            <w:sz w:val="36"/>
            <w:szCs w:val="36"/>
            <w:u w:val="single"/>
            <w:lang w:eastAsia="ru-RU"/>
          </w:rPr>
          <w:t>Парк в середовищі</w:t>
        </w:r>
      </w:hyperlink>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36"/>
          <w:szCs w:val="36"/>
          <w:lang w:eastAsia="ru-RU"/>
        </w:rPr>
      </w:pPr>
      <w:hyperlink r:id="rId7" w:anchor="2" w:history="1">
        <w:r w:rsidRPr="00502FF2">
          <w:rPr>
            <w:rFonts w:ascii="Times New Roman" w:eastAsia="Times New Roman" w:hAnsi="Times New Roman" w:cs="Times New Roman"/>
            <w:sz w:val="36"/>
            <w:szCs w:val="36"/>
            <w:u w:val="single"/>
            <w:lang w:eastAsia="ru-RU"/>
          </w:rPr>
          <w:t>Існуючий стан парку</w:t>
        </w:r>
      </w:hyperlink>
    </w:p>
    <w:p w:rsidR="00C21262" w:rsidRPr="00502FF2" w:rsidRDefault="00C21262" w:rsidP="00C21262">
      <w:pPr>
        <w:spacing w:before="100" w:beforeAutospacing="1" w:after="100" w:afterAutospacing="1" w:line="240" w:lineRule="auto"/>
        <w:rPr>
          <w:rFonts w:ascii="Times New Roman" w:eastAsia="Times New Roman" w:hAnsi="Times New Roman" w:cs="Times New Roman"/>
          <w:sz w:val="36"/>
          <w:szCs w:val="36"/>
          <w:lang w:eastAsia="ru-RU"/>
        </w:rPr>
      </w:pPr>
      <w:hyperlink r:id="rId8" w:anchor="3" w:history="1">
        <w:r w:rsidRPr="00502FF2">
          <w:rPr>
            <w:rFonts w:ascii="Times New Roman" w:eastAsia="Times New Roman" w:hAnsi="Times New Roman" w:cs="Times New Roman"/>
            <w:sz w:val="36"/>
            <w:szCs w:val="36"/>
            <w:u w:val="single"/>
            <w:lang w:eastAsia="ru-RU"/>
          </w:rPr>
          <w:t>Функціональне зонування</w:t>
        </w:r>
      </w:hyperlink>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502FF2" w:rsidRPr="00C21262" w:rsidRDefault="00502FF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C21262" w:rsidRPr="00C21262" w:rsidRDefault="00C21262" w:rsidP="00C2126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1262">
        <w:rPr>
          <w:rFonts w:ascii="Times New Roman" w:eastAsia="Times New Roman" w:hAnsi="Times New Roman" w:cs="Times New Roman"/>
          <w:b/>
          <w:bCs/>
          <w:sz w:val="36"/>
          <w:szCs w:val="36"/>
          <w:lang w:eastAsia="ru-RU"/>
        </w:rPr>
        <w:t>Парк в середовищі</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 xml:space="preserve">Парк імені 900-річчя Луцька, заснований в 1985 р., знаходиться в долині річки Сапалаївка між вулицями Ветеранів, Космонавтів та проспектом Відродження в середмісті. Територіально він оточений переважно багатоповерховою </w:t>
      </w:r>
      <w:proofErr w:type="gramStart"/>
      <w:r w:rsidRPr="00C21262">
        <w:rPr>
          <w:rFonts w:ascii="Times New Roman" w:eastAsia="Times New Roman" w:hAnsi="Times New Roman" w:cs="Times New Roman"/>
          <w:sz w:val="24"/>
          <w:szCs w:val="24"/>
          <w:lang w:eastAsia="ru-RU"/>
        </w:rPr>
        <w:t>забудовою  та</w:t>
      </w:r>
      <w:proofErr w:type="gramEnd"/>
      <w:r w:rsidRPr="00C21262">
        <w:rPr>
          <w:rFonts w:ascii="Times New Roman" w:eastAsia="Times New Roman" w:hAnsi="Times New Roman" w:cs="Times New Roman"/>
          <w:sz w:val="24"/>
          <w:szCs w:val="24"/>
          <w:lang w:eastAsia="ru-RU"/>
        </w:rPr>
        <w:t xml:space="preserve"> забудовою садибного типу з боку вулиці Космонавтів.</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Геометрію парку визначають природні фактори рельєфу та русла річки, яке перетинає територію зі сходу на захід, а також антропогенні, у вигляді мережі доріг і різного періоду забудови. З північно-східної сторони в структуру парку гострою формою врізається комплекс території Луцької міської клінічної лікарні. Північна та північно-західна сторони парку плавно перетікають в озеленення 9-поверхової забудови другої половини 20 ст., тому чіткої межі не відслідковується. Південна і східна межі парку чітко обмежуються вулицею Космонавтів і проспектом Відродження відповідно. З північного та південно-західного боків в структуру парку врізаються території сакральних закладів.</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Історично сформувалися 4 основні вектори входу в парк – західний (зі сторони 55 мікрорайону та PortCity), північний (зі сторони вул. Ветеранів і пр. Молоді), східний (зі сторони пр. Відродження та мікрорайону Теремно) та південний (зі сторони вул. Космонавтів та мікрорайону Балка).</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Великою часткою теперішнього використання парку є транзитні рухи пішоходів та велосипедистів, які сполучають напрямки пр. Молоді, пр. Соборності, пр. Відродження та мікрорайону Балка.</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Кількість потенційних користувачів парку – 50 тис. осіб.</w:t>
      </w:r>
    </w:p>
    <w:p w:rsidR="00C21262" w:rsidRPr="00C21262" w:rsidRDefault="00C21262" w:rsidP="00C2126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1262">
        <w:rPr>
          <w:rFonts w:ascii="Times New Roman" w:eastAsia="Times New Roman" w:hAnsi="Times New Roman" w:cs="Times New Roman"/>
          <w:b/>
          <w:bCs/>
          <w:sz w:val="36"/>
          <w:szCs w:val="36"/>
          <w:lang w:eastAsia="ru-RU"/>
        </w:rPr>
        <w:t>Існуючий стан парку</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Загальні дані парку та його деталей:</w:t>
      </w:r>
    </w:p>
    <w:p w:rsidR="00C21262" w:rsidRPr="00C21262" w:rsidRDefault="00C21262" w:rsidP="00C2126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Загальна площа в межах парку – 18,6 га</w:t>
      </w:r>
    </w:p>
    <w:p w:rsidR="00C21262" w:rsidRPr="00C21262" w:rsidRDefault="00C21262" w:rsidP="00C2126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Площа водяного плеса – 2,29 га</w:t>
      </w:r>
    </w:p>
    <w:p w:rsidR="00C21262" w:rsidRPr="00C21262" w:rsidRDefault="00C21262" w:rsidP="00C2126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Довжина берегової лінії – 2,6 км</w:t>
      </w:r>
    </w:p>
    <w:p w:rsidR="00C21262" w:rsidRPr="00C21262" w:rsidRDefault="00C21262" w:rsidP="00C2126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Довжина існуючих стежок – 7,8 км</w:t>
      </w:r>
    </w:p>
    <w:p w:rsidR="00C21262" w:rsidRPr="00C21262" w:rsidRDefault="00C21262" w:rsidP="00C2126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Кількість існуючих містків – 4</w:t>
      </w:r>
    </w:p>
    <w:p w:rsidR="00C21262" w:rsidRPr="00C21262" w:rsidRDefault="00C21262" w:rsidP="00C2126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Кількість неорганізованих переходів через річку – 2</w:t>
      </w:r>
    </w:p>
    <w:p w:rsidR="00C21262" w:rsidRPr="00C21262" w:rsidRDefault="00C21262" w:rsidP="00C2126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Кількість існуючих напрямків входу в парк – 22</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Річка</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Русло річки вузьке, в окремих місцях розкопане та поглиблене. Лівий беріг стрімкий, формує закінчення балок рельєфу з південного боку, правий беріг пологий і плавно піднімається в сторону півночі.</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Флора</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 xml:space="preserve">Дерева переважно садового-паркового типу. Місцями (особливо в північній частині парку) є зосередження самосівів чагарників і дерев з важкою прохідною доступністю. Частина дерев та чагарників втратила свої декоративні якості, з’являються вітровальні та буреломні дерева. На це вплинули несприятливі погодні умови та брак достатнього догляду. Окремі дерева </w:t>
      </w:r>
      <w:r w:rsidRPr="00C21262">
        <w:rPr>
          <w:rFonts w:ascii="Times New Roman" w:eastAsia="Times New Roman" w:hAnsi="Times New Roman" w:cs="Times New Roman"/>
          <w:sz w:val="24"/>
          <w:szCs w:val="24"/>
          <w:lang w:eastAsia="ru-RU"/>
        </w:rPr>
        <w:lastRenderedPageBreak/>
        <w:t>ослаблені внаслідок уражень фітопатогенами, ентомошкідниками, дереворуйнівними грибами.</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Проаналізовано найпоширеніші фаути в усіх групах насаджень. Зокрема це – кореневі відростки, які перекривають або ж деформують стовбур дерева; капи, або нарости деревини; кривизна стовбурів; два, та більше стовбурів, а також букетні посадки; відсутність верхівки дерева (зрізана, зламана); присутність незначних механічних пошкоджень; лишайники на корі стовбура. Багато дерев Тополі чорної заражені омелою. Також було виявлено велика кількість вегетативних паростків.</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За результатами обстеження насаджень парку було встановлено, що основними ландшафтоутворюючими видами є, Тополя чорна (Populus nigra L.), Клен Гостролистий (Acer platanoides), Береза повисла (Betula pendula Roth.), Верба біла (Salix alba L.) та Гіркокаштан звичайний (Aesculus hippocastanum). Відділ Pinophyta представлений Ялиною звичайною (Рісеа abies L.) та Сосною звичайною (Pinus sylvestris L.</w:t>
      </w:r>
      <w:proofErr w:type="gramStart"/>
      <w:r w:rsidRPr="00C21262">
        <w:rPr>
          <w:rFonts w:ascii="Times New Roman" w:eastAsia="Times New Roman" w:hAnsi="Times New Roman" w:cs="Times New Roman"/>
          <w:sz w:val="24"/>
          <w:szCs w:val="24"/>
          <w:lang w:eastAsia="ru-RU"/>
        </w:rPr>
        <w:t>) .</w:t>
      </w:r>
      <w:proofErr w:type="gramEnd"/>
      <w:r w:rsidRPr="00C21262">
        <w:rPr>
          <w:rFonts w:ascii="Times New Roman" w:eastAsia="Times New Roman" w:hAnsi="Times New Roman" w:cs="Times New Roman"/>
          <w:sz w:val="24"/>
          <w:szCs w:val="24"/>
          <w:lang w:eastAsia="ru-RU"/>
        </w:rPr>
        <w:t xml:space="preserve"> Також були </w:t>
      </w:r>
      <w:proofErr w:type="gramStart"/>
      <w:r w:rsidRPr="00C21262">
        <w:rPr>
          <w:rFonts w:ascii="Times New Roman" w:eastAsia="Times New Roman" w:hAnsi="Times New Roman" w:cs="Times New Roman"/>
          <w:sz w:val="24"/>
          <w:szCs w:val="24"/>
          <w:lang w:eastAsia="ru-RU"/>
        </w:rPr>
        <w:t>виявлені  –</w:t>
      </w:r>
      <w:proofErr w:type="gramEnd"/>
      <w:r w:rsidRPr="00C21262">
        <w:rPr>
          <w:rFonts w:ascii="Times New Roman" w:eastAsia="Times New Roman" w:hAnsi="Times New Roman" w:cs="Times New Roman"/>
          <w:sz w:val="24"/>
          <w:szCs w:val="24"/>
          <w:lang w:eastAsia="ru-RU"/>
        </w:rPr>
        <w:t xml:space="preserve"> Дуб звичайний (Quercus robur L.), Туя Західна (Thuja occidentalis L.), Алича (Prunus cerasifera Ehrh.), Горобина звичайна (Sorbus aucuparia L.), Горобина Шведська (S. intermedia (Ehrh.) Pers.</w:t>
      </w:r>
      <w:proofErr w:type="gramStart"/>
      <w:r w:rsidRPr="00C21262">
        <w:rPr>
          <w:rFonts w:ascii="Times New Roman" w:eastAsia="Times New Roman" w:hAnsi="Times New Roman" w:cs="Times New Roman"/>
          <w:sz w:val="24"/>
          <w:szCs w:val="24"/>
          <w:lang w:eastAsia="ru-RU"/>
        </w:rPr>
        <w:t>),  Вишня</w:t>
      </w:r>
      <w:proofErr w:type="gramEnd"/>
      <w:r w:rsidRPr="00C21262">
        <w:rPr>
          <w:rFonts w:ascii="Times New Roman" w:eastAsia="Times New Roman" w:hAnsi="Times New Roman" w:cs="Times New Roman"/>
          <w:sz w:val="24"/>
          <w:szCs w:val="24"/>
          <w:lang w:eastAsia="ru-RU"/>
        </w:rPr>
        <w:t xml:space="preserve"> пташина ( Черешня) (Cerasus avium Moench.), Вишня звичайна (C. vulgaris Mill.). Кущові види: Бузок звичайний (Syringa vulgaris), Свидина біла (Swida alba L.), Бірючина звичайна (Ligustrum vulgare) та кизильник</w:t>
      </w:r>
      <w:r w:rsidRPr="00C21262">
        <w:rPr>
          <w:rFonts w:ascii="Times New Roman" w:eastAsia="Times New Roman" w:hAnsi="Times New Roman" w:cs="Times New Roman"/>
          <w:sz w:val="24"/>
          <w:szCs w:val="24"/>
          <w:lang w:eastAsia="ru-RU"/>
        </w:rPr>
        <w:br/>
        <w:t>блискучий (Cotoneaster lucidus Schltdl.).</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Насадження парку здебільшого належать до першого та другого ярусів, тому спостерігається вітряність території.</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Доріжки</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Основна кількість доріжок мають ґрунтове покриття, місцями стежки мають ущільнену щебеневу основу та помітні залишки асфальтового покриття. Чіткої межі між прохідними шляхами і зонами озеленення не облаштовано.</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Декілька років тому під час планової очистки русла річки був облаштований місток, який з’єднує парк та напрям 33-го, 55-го мікрорайонів та Державного архіву Волинської області. Місток замощений бетонною бруківкою, від нього організовані частини доріжок в напрямку архіву, вул. Гетьмана Мазепи і підйому на пагорб в тому ж мощенні. Стик нових доріжок та існуючих стежок не організований.</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Вуличні меблі</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По парку точково розміщені лавки і смітники 6 різних типів. Їх стан на сьогодні задовільний, але з пошкодженнями і потребує догляду.</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Освітлення</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Освітлення парку неорганізоване, крім декількох ліхтарів на містку біля архіву. Входи в парк освітлюються віддалено за рахунок існуючого вуличного освітлення.</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Міські мережі</w:t>
      </w:r>
    </w:p>
    <w:p w:rsidR="00C21262" w:rsidRPr="00C21262" w:rsidRDefault="00C21262" w:rsidP="00C2126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21262">
        <w:rPr>
          <w:rFonts w:ascii="Times New Roman" w:eastAsia="Times New Roman" w:hAnsi="Times New Roman" w:cs="Times New Roman"/>
          <w:b/>
          <w:bCs/>
          <w:sz w:val="24"/>
          <w:szCs w:val="24"/>
          <w:lang w:eastAsia="ru-RU"/>
        </w:rPr>
        <w:t>Електричні мережі</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 xml:space="preserve">На </w:t>
      </w:r>
      <w:proofErr w:type="gramStart"/>
      <w:r w:rsidRPr="00C21262">
        <w:rPr>
          <w:rFonts w:ascii="Times New Roman" w:eastAsia="Times New Roman" w:hAnsi="Times New Roman" w:cs="Times New Roman"/>
          <w:sz w:val="24"/>
          <w:szCs w:val="24"/>
          <w:lang w:eastAsia="ru-RU"/>
        </w:rPr>
        <w:t>території  парку</w:t>
      </w:r>
      <w:proofErr w:type="gramEnd"/>
      <w:r w:rsidRPr="00C21262">
        <w:rPr>
          <w:rFonts w:ascii="Times New Roman" w:eastAsia="Times New Roman" w:hAnsi="Times New Roman" w:cs="Times New Roman"/>
          <w:sz w:val="24"/>
          <w:szCs w:val="24"/>
          <w:lang w:eastAsia="ru-RU"/>
        </w:rPr>
        <w:t xml:space="preserve"> справа від входу з вул. Вороніхіна знаходиться трансформаторна підстанція, мережі якої розходяться вздовж південної сторони парку.</w:t>
      </w:r>
    </w:p>
    <w:p w:rsidR="00C21262" w:rsidRPr="00C21262" w:rsidRDefault="00C21262" w:rsidP="00C2126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21262">
        <w:rPr>
          <w:rFonts w:ascii="Times New Roman" w:eastAsia="Times New Roman" w:hAnsi="Times New Roman" w:cs="Times New Roman"/>
          <w:b/>
          <w:bCs/>
          <w:sz w:val="24"/>
          <w:szCs w:val="24"/>
          <w:lang w:eastAsia="ru-RU"/>
        </w:rPr>
        <w:lastRenderedPageBreak/>
        <w:t>Газові мережі</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Через територію парку проходить газопровід розподільчих мереж в напрямку від вул. Ветеранів поруч з будинком №1 до вул. Гетьмана Мазепи. Газопровід підземного типу проходить по північній частині парку, повітрям перетинає завужене русло річки, заглиблюється в землю та обходить пагорб.</w:t>
      </w:r>
    </w:p>
    <w:p w:rsidR="00C21262" w:rsidRPr="00C21262" w:rsidRDefault="00C21262" w:rsidP="00C2126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21262">
        <w:rPr>
          <w:rFonts w:ascii="Times New Roman" w:eastAsia="Times New Roman" w:hAnsi="Times New Roman" w:cs="Times New Roman"/>
          <w:b/>
          <w:bCs/>
          <w:sz w:val="24"/>
          <w:szCs w:val="24"/>
          <w:lang w:eastAsia="ru-RU"/>
        </w:rPr>
        <w:t>Водопостачання</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Мережа водопостачання проходить по межі парку вздовж існуючих міських та під’їзних доріг. Також труба водопроводу проходить через місток поблизу Державного архіву.</w:t>
      </w:r>
    </w:p>
    <w:p w:rsidR="00C21262" w:rsidRPr="00C21262" w:rsidRDefault="00C21262" w:rsidP="00C2126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21262">
        <w:rPr>
          <w:rFonts w:ascii="Times New Roman" w:eastAsia="Times New Roman" w:hAnsi="Times New Roman" w:cs="Times New Roman"/>
          <w:b/>
          <w:bCs/>
          <w:sz w:val="24"/>
          <w:szCs w:val="24"/>
          <w:lang w:eastAsia="ru-RU"/>
        </w:rPr>
        <w:t>Каналізаційні мережі</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 xml:space="preserve">Мережа каналізації проходить по північній частині парку, паралельно до газової </w:t>
      </w:r>
      <w:proofErr w:type="gramStart"/>
      <w:r w:rsidRPr="00C21262">
        <w:rPr>
          <w:rFonts w:ascii="Times New Roman" w:eastAsia="Times New Roman" w:hAnsi="Times New Roman" w:cs="Times New Roman"/>
          <w:sz w:val="24"/>
          <w:szCs w:val="24"/>
          <w:lang w:eastAsia="ru-RU"/>
        </w:rPr>
        <w:t>мережі  та</w:t>
      </w:r>
      <w:proofErr w:type="gramEnd"/>
      <w:r w:rsidRPr="00C21262">
        <w:rPr>
          <w:rFonts w:ascii="Times New Roman" w:eastAsia="Times New Roman" w:hAnsi="Times New Roman" w:cs="Times New Roman"/>
          <w:sz w:val="24"/>
          <w:szCs w:val="24"/>
          <w:lang w:eastAsia="ru-RU"/>
        </w:rPr>
        <w:t xml:space="preserve"> продовжується вздовж русла річки. Друга гілка каналізації проходить вздовж дороги вулиці Космонавтів.</w:t>
      </w:r>
    </w:p>
    <w:p w:rsidR="00C21262" w:rsidRPr="00C21262" w:rsidRDefault="00C21262" w:rsidP="00C2126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21262">
        <w:rPr>
          <w:rFonts w:ascii="Times New Roman" w:eastAsia="Times New Roman" w:hAnsi="Times New Roman" w:cs="Times New Roman"/>
          <w:b/>
          <w:bCs/>
          <w:sz w:val="24"/>
          <w:szCs w:val="24"/>
          <w:lang w:eastAsia="ru-RU"/>
        </w:rPr>
        <w:t>Зливова каналізація</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По периметру парку існують 7 входів зливової каналізації:</w:t>
      </w:r>
    </w:p>
    <w:p w:rsidR="00C21262" w:rsidRPr="00C21262" w:rsidRDefault="00C21262" w:rsidP="00C2126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1-ий вхід – з вул. Ветеранів на заходній стороні, від буд. №13</w:t>
      </w:r>
    </w:p>
    <w:p w:rsidR="00C21262" w:rsidRPr="00C21262" w:rsidRDefault="00C21262" w:rsidP="00C2126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2-ий і 3-ій входи – з вул. Ветеранів на північній стороні, між територіями церкви та Луцької міської клінічної лікарні</w:t>
      </w:r>
    </w:p>
    <w:p w:rsidR="00C21262" w:rsidRPr="00C21262" w:rsidRDefault="00C21262" w:rsidP="00C2126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4-ий вхід – з території Луцької міської клінічної лікарні поблизу овочесховища</w:t>
      </w:r>
    </w:p>
    <w:p w:rsidR="00C21262" w:rsidRPr="00C21262" w:rsidRDefault="00C21262" w:rsidP="00C2126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5-ий вхід – з території Луцької міської клінічної лікарні поблизу приймального відділення</w:t>
      </w:r>
    </w:p>
    <w:p w:rsidR="00C21262" w:rsidRPr="00C21262" w:rsidRDefault="00C21262" w:rsidP="00C2126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6-ий і 7-ий входи – з пр. Відродження з обох боків від містка через р. Сапалаївка</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На сьогодні ведеться планування робіт по облаштуванню колекторів в місцях входу в парк.</w:t>
      </w:r>
    </w:p>
    <w:p w:rsidR="00C21262" w:rsidRPr="00C21262" w:rsidRDefault="00C21262" w:rsidP="00C2126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1262">
        <w:rPr>
          <w:rFonts w:ascii="Times New Roman" w:eastAsia="Times New Roman" w:hAnsi="Times New Roman" w:cs="Times New Roman"/>
          <w:b/>
          <w:bCs/>
          <w:sz w:val="36"/>
          <w:szCs w:val="36"/>
          <w:lang w:eastAsia="ru-RU"/>
        </w:rPr>
        <w:t>Існуюче функціональне зонування</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Транзитні шляхи</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Існуючі прохідні зони сьогодні є основною функціональною зоною парку. Частина доріжок залишилася після введення парку в експлуатацію, інша частина сформувалася під час користування місцевими жителями. Таким чином за рахунок основних прохідних шляхів було проаналізовано основні напрямки руху та доступність і зручність в користуванні.</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Зона пікніків</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Середня зона південної частини парку і пагорб-півострів між водоймою і територією лікарні активно використовується для забезпечення дозвілля населення. Дані території стають привабливими для відпочинку за рахунок атмосферного пейзажу, видових точок на територію, а також розсіяну систему природного затінення від дерев.</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Зона засмаги</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Для літнього відпочинку та приймання сонячних процедур населення використовує лівий берег річки. Він не дає зручного доступу до води, але забезпечує варіативну світло-тіньову карту території.</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lastRenderedPageBreak/>
        <w:t>Зона тренування собак</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Дресирування та вигулювання собак часто здійснюється на вершині правого берегу, де рельєф є більш пологим, присутні яроподібні вкраплення і різносортні насадження дерев.</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Зона риболовлі</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Переважно населення надає перевагу риболовлі в місцях поглибленого і розширеного русла. Найактивніше з такою метою використовується поглиблені і розширені ділянки русла біля містка в сторону Державного архіву та широке русло перед містком газової магістралі.</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Зона доступу до води</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Організованого доступу до води для населення зараз не передбачено. Доступ здійснюється в пологих місцях берегової лінії. Також діти активно використовують підпір схилу земляних мас перед містком в сторону Державного архіву для ігор з водою.</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Зона самовільних садово-городніх ділянок</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 xml:space="preserve">Території між будинками № 3, 7, 9 та руслом річки зайнята садово-городніми ділянками, зарослями чагарників та низькорослими фруктовими деревами. Ділянки самовільно </w:t>
      </w:r>
      <w:proofErr w:type="gramStart"/>
      <w:r w:rsidRPr="00C21262">
        <w:rPr>
          <w:rFonts w:ascii="Times New Roman" w:eastAsia="Times New Roman" w:hAnsi="Times New Roman" w:cs="Times New Roman"/>
          <w:sz w:val="24"/>
          <w:szCs w:val="24"/>
          <w:lang w:eastAsia="ru-RU"/>
        </w:rPr>
        <w:t>огороджені  підручними</w:t>
      </w:r>
      <w:proofErr w:type="gramEnd"/>
      <w:r w:rsidRPr="00C21262">
        <w:rPr>
          <w:rFonts w:ascii="Times New Roman" w:eastAsia="Times New Roman" w:hAnsi="Times New Roman" w:cs="Times New Roman"/>
          <w:sz w:val="24"/>
          <w:szCs w:val="24"/>
          <w:lang w:eastAsia="ru-RU"/>
        </w:rPr>
        <w:t xml:space="preserve"> матеріалами і часто недоглянуті, що викликає подальше наповнення цієї території сміттям та небажаною діяльністю. Відповідно значних транзитних стежок і активного використання території не спостерігається.</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Зона затверджених ділянок вигулу собак</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 xml:space="preserve">Сьогодні прийнято дві ділянки для вигулу та дресирування собак, хоча на ділянці це ніяк не вказано. Перша знаходиться в середині парку на лівому березі в вузькій прохідній зоні, друга – на вході в парк від будинку №1 на вул. Ветеранів. Це створює певні </w:t>
      </w:r>
      <w:proofErr w:type="gramStart"/>
      <w:r w:rsidRPr="00C21262">
        <w:rPr>
          <w:rFonts w:ascii="Times New Roman" w:eastAsia="Times New Roman" w:hAnsi="Times New Roman" w:cs="Times New Roman"/>
          <w:sz w:val="24"/>
          <w:szCs w:val="24"/>
          <w:lang w:eastAsia="ru-RU"/>
        </w:rPr>
        <w:t>незручності  на</w:t>
      </w:r>
      <w:proofErr w:type="gramEnd"/>
      <w:r w:rsidRPr="00C21262">
        <w:rPr>
          <w:rFonts w:ascii="Times New Roman" w:eastAsia="Times New Roman" w:hAnsi="Times New Roman" w:cs="Times New Roman"/>
          <w:sz w:val="24"/>
          <w:szCs w:val="24"/>
          <w:lang w:eastAsia="ru-RU"/>
        </w:rPr>
        <w:t xml:space="preserve"> собаководів зі сторони Державного архіву та пр. Відродження, адже доступність до майданчика досить далека, що може породжувати тренування в незатверджених місцях.</w:t>
      </w:r>
    </w:p>
    <w:p w:rsidR="00C21262" w:rsidRPr="00C21262" w:rsidRDefault="00C21262" w:rsidP="00C2126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1262">
        <w:rPr>
          <w:rFonts w:ascii="Times New Roman" w:eastAsia="Times New Roman" w:hAnsi="Times New Roman" w:cs="Times New Roman"/>
          <w:b/>
          <w:bCs/>
          <w:sz w:val="36"/>
          <w:szCs w:val="36"/>
          <w:lang w:eastAsia="ru-RU"/>
        </w:rPr>
        <w:t>Функціональне зонування</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Пішохідні шляхи</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Мережа нових пішохідних шляхів проектується для забезпечення зручності та інклюзивності простору парку. На базі аналітичних даних по існуючих транзитних шляхах, пріоритетних векторах руху населення, рельєфу і вуличних мережах запропоновано нову систему доріжок загальною довжиною близько 10,5 км.</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Доріжки проектуються в мощенні з гранітно-набивного покриття сірого кольору з чіткою межею до ґрунтового покриття. Дане покриття є традиційно-прийнятим в світовому парковому господарстві. Від інших покриттів гранітно-набивне значно відрізняється практичністю в експлуатації та ремонті та легкістю в прибиранні.  До того ж дане покриття є оптимальним для ходьби, бігу та їзди на велосипеді. Традиційна бетонна бруківка в перспективі експлуатації парку є дорогою та недоцільною. Її ціна є порівняно великою, вона швидко руйнується, є дорогою в реставрації і не призначена для пробіжок та велодоріжок.</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Пішохідні шляхи проектуються з мінімальною шириною 2,0м, основні з них проектуються шириною 2,4м та 3,0м, залежно від насиченості руху.</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lastRenderedPageBreak/>
        <w:t>Мережа паркових доріжок спроектована з утворенням прогулянкових/бігових кіл з чітким кілометражем – 0,5км, 0,7км, 1,0км, 1,5км, 2,0м, 3,0км. Кожне коло маркуватиметься вздовж доріжок, по яких буде проходити. Це дозволить користувачам парку з легкістю і без додаткових пристроїв вимірювати кілометраж ходового і бігового шляхів, а також слугувати додатковим орієнтиром в парку.</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Велосипедні шляхи</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Згідно з концепцією розвитку парку запроектовано близько 3,5 км велодоріжок шириною 2,0м, виконаних з гранітно-набивного покриття червоного кольору з чіткою межею до ґрунтового покриття. Їх основними функціями є транзитний шлях в контексті міських зв’язків, а також прогулянкова по основних видових і функціональних точках парку.</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Дитячий відпочинок</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На території всього парку згідно концепції планується розмістити декілька розосереджених майданчиків дитячого відпочинку. Основними критеріями вибору території і їх зонування є вікове спрямування ігор, віддаленість від автомобільних шляхів і рівнодоступність з усіх пріоритетних напрямків.</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 xml:space="preserve">Пріоритетами дитячого відпочинку в оновленому парку мають бути безпека та інтерес до створеного ігрового простору. Дитячі майданчики повинні не дисонувати з природною картиною парку як кольором, так і композицією розміщення, а також забезпечувати фізичний, вербальний, аналітичний і логічний розвиток дітей. Такий результат повинен реалізуватися з максимальною природністю тектоніки, збереженням перспективних виглядів парку та </w:t>
      </w:r>
      <w:proofErr w:type="gramStart"/>
      <w:r w:rsidRPr="00C21262">
        <w:rPr>
          <w:rFonts w:ascii="Times New Roman" w:eastAsia="Times New Roman" w:hAnsi="Times New Roman" w:cs="Times New Roman"/>
          <w:sz w:val="24"/>
          <w:szCs w:val="24"/>
          <w:lang w:eastAsia="ru-RU"/>
        </w:rPr>
        <w:t>забезпеченням  спеціалізованим</w:t>
      </w:r>
      <w:proofErr w:type="gramEnd"/>
      <w:r w:rsidRPr="00C21262">
        <w:rPr>
          <w:rFonts w:ascii="Times New Roman" w:eastAsia="Times New Roman" w:hAnsi="Times New Roman" w:cs="Times New Roman"/>
          <w:sz w:val="24"/>
          <w:szCs w:val="24"/>
          <w:lang w:eastAsia="ru-RU"/>
        </w:rPr>
        <w:t xml:space="preserve"> покриттям в необхідних місцях.</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Екстрім-парк</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Спеціально відділена та облаштована територія для занять екстримальними видами спорту: катання на BMX та Trial велосипедах, роликах, самокатах, скейтбординг та інших. Зона Екстрім-парку повинна акумулювати в собі вільний розвиток і напрацювання майстерності, формувати соціум зацікавленого населення і реалізовувати професійні зустрічі та події. Вона включатиме в себе декілька басейнів для катання виконаних з бетону, Trial-зону, рампи і перила різного формату, а також відкритий рівний майданчик для відточення навиків на прямих ділянках.</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Мотузковий парк</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Спортивний мотузковий парк і скелодром будуть розташовуватися на пагорбі півострова. Дана територія добре підходить для виконання подібних конструкцій і за допомогою рельєфу зробить простір ще цікавішим для подолання. Цьому також сприяють існуючі високі здорові дерева, переважно незадіяний простір центру пагорба і прохідний шлях по периметру півострова.</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Вуличний спорт</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Зона вуличного спорту (кросфіту) передбачає собою майданчик зі спеціалізованим обладнанням та спецпокриттям. Детальна розробка повинна включати експертів з занять спортом і побудови тіла. Майданчик повинен бути придатним для проведення вуличних показових виступів та змагань.</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Променад</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lastRenderedPageBreak/>
        <w:t>Центральна прогулянкова прохідна частина з дотичними територіями різної функції. Вона акцентує на себе увагу як головна прохідна артерія парку, тим самим нанизуючи на себе ряд допоміжних функцій. Основною допоміжною зоною повинні стати Парковий форум, з рельєфним амфітеатром, майданчиком для імпровізованої сцени для місцевих заходів, а також вільна озеленена територія для проведення вуличних ярмарок традиційного і сучасного ремесла, конференцій та лекцій на свіжому повітрі.</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Майданчики вигулу собак</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Встановлення сучасних огороджених майданчиків для вигулу і тренування собак мають на меті перш за все безпеку паркової території загалом та зручність для собаководів. Тобто під час тренування собаки будуть знаходитися на закритій території і не зможуть навмисно чи випадково потурбувати людей, які мають намір провести дозвілля в парку інакше.</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На території парку передбачено 3 майданчики для вигулу. Кожен з них знаходиться поблизу основних векторів входу в парк, що забезпечить зручність користування ними.</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Кожен майданчик повинен бути облаштованим різними типами перешкод, різним покриттям, місцями для відпочинку та спеціалізованими смітниками для прибирання. Це дасть можливість і поштовх до формування більшої кількості соціальних зв’язків, що веде за собою створення кінологічних клубів та взаємовідповідальність за доглядом території.</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Вся територія парку як і окремо взяті майданчики вигулу собак повинні бути забезпечені спеціалізованими смітниками (еко-куб) для сортування сміття і інформаційними стендами з лотком для одноразових пакетів.</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Ділянка паркового дозвілля</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Сьогодні частина територій постійно використовується як зона смаження шашликів та пікніків, про що свідчать непоодинокі місця вогнищ на території парку та зафіксованих фактів муніципальною поліцією.</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Для забезпечення безпеки територій і населення від загорання територій концепція передбачає облаштування ділянки в північній частині парку для відпочинку на природі. Для цього відновлені землі під існуючими садово-городніми територіями використаються для облаштування терасованих місць для відпочинку та спеціально виділених місць з окремою спеціалізацією.</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Пляж</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Пляжна територія передбачається на правому березі річки перед містком газової магістралі на південному схилі. Це дозволить відпочиваючим отримувати достатню кількість сонячних ван в спеціально виділеному місці.</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Для покриття зони пляжу обрано два матеріали:</w:t>
      </w:r>
    </w:p>
    <w:p w:rsidR="00C21262" w:rsidRPr="00C21262" w:rsidRDefault="00C21262" w:rsidP="00C2126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Декінг – дерев’яний або композитний матеріал організації покриття, який забезпечує чистоту, зручність експлуатації, надійне щеплення та візуальну красу.</w:t>
      </w:r>
    </w:p>
    <w:p w:rsidR="00C21262" w:rsidRPr="00C21262" w:rsidRDefault="00C21262" w:rsidP="00C2126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Сенсорний пляж – частина пляжної зони, виділена для ходьби босоніж по заокруглених і надійно закріплених камінцях різної величини. Є корисним засобом для масажу та профілактики організму.</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Місця паркового дозвілля</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lastRenderedPageBreak/>
        <w:t>Рівномірно по всій території парку концепція передбачає організацію додаткових місць для проведення дозвілля різного характеру. Серед них передбачені столи для настільних ігор, відпочинкові зони, зони ігор без майданчика та інші.</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Амфітеатр</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На виразних спусках до води на лівому березі і півострові передбачається облаштування терасованого покриття з бетону для формування і підкреслення природного амфітеатру. В ньому роль сцени виконує плесо води та вигляд на західну сторону міста.</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Громадські вбиральні</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Концепція передбачає встановлення двох модулів громадської вбиральні, які дають рівномірний доступ до них з будь-якої точки парку. Вбиральні знаходяться в центральних зонах північної (поблизу пляжу і зони пікніків) і південної частин парку.</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Кожен модуль передбачає споруду під єдиним дахом з двостороннім входом і містить в собі чоловічу, жіночу вбиральню, вбиральню для людей з обмеженими можливостями, місця для годування та переповивання дітей, перевдягальню та службове приміщення.</w:t>
      </w:r>
    </w:p>
    <w:p w:rsidR="00C21262" w:rsidRPr="00C21262" w:rsidRDefault="00C21262" w:rsidP="00C21262">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C21262">
        <w:rPr>
          <w:rFonts w:ascii="Times New Roman" w:eastAsia="Times New Roman" w:hAnsi="Times New Roman" w:cs="Times New Roman"/>
          <w:b/>
          <w:bCs/>
          <w:sz w:val="36"/>
          <w:szCs w:val="36"/>
          <w:lang w:eastAsia="ru-RU"/>
        </w:rPr>
        <w:t>Розвиток і стратегія</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Позиціонування в соціумі</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 xml:space="preserve">Головним завданням реконструкції парку є не стільки облагородження території, скільки зміна відношення населення до ситуації в парку і </w:t>
      </w:r>
      <w:proofErr w:type="gramStart"/>
      <w:r w:rsidRPr="00C21262">
        <w:rPr>
          <w:rFonts w:ascii="Times New Roman" w:eastAsia="Times New Roman" w:hAnsi="Times New Roman" w:cs="Times New Roman"/>
          <w:sz w:val="24"/>
          <w:szCs w:val="24"/>
          <w:lang w:eastAsia="ru-RU"/>
        </w:rPr>
        <w:t>до парку</w:t>
      </w:r>
      <w:proofErr w:type="gramEnd"/>
      <w:r w:rsidRPr="00C21262">
        <w:rPr>
          <w:rFonts w:ascii="Times New Roman" w:eastAsia="Times New Roman" w:hAnsi="Times New Roman" w:cs="Times New Roman"/>
          <w:sz w:val="24"/>
          <w:szCs w:val="24"/>
          <w:lang w:eastAsia="ru-RU"/>
        </w:rPr>
        <w:t xml:space="preserve"> загалом. Сьогодні створився соціальний образ парку імені 900-річчя Луцька як радянського парку з несанкціонованими вогнищами, алкоголізмом та темнотою і небезпекою в нічний час.</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 xml:space="preserve">Новий парк повинен показувати своїм виглядом і функціями сучасність і орієнтованість на всі групи користувачів. Концепцією реконструкції передбачається зміна відношення лучан </w:t>
      </w:r>
      <w:proofErr w:type="gramStart"/>
      <w:r w:rsidRPr="00C21262">
        <w:rPr>
          <w:rFonts w:ascii="Times New Roman" w:eastAsia="Times New Roman" w:hAnsi="Times New Roman" w:cs="Times New Roman"/>
          <w:sz w:val="24"/>
          <w:szCs w:val="24"/>
          <w:lang w:eastAsia="ru-RU"/>
        </w:rPr>
        <w:t>до парку</w:t>
      </w:r>
      <w:proofErr w:type="gramEnd"/>
      <w:r w:rsidRPr="00C21262">
        <w:rPr>
          <w:rFonts w:ascii="Times New Roman" w:eastAsia="Times New Roman" w:hAnsi="Times New Roman" w:cs="Times New Roman"/>
          <w:sz w:val="24"/>
          <w:szCs w:val="24"/>
          <w:lang w:eastAsia="ru-RU"/>
        </w:rPr>
        <w:t>. Після завершення він повинен стати не просто територією з деревами, а парком можливостей. Для демонстрації безкінечності можливостей парку було використано число 900 з офіційної назви «Парк культури відпочинку імені 900-річчя Луцька». «Парк 900» як проста і зрозуміла структура показує звернення до історії заснування парку, числом 900 демонстрацію великої кількості функцій і можливостей в парку. Тим самим спрощується побутова вимова людей про парк, замість сучасних «парк 900-річчя», «900-річчя Луцька».</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Повноцінне повернення життя на всю територію парку веде за собою контрольованість порядку самими користувачами парку, а також створення нових соціальних зв’язків між людьми, проведення зустрічей і заходів на відкритому повітрі, а також формування культу здорового способу життя та відпочинку на свідому повітрі в жителів міста.</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Освітлення</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 xml:space="preserve">Ціллю проекту освітлення парку не є тільки точкове виділення придоріжкових елементів благоустрою. Основний напрям формування карти освітлення території це забезпечення нового сприйняття парку в нічний час за рахунок архітектури світлових інсталяцій. Користувач парку повинен </w:t>
      </w:r>
      <w:proofErr w:type="gramStart"/>
      <w:r w:rsidRPr="00C21262">
        <w:rPr>
          <w:rFonts w:ascii="Times New Roman" w:eastAsia="Times New Roman" w:hAnsi="Times New Roman" w:cs="Times New Roman"/>
          <w:sz w:val="24"/>
          <w:szCs w:val="24"/>
          <w:lang w:eastAsia="ru-RU"/>
        </w:rPr>
        <w:t>по новому</w:t>
      </w:r>
      <w:proofErr w:type="gramEnd"/>
      <w:r w:rsidRPr="00C21262">
        <w:rPr>
          <w:rFonts w:ascii="Times New Roman" w:eastAsia="Times New Roman" w:hAnsi="Times New Roman" w:cs="Times New Roman"/>
          <w:sz w:val="24"/>
          <w:szCs w:val="24"/>
          <w:lang w:eastAsia="ru-RU"/>
        </w:rPr>
        <w:t xml:space="preserve"> відкрити парк для себе, побачити різне світлове зонування, світлові акценти території і загалом інакшу атмосферу парку ніж в світлу пору доби.</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lastRenderedPageBreak/>
        <w:t>Виконуючи свою пряму функцію, освітлення парку не повинно звертати увагу на джерело світла. Технологія світлових променів повинна акцентувати і підкреслювати ситуацію та об’єкти парку і давати нове життя парку вночі.</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Інклюзивність простору</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 xml:space="preserve">Логіка проектування усіх просторів парку базується на загальнодоступності кожної зони та об’єкту інфраструктури парку. Загальнодоступність як ціль включає в себе можливість безперешкодного </w:t>
      </w:r>
      <w:proofErr w:type="gramStart"/>
      <w:r w:rsidRPr="00C21262">
        <w:rPr>
          <w:rFonts w:ascii="Times New Roman" w:eastAsia="Times New Roman" w:hAnsi="Times New Roman" w:cs="Times New Roman"/>
          <w:sz w:val="24"/>
          <w:szCs w:val="24"/>
          <w:lang w:eastAsia="ru-RU"/>
        </w:rPr>
        <w:t>доступу  для</w:t>
      </w:r>
      <w:proofErr w:type="gramEnd"/>
      <w:r w:rsidRPr="00C21262">
        <w:rPr>
          <w:rFonts w:ascii="Times New Roman" w:eastAsia="Times New Roman" w:hAnsi="Times New Roman" w:cs="Times New Roman"/>
          <w:sz w:val="24"/>
          <w:szCs w:val="24"/>
          <w:lang w:eastAsia="ru-RU"/>
        </w:rPr>
        <w:t xml:space="preserve"> осіб будь якого віку та фізичних можливостей. Інклюзивність простору парку передбачає доступність людини з легкістю потрапити всюди, де дозволено, тобто робить прохідні шляхи зручними, зрозумілими та легкими в користуванні для всіх груп населення. До маломобільних груп відносяться не тільки люди на візках, але й батьки з дитячими візочками, тимчасово маломобільні особи через перелом, літні люди, а також маленькі діти.</w:t>
      </w:r>
    </w:p>
    <w:p w:rsidR="00C21262" w:rsidRPr="00C21262" w:rsidRDefault="00C21262" w:rsidP="00C2126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21262">
        <w:rPr>
          <w:rFonts w:ascii="Times New Roman" w:eastAsia="Times New Roman" w:hAnsi="Times New Roman" w:cs="Times New Roman"/>
          <w:b/>
          <w:bCs/>
          <w:sz w:val="27"/>
          <w:szCs w:val="27"/>
          <w:lang w:eastAsia="ru-RU"/>
        </w:rPr>
        <w:t>Дендрологія</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У зв’язку з загальним негативним станом насаджень, необхідно здійснити санітарну рубку насаджень, а також формувальну, санітарну та омолоджувальну обрізку окремих дерев. Необхідно провести боротьбу з шкідниками та хворобами зелених насаджень, видалити вегетативні паростки, що заважають розвитку основних видів насаджень, збагатити ярусність парку низькорослими деревами та кущовими видами для забезпечення захисту від вітру та створення комфортних умов для перебування відвідувачів.</w:t>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Для забезпечення сезонної динаміки, а особливо взимку, доцільно ширше використовувати хвойні види, а особливо по контуру масивів. Для декоративності парку восени доцільно збільшити асортимент завдяки декоративним видам листяних дерев та кущів з темним, червоним та пурпурним кольорами, що доповнить загальну просторову композицію парку.</w:t>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sidRPr="00C21262">
        <w:rPr>
          <w:rFonts w:ascii="Times New Roman" w:eastAsia="Times New Roman" w:hAnsi="Times New Roman" w:cs="Times New Roman"/>
          <w:sz w:val="24"/>
          <w:szCs w:val="24"/>
          <w:lang w:eastAsia="ru-RU"/>
        </w:rPr>
        <w:t>Керуючись даними проектних досліджень та аналізу парку, пропонується такий асортимент деревних і кущових видів: Клен червоний (Acer sacharinum L.), Скумпія шкіряста (Cotinus coggygria Scop.), Яблуня Недзвецького (Malus Niedzwetzkyana Dieck.), Бузина чорна (Sambucus nigra) ,Бук лісовий (Fagus sylvatica L.), Магнолія Суланджа (Magnolia X soulangeana), Чубушник вінцевий (Philadelphus coronarius L.) Магнолія Кобус (Magnolia kobus), Магнолія зірчаста (Magnolia stellata), Ялина колюча (Picea pungens Engelm.), Ялина європейська (Рісеа abies), Сосна звичайна (Pinus sylvestris L.), Туя західна (Thuja occidentalis), Спірея Бумальдта (Spiraea bumalda).</w:t>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extent cx="6120765" cy="4327572"/>
            <wp:effectExtent l="0" t="0" r="0" b="0"/>
            <wp:docPr id="1" name="Рисунок 1" descr="http://park900.lutsk.ua/wp-content/uploads/2018/02/Park900-Fin-01-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ark900.lutsk.ua/wp-content/uploads/2018/02/Park900-Fin-01-1024x72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drawing>
          <wp:inline distT="0" distB="0" distL="0" distR="0">
            <wp:extent cx="6120765" cy="4328706"/>
            <wp:effectExtent l="0" t="0" r="0" b="0"/>
            <wp:docPr id="2" name="Рисунок 2" descr="http://park900.lutsk.ua/wp-content/uploads/2018/02/Park900-Fi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ark900.lutsk.ua/wp-content/uploads/2018/02/Park900-Fin-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765" cy="4328706"/>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extent cx="6120765" cy="4327572"/>
            <wp:effectExtent l="0" t="0" r="0" b="0"/>
            <wp:docPr id="3" name="Рисунок 3" descr="http://park900.lutsk.ua/wp-content/uploads/2018/02/Park900-Fin-03-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ark900.lutsk.ua/wp-content/uploads/2018/02/Park900-Fin-03-1024x72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drawing>
          <wp:inline distT="0" distB="0" distL="0" distR="0">
            <wp:extent cx="6120765" cy="4327572"/>
            <wp:effectExtent l="0" t="0" r="0" b="0"/>
            <wp:docPr id="4" name="Рисунок 4" descr="http://park900.lutsk.ua/wp-content/uploads/2018/02/Park900-Fin-04-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ark900.lutsk.ua/wp-content/uploads/2018/02/Park900-Fin-04-1024x72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extent cx="6120765" cy="4327572"/>
            <wp:effectExtent l="0" t="0" r="0" b="0"/>
            <wp:docPr id="5" name="Рисунок 5" descr="http://park900.lutsk.ua/wp-content/uploads/2018/02/Park900-Fin-05-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ark900.lutsk.ua/wp-content/uploads/2018/02/Park900-Fin-05-1024x72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drawing>
          <wp:inline distT="0" distB="0" distL="0" distR="0">
            <wp:extent cx="6120765" cy="4327572"/>
            <wp:effectExtent l="0" t="0" r="0" b="0"/>
            <wp:docPr id="6" name="Рисунок 6" descr="http://park900.lutsk.ua/wp-content/uploads/2018/02/Park900-Fin-06-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ark900.lutsk.ua/wp-content/uploads/2018/02/Park900-Fin-06-1024x72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extent cx="6120765" cy="4327572"/>
            <wp:effectExtent l="0" t="0" r="0" b="0"/>
            <wp:docPr id="7" name="Рисунок 7" descr="http://park900.lutsk.ua/wp-content/uploads/2018/02/Park900-Fin-07-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ark900.lutsk.ua/wp-content/uploads/2018/02/Park900-Fin-07-1024x72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drawing>
          <wp:inline distT="0" distB="0" distL="0" distR="0">
            <wp:extent cx="6120765" cy="4327572"/>
            <wp:effectExtent l="0" t="0" r="0" b="0"/>
            <wp:docPr id="8" name="Рисунок 8" descr="http://park900.lutsk.ua/wp-content/uploads/2018/02/Park900-Fin-08-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ark900.lutsk.ua/wp-content/uploads/2018/02/Park900-Fin-08-1024x72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extent cx="6120765" cy="4327572"/>
            <wp:effectExtent l="0" t="0" r="0" b="0"/>
            <wp:docPr id="9" name="Рисунок 9" descr="http://park900.lutsk.ua/wp-content/uploads/2018/02/Park900-Fin-09-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ark900.lutsk.ua/wp-content/uploads/2018/02/Park900-Fin-09-1024x72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drawing>
          <wp:inline distT="0" distB="0" distL="0" distR="0">
            <wp:extent cx="6120765" cy="4327572"/>
            <wp:effectExtent l="0" t="0" r="0" b="0"/>
            <wp:docPr id="10" name="Рисунок 10" descr="http://park900.lutsk.ua/wp-content/uploads/2018/02/Park900-Fin-10-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ark900.lutsk.ua/wp-content/uploads/2018/02/Park900-Fin-10-1024x72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extent cx="6120765" cy="4327572"/>
            <wp:effectExtent l="0" t="0" r="0" b="0"/>
            <wp:docPr id="11" name="Рисунок 11" descr="http://park900.lutsk.ua/wp-content/uploads/2018/02/Park900-Fin-11-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ark900.lutsk.ua/wp-content/uploads/2018/02/Park900-Fin-11-1024x72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drawing>
          <wp:inline distT="0" distB="0" distL="0" distR="0">
            <wp:extent cx="6120765" cy="4327572"/>
            <wp:effectExtent l="0" t="0" r="0" b="0"/>
            <wp:docPr id="12" name="Рисунок 12" descr="http://park900.lutsk.ua/wp-content/uploads/2018/02/Park900-Fin-12-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ark900.lutsk.ua/wp-content/uploads/2018/02/Park900-Fin-12-1024x72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extent cx="6120765" cy="4327572"/>
            <wp:effectExtent l="0" t="0" r="0" b="0"/>
            <wp:docPr id="13" name="Рисунок 13" descr="http://park900.lutsk.ua/wp-content/uploads/2018/02/Park900-Fin-13-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ark900.lutsk.ua/wp-content/uploads/2018/02/Park900-Fin-13-1024x72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drawing>
          <wp:inline distT="0" distB="0" distL="0" distR="0">
            <wp:extent cx="6120765" cy="4327572"/>
            <wp:effectExtent l="0" t="0" r="0" b="0"/>
            <wp:docPr id="14" name="Рисунок 14" descr="http://park900.lutsk.ua/wp-content/uploads/2018/02/Park900-Fin-14-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park900.lutsk.ua/wp-content/uploads/2018/02/Park900-Fin-14-1024x72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extent cx="6120765" cy="4327572"/>
            <wp:effectExtent l="0" t="0" r="0" b="0"/>
            <wp:docPr id="15" name="Рисунок 15" descr="http://park900.lutsk.ua/wp-content/uploads/2018/02/Park900-Fin-15-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park900.lutsk.ua/wp-content/uploads/2018/02/Park900-Fin-15-1024x72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drawing>
          <wp:inline distT="0" distB="0" distL="0" distR="0">
            <wp:extent cx="6120765" cy="4327572"/>
            <wp:effectExtent l="0" t="0" r="0" b="0"/>
            <wp:docPr id="16" name="Рисунок 16" descr="http://park900.lutsk.ua/wp-content/uploads/2018/02/Park900-Fin-16-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park900.lutsk.ua/wp-content/uploads/2018/02/Park900-Fin-16-1024x72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extent cx="6120765" cy="4327572"/>
            <wp:effectExtent l="0" t="0" r="0" b="0"/>
            <wp:docPr id="17" name="Рисунок 17" descr="http://park900.lutsk.ua/wp-content/uploads/2018/02/Park900-Fin-17-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park900.lutsk.ua/wp-content/uploads/2018/02/Park900-Fin-17-1024x72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drawing>
          <wp:inline distT="0" distB="0" distL="0" distR="0">
            <wp:extent cx="6120765" cy="4327572"/>
            <wp:effectExtent l="0" t="0" r="0" b="0"/>
            <wp:docPr id="18" name="Рисунок 18" descr="http://park900.lutsk.ua/wp-content/uploads/2018/02/Park900-Fin-18-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park900.lutsk.ua/wp-content/uploads/2018/02/Park900-Fin-18-1024x72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extent cx="6120765" cy="4327572"/>
            <wp:effectExtent l="0" t="0" r="0" b="0"/>
            <wp:docPr id="19" name="Рисунок 19" descr="http://park900.lutsk.ua/wp-content/uploads/2018/02/Park900-Fin-19-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park900.lutsk.ua/wp-content/uploads/2018/02/Park900-Fin-19-1024x72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drawing>
          <wp:inline distT="0" distB="0" distL="0" distR="0">
            <wp:extent cx="6120765" cy="4327572"/>
            <wp:effectExtent l="0" t="0" r="0" b="0"/>
            <wp:docPr id="20" name="Рисунок 20" descr="http://park900.lutsk.ua/wp-content/uploads/2018/02/Park900-Fin-24-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park900.lutsk.ua/wp-content/uploads/2018/02/Park900-Fin-24-1024x724.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extent cx="6120765" cy="4328706"/>
            <wp:effectExtent l="0" t="0" r="0" b="0"/>
            <wp:docPr id="21" name="Рисунок 21" descr="http://park900.lutsk.ua/wp-content/uploads/2018/02/Park900-Fin-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park900.lutsk.ua/wp-content/uploads/2018/02/Park900-Fin-2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0765" cy="4328706"/>
                    </a:xfrm>
                    <a:prstGeom prst="rect">
                      <a:avLst/>
                    </a:prstGeom>
                    <a:noFill/>
                    <a:ln>
                      <a:noFill/>
                    </a:ln>
                  </pic:spPr>
                </pic:pic>
              </a:graphicData>
            </a:graphic>
          </wp:inline>
        </w:drawing>
      </w:r>
    </w:p>
    <w:p w:rsidR="00C21262" w:rsidRPr="00C21262" w:rsidRDefault="00C21262" w:rsidP="00C2126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extent cx="6120765" cy="4327572"/>
            <wp:effectExtent l="0" t="0" r="0" b="0"/>
            <wp:docPr id="22" name="Рисунок 22" descr="http://park900.lutsk.ua/wp-content/uploads/2018/02/Park900-Fin-22-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park900.lutsk.ua/wp-content/uploads/2018/02/Park900-Fin-22-1024x72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r w:rsidRPr="00C21262">
        <w:t xml:space="preserve"> </w:t>
      </w:r>
      <w:r>
        <w:rPr>
          <w:noProof/>
          <w:lang w:eastAsia="ru-RU"/>
        </w:rPr>
        <w:drawing>
          <wp:inline distT="0" distB="0" distL="0" distR="0">
            <wp:extent cx="6120765" cy="4327572"/>
            <wp:effectExtent l="0" t="0" r="0" b="0"/>
            <wp:docPr id="24" name="Рисунок 24" descr="http://park900.lutsk.ua/wp-content/uploads/2018/02/Park900-Fin-20-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park900.lutsk.ua/wp-content/uploads/2018/02/Park900-Fin-20-1024x724.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r>
        <w:rPr>
          <w:noProof/>
          <w:lang w:eastAsia="ru-RU"/>
        </w:rPr>
        <w:lastRenderedPageBreak/>
        <w:drawing>
          <wp:inline distT="0" distB="0" distL="0" distR="0">
            <wp:extent cx="6120765" cy="4327572"/>
            <wp:effectExtent l="0" t="0" r="0" b="0"/>
            <wp:docPr id="23" name="Рисунок 23" descr="http://park900.lutsk.ua/wp-content/uploads/2018/02/Park900-Fin-21-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park900.lutsk.ua/wp-content/uploads/2018/02/Park900-Fin-21-1024x72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765" cy="4327572"/>
                    </a:xfrm>
                    <a:prstGeom prst="rect">
                      <a:avLst/>
                    </a:prstGeom>
                    <a:noFill/>
                    <a:ln>
                      <a:noFill/>
                    </a:ln>
                  </pic:spPr>
                </pic:pic>
              </a:graphicData>
            </a:graphic>
          </wp:inline>
        </w:drawing>
      </w:r>
    </w:p>
    <w:p w:rsidR="00F06632" w:rsidRPr="00C21262" w:rsidRDefault="00F06632" w:rsidP="00C21262"/>
    <w:sectPr w:rsidR="00F06632" w:rsidRPr="00C2126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D26D9"/>
    <w:multiLevelType w:val="multilevel"/>
    <w:tmpl w:val="203AA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FB0A76"/>
    <w:multiLevelType w:val="multilevel"/>
    <w:tmpl w:val="1E0C1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C31E97"/>
    <w:multiLevelType w:val="multilevel"/>
    <w:tmpl w:val="981E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262"/>
    <w:rsid w:val="00502FF2"/>
    <w:rsid w:val="00C21262"/>
    <w:rsid w:val="00F06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A8D32"/>
  <w15:chartTrackingRefBased/>
  <w15:docId w15:val="{E2531589-83CE-4FE1-B0CF-1B4B50144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2126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2126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2126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2126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2126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21262"/>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C212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212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276551">
      <w:bodyDiv w:val="1"/>
      <w:marLeft w:val="0"/>
      <w:marRight w:val="0"/>
      <w:marTop w:val="0"/>
      <w:marBottom w:val="0"/>
      <w:divBdr>
        <w:top w:val="none" w:sz="0" w:space="0" w:color="auto"/>
        <w:left w:val="none" w:sz="0" w:space="0" w:color="auto"/>
        <w:bottom w:val="none" w:sz="0" w:space="0" w:color="auto"/>
        <w:right w:val="none" w:sz="0" w:space="0" w:color="auto"/>
      </w:divBdr>
    </w:div>
    <w:div w:id="93470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k900.lutsk.ua/" TargetMode="Externa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hyperlink" Target="http://park900.lutsk.ua/"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hyperlink" Target="http://park900.lutsk.ua/" TargetMode="Externa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image" Target="media/image1.png"/><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23</Pages>
  <Words>3138</Words>
  <Characters>17887</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Маряна</dc:creator>
  <cp:keywords/>
  <dc:description/>
  <cp:lastModifiedBy>Маряна</cp:lastModifiedBy>
  <cp:revision>1</cp:revision>
  <dcterms:created xsi:type="dcterms:W3CDTF">2018-04-26T12:45:00Z</dcterms:created>
  <dcterms:modified xsi:type="dcterms:W3CDTF">2018-04-26T12:59:00Z</dcterms:modified>
</cp:coreProperties>
</file>