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LOnormal"/>
        <w:widowControl/>
        <w:numPr>
          <w:ilvl w:val="0"/>
          <w:numId w:val="2"/>
        </w:numPr>
        <w:suppressAutoHyphens w:val="true"/>
        <w:spacing w:before="0" w:after="0"/>
        <w:ind w:left="0" w:right="0" w:hanging="0"/>
        <w:contextualSpacing/>
        <w:jc w:val="center"/>
        <w:rPr/>
      </w:pPr>
      <w:r>
        <w:rPr>
          <w:sz w:val="28"/>
          <w:szCs w:val="28"/>
        </w:rPr>
        <w:t xml:space="preserve">Тристоронній договір </w:t>
      </w:r>
      <w:r>
        <w:rPr>
          <w:sz w:val="28"/>
          <w:szCs w:val="28"/>
          <w:lang w:val="uk-UA"/>
        </w:rPr>
        <w:t>№ ___</w:t>
      </w:r>
    </w:p>
    <w:p>
      <w:pPr>
        <w:pStyle w:val="LOnormal"/>
        <w:widowControl/>
        <w:numPr>
          <w:ilvl w:val="0"/>
          <w:numId w:val="2"/>
        </w:numPr>
        <w:suppressAutoHyphens w:val="true"/>
        <w:spacing w:before="0" w:after="0"/>
        <w:ind w:left="0" w:right="0" w:hanging="0"/>
        <w:contextualSpacing/>
        <w:jc w:val="center"/>
        <w:rPr/>
      </w:pPr>
      <w:r>
        <w:rPr>
          <w:sz w:val="28"/>
          <w:szCs w:val="28"/>
        </w:rPr>
        <w:t>про організацію та обслуговування електронних систем</w:t>
      </w:r>
    </w:p>
    <w:p>
      <w:pPr>
        <w:pStyle w:val="LOnormal"/>
        <w:widowControl/>
        <w:numPr>
          <w:ilvl w:val="0"/>
          <w:numId w:val="2"/>
        </w:numPr>
        <w:suppressAutoHyphens w:val="true"/>
        <w:spacing w:before="0" w:after="0"/>
        <w:ind w:left="0" w:right="0" w:hanging="0"/>
        <w:contextualSpacing/>
        <w:jc w:val="center"/>
        <w:rPr/>
      </w:pPr>
      <w:r>
        <w:rPr>
          <w:sz w:val="28"/>
          <w:szCs w:val="28"/>
        </w:rPr>
        <w:t xml:space="preserve">в громадському транспорті </w:t>
      </w:r>
      <w:r>
        <w:rPr>
          <w:rFonts w:eastAsia="Times New Roman" w:cs="Times New Roman"/>
          <w:color w:val="000000"/>
          <w:kern w:val="2"/>
          <w:sz w:val="28"/>
          <w:szCs w:val="28"/>
          <w:lang w:val="uk-UA" w:eastAsia="zh-CN" w:bidi="ar-SA"/>
        </w:rPr>
        <w:t>Луцької міської  територіальної громади на приміських автобусних маршрутах</w:t>
      </w:r>
    </w:p>
    <w:p>
      <w:pPr>
        <w:pStyle w:val="LOnormal"/>
        <w:widowControl/>
        <w:numPr>
          <w:ilvl w:val="0"/>
          <w:numId w:val="2"/>
        </w:numPr>
        <w:spacing w:before="0" w:after="0"/>
        <w:ind w:left="0" w:right="0" w:firstLine="709"/>
        <w:contextualSpacing/>
        <w:jc w:val="both"/>
        <w:rPr>
          <w:rFonts w:ascii="Times New Roman" w:hAnsi="Times New Roman"/>
          <w:sz w:val="28"/>
          <w:szCs w:val="28"/>
        </w:rPr>
      </w:pPr>
      <w:r>
        <w:rPr>
          <w:sz w:val="28"/>
          <w:szCs w:val="28"/>
        </w:rPr>
      </w:r>
    </w:p>
    <w:p>
      <w:pPr>
        <w:pStyle w:val="LOnormal"/>
        <w:widowControl/>
        <w:numPr>
          <w:ilvl w:val="0"/>
          <w:numId w:val="2"/>
        </w:numPr>
        <w:spacing w:before="0" w:after="0"/>
        <w:contextualSpacing/>
        <w:jc w:val="both"/>
        <w:rPr/>
      </w:pPr>
      <w:r>
        <w:rPr>
          <w:sz w:val="28"/>
          <w:szCs w:val="28"/>
        </w:rPr>
        <w:t>місто Луцьк                                                             “___” _______ 202_ року</w:t>
      </w:r>
    </w:p>
    <w:p>
      <w:pPr>
        <w:pStyle w:val="LOnormal"/>
        <w:widowControl/>
        <w:spacing w:before="0" w:after="0"/>
        <w:ind w:left="0" w:right="0" w:firstLine="709"/>
        <w:contextualSpacing/>
        <w:jc w:val="both"/>
        <w:rPr>
          <w:rFonts w:ascii="Times New Roman" w:hAnsi="Times New Roman"/>
          <w:sz w:val="28"/>
          <w:szCs w:val="28"/>
        </w:rPr>
      </w:pPr>
      <w:r>
        <w:rPr>
          <w:sz w:val="28"/>
          <w:szCs w:val="28"/>
        </w:rPr>
      </w:r>
    </w:p>
    <w:p>
      <w:pPr>
        <w:pStyle w:val="LOnormal"/>
        <w:widowControl/>
        <w:spacing w:before="0" w:after="0"/>
        <w:ind w:left="0" w:right="0" w:firstLine="709"/>
        <w:contextualSpacing/>
        <w:jc w:val="both"/>
        <w:rPr>
          <w:rFonts w:ascii="Times New Roman" w:hAnsi="Times New Roman"/>
          <w:sz w:val="28"/>
          <w:szCs w:val="28"/>
        </w:rPr>
      </w:pPr>
      <w:r>
        <w:rPr>
          <w:sz w:val="28"/>
          <w:szCs w:val="28"/>
        </w:rPr>
      </w:r>
    </w:p>
    <w:p>
      <w:pPr>
        <w:pStyle w:val="LOnormal"/>
        <w:widowControl/>
        <w:numPr>
          <w:ilvl w:val="0"/>
          <w:numId w:val="2"/>
        </w:numPr>
        <w:suppressAutoHyphens w:val="true"/>
        <w:spacing w:before="0" w:after="0"/>
        <w:ind w:left="0" w:right="0" w:firstLine="709"/>
        <w:contextualSpacing/>
        <w:jc w:val="both"/>
        <w:rPr/>
      </w:pPr>
      <w:r>
        <w:rPr>
          <w:sz w:val="28"/>
          <w:szCs w:val="28"/>
          <w:u w:val="none"/>
        </w:rPr>
        <w:t xml:space="preserve">Виконавчий комітет Луцької міської ради </w:t>
      </w:r>
      <w:r>
        <w:rPr>
          <w:rFonts w:eastAsia="Times New Roman" w:cs="Times New Roman"/>
          <w:color w:val="000000"/>
          <w:kern w:val="2"/>
          <w:sz w:val="28"/>
          <w:szCs w:val="28"/>
          <w:u w:val="none"/>
          <w:lang w:val="uk-UA" w:eastAsia="zh-CN" w:bidi="ar-SA"/>
        </w:rPr>
        <w:t>в особі міського голови ________________</w:t>
      </w:r>
      <w:r>
        <w:rPr>
          <w:sz w:val="28"/>
          <w:szCs w:val="28"/>
          <w:u w:val="none"/>
        </w:rPr>
        <w:t>, який діє на підставі Закону України “Про місцеве самоврядування в Україні” (далі по тексту Договору – Організатор) з однієї сторони, ______________ в особі ____________, який діє на підставі _________ (далі по тексту Договору – Оператор) з другої сторони, суб’єкт підприємницької діяльності</w:t>
      </w:r>
      <w:r>
        <w:rPr>
          <w:sz w:val="28"/>
          <w:szCs w:val="28"/>
          <w:u w:val="none"/>
          <w:lang w:val="uk-UA"/>
        </w:rPr>
        <w:t xml:space="preserve"> ___________,</w:t>
      </w:r>
      <w:r>
        <w:rPr>
          <w:sz w:val="28"/>
          <w:szCs w:val="28"/>
          <w:u w:val="none"/>
        </w:rPr>
        <w:t xml:space="preserve"> який діє на підставі ___________(далі по тексту Договору – Перевізник), з третьої сторони, разом іменовані – Сторони, керуючись Цивільним кодексом України, законами України “Про місцеве самоврядування в Україні”, “Про внесення змін до деяких законодавчих актів України щодо впровадження автоматизованої системи обліку оплати проїзду в міському пасажирському транспорті”, рішенням Луцької міської ради від 26.09.2018 № 47/48 “Про Програму автоматизованої системи оплати проїзду та обліку пасажирів в громадському транспорті м. Луцька”, іншими актами законодавства України та органів місцевого самоврядування, уклали цей договір та домовились про наступне:</w:t>
      </w:r>
    </w:p>
    <w:p>
      <w:pPr>
        <w:pStyle w:val="LOnormal"/>
        <w:widowControl/>
        <w:numPr>
          <w:ilvl w:val="0"/>
          <w:numId w:val="2"/>
        </w:numPr>
        <w:spacing w:before="0" w:after="0"/>
        <w:ind w:left="0" w:right="0" w:firstLine="709"/>
        <w:contextualSpacing/>
        <w:jc w:val="both"/>
        <w:rPr>
          <w:u w:val="none"/>
        </w:rPr>
      </w:pPr>
      <w:r>
        <w:rPr>
          <w:u w:val="none"/>
        </w:rPr>
      </w:r>
    </w:p>
    <w:p>
      <w:pPr>
        <w:pStyle w:val="LOnormal"/>
        <w:keepNext w:val="false"/>
        <w:widowControl/>
        <w:numPr>
          <w:ilvl w:val="0"/>
          <w:numId w:val="2"/>
        </w:numPr>
        <w:shd w:val="clear" w:fill="auto"/>
        <w:suppressAutoHyphens w:val="true"/>
        <w:overflowPunct w:val="true"/>
        <w:bidi w:val="0"/>
        <w:spacing w:before="0" w:after="0"/>
        <w:ind w:left="0" w:right="0" w:hanging="0"/>
        <w:contextualSpacing/>
        <w:jc w:val="center"/>
        <w:rPr/>
      </w:pPr>
      <w:r>
        <w:rPr>
          <w:b/>
          <w:bCs/>
          <w:sz w:val="28"/>
          <w:szCs w:val="28"/>
          <w:u w:val="none"/>
        </w:rPr>
        <w:t>1. Предмет Договору</w:t>
      </w:r>
    </w:p>
    <w:p>
      <w:pPr>
        <w:pStyle w:val="Normal"/>
        <w:numPr>
          <w:ilvl w:val="0"/>
          <w:numId w:val="2"/>
        </w:numPr>
        <w:spacing w:before="0" w:after="0"/>
        <w:ind w:left="0" w:right="0" w:firstLine="709"/>
        <w:contextualSpacing/>
        <w:jc w:val="both"/>
        <w:rPr/>
      </w:pPr>
      <w:r>
        <w:rPr>
          <w:color w:val="000000"/>
          <w:sz w:val="28"/>
          <w:szCs w:val="28"/>
        </w:rPr>
        <w:t>1.1. Впровадження Оператором автоматизованої системи обліку оплати проїзду (далі по тексту Договору – АСООП) на пасажирському транспорті (</w:t>
      </w:r>
      <w:r>
        <w:rPr>
          <w:sz w:val="28"/>
          <w:szCs w:val="28"/>
        </w:rPr>
        <w:t>тролейбус, автобус</w:t>
      </w:r>
      <w:r>
        <w:rPr>
          <w:color w:val="000000"/>
          <w:sz w:val="28"/>
          <w:szCs w:val="28"/>
        </w:rPr>
        <w:t xml:space="preserve">) </w:t>
      </w:r>
      <w:r>
        <w:rPr>
          <w:rFonts w:eastAsia="Times New Roman" w:cs="Times New Roman"/>
          <w:color w:val="000000"/>
          <w:kern w:val="2"/>
          <w:sz w:val="28"/>
          <w:szCs w:val="28"/>
          <w:lang w:val="uk-UA" w:eastAsia="zh-CN" w:bidi="ar-SA"/>
        </w:rPr>
        <w:t>Луцької міської  територіальної громади</w:t>
      </w:r>
      <w:r>
        <w:rPr>
          <w:color w:val="000000"/>
          <w:sz w:val="28"/>
          <w:szCs w:val="28"/>
        </w:rPr>
        <w:t xml:space="preserve"> відповідно до </w:t>
      </w:r>
      <w:r>
        <w:rPr>
          <w:bCs/>
          <w:color w:val="000000"/>
          <w:sz w:val="28"/>
          <w:szCs w:val="28"/>
          <w:lang w:eastAsia="ru-RU"/>
        </w:rPr>
        <w:t>Правил користування міським та приміським пасажирським транспортом (тролейбусом, автобусом) у Луцькій міській територіальній громаді в новій редакції,</w:t>
      </w:r>
      <w:r>
        <w:rPr>
          <w:color w:val="000000"/>
          <w:sz w:val="28"/>
          <w:szCs w:val="28"/>
        </w:rPr>
        <w:t xml:space="preserve"> до </w:t>
      </w:r>
      <w:r>
        <w:rPr>
          <w:bCs/>
          <w:color w:val="000000"/>
          <w:sz w:val="28"/>
          <w:szCs w:val="28"/>
          <w:lang w:eastAsia="ru-RU"/>
        </w:rPr>
        <w:t>Порядку здійснення контролю за виконанням умов договорів на перевезення пасажирів автомобільним та електротранспортом, умов тристоронніх договорів про організацію та обслуговування електронних систем в громадському транспорті Луцької міської територіальної громади</w:t>
      </w:r>
      <w:r>
        <w:rPr>
          <w:color w:val="000000"/>
          <w:sz w:val="28"/>
          <w:szCs w:val="28"/>
        </w:rPr>
        <w:t xml:space="preserve"> (далі по тексту Договору – Порядок здійснення контролю), Положення про оператора електронних систем у м. Луцьку (далі по тексту Договору – Положення), затвердженого рішенням виконавчого комітету від </w:t>
      </w:r>
      <w:r>
        <w:rPr>
          <w:color w:val="000000"/>
          <w:sz w:val="28"/>
          <w:szCs w:val="28"/>
          <w:lang w:val="en-US"/>
        </w:rPr>
        <w:t xml:space="preserve">18.09.2019 </w:t>
      </w:r>
      <w:r>
        <w:rPr>
          <w:color w:val="000000"/>
          <w:sz w:val="28"/>
          <w:szCs w:val="28"/>
          <w:lang w:val="uk-UA"/>
        </w:rPr>
        <w:t>№ 551-1</w:t>
      </w:r>
      <w:r>
        <w:rPr>
          <w:color w:val="000000"/>
          <w:sz w:val="28"/>
          <w:szCs w:val="28"/>
        </w:rPr>
        <w:t xml:space="preserve">, враховуючи прийняття Закону України “Про внесення змін до деяких законодавчих актів України щодо впровадження автоматизованої системи обліку оплати проїзду в міському пасажирському транспорті”, інших актів законодавства України та </w:t>
      </w:r>
      <w:r>
        <w:rPr>
          <w:sz w:val="28"/>
          <w:szCs w:val="28"/>
        </w:rPr>
        <w:t xml:space="preserve">органів місцевого самоврядування, згідно з </w:t>
      </w:r>
      <w:r>
        <w:rPr>
          <w:color w:val="000000"/>
          <w:sz w:val="28"/>
          <w:szCs w:val="28"/>
        </w:rPr>
        <w:t>договором на перевезення пасажирів автомобільним транспортом від ________ № _____ (маршрут № __ ) (далі по тексту Договору – Договір на перевезення).</w:t>
      </w:r>
    </w:p>
    <w:p>
      <w:pPr>
        <w:pStyle w:val="Normal"/>
        <w:keepNext w:val="false"/>
        <w:widowControl/>
        <w:numPr>
          <w:ilvl w:val="0"/>
          <w:numId w:val="2"/>
        </w:numPr>
        <w:spacing w:before="0" w:after="0"/>
        <w:ind w:left="0" w:right="0" w:firstLine="709"/>
        <w:contextualSpacing/>
        <w:jc w:val="both"/>
        <w:rPr/>
      </w:pPr>
      <w:r>
        <w:rPr>
          <w:color w:val="000000"/>
          <w:sz w:val="28"/>
          <w:szCs w:val="28"/>
          <w:u w:val="none"/>
          <w:shd w:fill="auto" w:val="clear"/>
        </w:rPr>
        <w:t xml:space="preserve">1.2. Забезпечення функціонування АСООП на пасажирському транспорті </w:t>
      </w:r>
      <w:r>
        <w:rPr>
          <w:rFonts w:eastAsia="Times New Roman" w:cs="Times New Roman"/>
          <w:color w:val="000000"/>
          <w:kern w:val="2"/>
          <w:sz w:val="28"/>
          <w:szCs w:val="28"/>
          <w:u w:val="none"/>
          <w:shd w:fill="auto" w:val="clear"/>
          <w:lang w:val="uk-UA" w:eastAsia="zh-CN" w:bidi="ar-SA"/>
        </w:rPr>
        <w:t>Луцької міської  територіальної громади</w:t>
      </w:r>
      <w:r>
        <w:rPr>
          <w:color w:val="000000"/>
          <w:sz w:val="28"/>
          <w:szCs w:val="28"/>
          <w:u w:val="none"/>
          <w:shd w:fill="auto" w:val="clear"/>
        </w:rPr>
        <w:t xml:space="preserve"> (автобуси). </w:t>
      </w:r>
    </w:p>
    <w:p>
      <w:pPr>
        <w:sectPr>
          <w:type w:val="nextPage"/>
          <w:pgSz w:w="11906" w:h="16838"/>
          <w:pgMar w:left="1979" w:right="567" w:header="0" w:top="357" w:footer="0" w:bottom="624" w:gutter="0"/>
          <w:pgNumType w:fmt="decimal"/>
          <w:formProt w:val="false"/>
          <w:textDirection w:val="lrTb"/>
          <w:docGrid w:type="default" w:linePitch="360" w:charSpace="0"/>
        </w:sectPr>
        <w:pStyle w:val="Normal"/>
        <w:widowControl/>
        <w:numPr>
          <w:ilvl w:val="0"/>
          <w:numId w:val="2"/>
        </w:numPr>
        <w:spacing w:before="0" w:after="0"/>
        <w:ind w:left="0" w:right="0" w:firstLine="709"/>
        <w:contextualSpacing/>
        <w:jc w:val="both"/>
        <w:rPr/>
      </w:pPr>
      <w:r>
        <w:rPr>
          <w:color w:val="000000"/>
          <w:sz w:val="28"/>
          <w:szCs w:val="28"/>
          <w:u w:val="none"/>
          <w:shd w:fill="auto" w:val="clear"/>
        </w:rPr>
        <w:t xml:space="preserve">1.3. Організація та забезпечення оплати за проїзд </w:t>
      </w:r>
      <w:r>
        <w:rPr>
          <w:color w:val="000000"/>
          <w:sz w:val="28"/>
          <w:szCs w:val="28"/>
          <w:u w:val="none"/>
          <w:shd w:fill="auto" w:val="clear"/>
        </w:rPr>
        <w:t>при</w:t>
      </w:r>
      <w:r>
        <w:rPr>
          <w:color w:val="000000"/>
          <w:sz w:val="28"/>
          <w:szCs w:val="28"/>
          <w:u w:val="none"/>
          <w:shd w:fill="auto" w:val="clear"/>
        </w:rPr>
        <w:t>міським пасажирським транспортом (автобус) за допомогою АСООП, акумулювання та розподіл між Перевізниками коштів, що надходять, як оплата за проїзд.</w:t>
      </w:r>
    </w:p>
    <w:p>
      <w:pPr>
        <w:pStyle w:val="Normal"/>
        <w:numPr>
          <w:ilvl w:val="0"/>
          <w:numId w:val="2"/>
        </w:numPr>
        <w:spacing w:before="0" w:after="0"/>
        <w:ind w:left="0" w:right="0" w:firstLine="709"/>
        <w:contextualSpacing/>
        <w:jc w:val="both"/>
        <w:rPr/>
      </w:pPr>
      <w:r>
        <w:rPr>
          <w:sz w:val="28"/>
          <w:szCs w:val="28"/>
        </w:rPr>
        <w:t xml:space="preserve">1.4. Впровадження </w:t>
      </w:r>
      <w:r>
        <w:rPr>
          <w:sz w:val="28"/>
          <w:szCs w:val="28"/>
          <w:lang w:val="ru-RU"/>
        </w:rPr>
        <w:t>с</w:t>
      </w:r>
      <w:r>
        <w:rPr>
          <w:sz w:val="28"/>
          <w:szCs w:val="28"/>
        </w:rPr>
        <w:t xml:space="preserve">истеми </w:t>
      </w:r>
      <w:r>
        <w:rPr>
          <w:sz w:val="28"/>
          <w:szCs w:val="28"/>
          <w:lang w:val="en-US"/>
        </w:rPr>
        <w:t>GPS</w:t>
      </w:r>
      <w:r>
        <w:rPr>
          <w:sz w:val="28"/>
          <w:szCs w:val="28"/>
          <w:lang w:val="ru-RU"/>
        </w:rPr>
        <w:t>-</w:t>
      </w:r>
      <w:r>
        <w:rPr>
          <w:sz w:val="28"/>
          <w:szCs w:val="28"/>
        </w:rPr>
        <w:t>моніторингу громадського транспорту (автобус), системи автоматичного сповіщення пасажирів (далі по тексту</w:t>
      </w:r>
      <w:r>
        <w:rPr>
          <w:color w:val="000000"/>
          <w:sz w:val="28"/>
          <w:szCs w:val="28"/>
        </w:rPr>
        <w:t xml:space="preserve"> Договору – </w:t>
      </w:r>
      <w:r>
        <w:rPr>
          <w:sz w:val="28"/>
          <w:szCs w:val="28"/>
        </w:rPr>
        <w:t>САСП), системи відеоспостереження.</w:t>
      </w:r>
    </w:p>
    <w:p>
      <w:pPr>
        <w:pStyle w:val="Normal"/>
        <w:keepNext w:val="false"/>
        <w:widowControl/>
        <w:numPr>
          <w:ilvl w:val="0"/>
          <w:numId w:val="2"/>
        </w:numPr>
        <w:spacing w:before="0" w:after="0"/>
        <w:ind w:left="0" w:right="0" w:firstLine="709"/>
        <w:contextualSpacing/>
        <w:jc w:val="both"/>
        <w:rPr/>
      </w:pPr>
      <w:r>
        <w:rPr>
          <w:sz w:val="28"/>
          <w:szCs w:val="28"/>
          <w:u w:val="none"/>
          <w:shd w:fill="auto" w:val="clear"/>
        </w:rPr>
        <w:t>1.5. Контроль за справлянням оплати за проїзд.</w:t>
      </w:r>
    </w:p>
    <w:p>
      <w:pPr>
        <w:pStyle w:val="Normal"/>
        <w:keepNext w:val="false"/>
        <w:widowControl/>
        <w:numPr>
          <w:ilvl w:val="0"/>
          <w:numId w:val="2"/>
        </w:numPr>
        <w:spacing w:before="0" w:after="0"/>
        <w:ind w:left="0" w:right="0" w:firstLine="709"/>
        <w:contextualSpacing/>
        <w:jc w:val="both"/>
        <w:rPr>
          <w:rFonts w:ascii="Times New Roman" w:hAnsi="Times New Roman"/>
          <w:sz w:val="28"/>
          <w:szCs w:val="28"/>
          <w:u w:val="none"/>
        </w:rPr>
      </w:pPr>
      <w:r>
        <w:rPr>
          <w:sz w:val="28"/>
          <w:szCs w:val="28"/>
          <w:u w:val="none"/>
        </w:rPr>
      </w:r>
    </w:p>
    <w:p>
      <w:pPr>
        <w:pStyle w:val="LOnormal"/>
        <w:keepNext w:val="false"/>
        <w:widowControl/>
        <w:numPr>
          <w:ilvl w:val="0"/>
          <w:numId w:val="2"/>
        </w:numPr>
        <w:shd w:val="clear" w:fill="auto"/>
        <w:tabs>
          <w:tab w:val="clear" w:pos="708"/>
          <w:tab w:val="left" w:pos="495" w:leader="none"/>
        </w:tabs>
        <w:suppressAutoHyphens w:val="true"/>
        <w:overflowPunct w:val="true"/>
        <w:bidi w:val="0"/>
        <w:spacing w:before="0" w:after="0"/>
        <w:ind w:left="0" w:right="0" w:hanging="0"/>
        <w:contextualSpacing/>
        <w:jc w:val="center"/>
        <w:rPr/>
      </w:pPr>
      <w:r>
        <w:rPr>
          <w:b/>
          <w:bCs/>
          <w:sz w:val="28"/>
          <w:szCs w:val="28"/>
          <w:u w:val="none"/>
        </w:rPr>
        <w:t xml:space="preserve">2. Права та обов’язки Сторін </w:t>
      </w:r>
    </w:p>
    <w:p>
      <w:pPr>
        <w:pStyle w:val="Normal"/>
        <w:numPr>
          <w:ilvl w:val="0"/>
          <w:numId w:val="2"/>
        </w:numPr>
        <w:spacing w:before="0" w:after="0"/>
        <w:ind w:left="0" w:right="0" w:firstLine="709"/>
        <w:contextualSpacing/>
        <w:jc w:val="both"/>
        <w:rPr/>
      </w:pPr>
      <w:r>
        <w:rPr>
          <w:sz w:val="28"/>
          <w:szCs w:val="28"/>
        </w:rPr>
        <w:t>2.1. Права та обов’язки Організатора:</w:t>
      </w:r>
    </w:p>
    <w:p>
      <w:pPr>
        <w:pStyle w:val="Normal"/>
        <w:numPr>
          <w:ilvl w:val="0"/>
          <w:numId w:val="2"/>
        </w:numPr>
        <w:spacing w:before="0" w:after="0"/>
        <w:ind w:left="0" w:right="0" w:firstLine="709"/>
        <w:contextualSpacing/>
        <w:jc w:val="both"/>
        <w:rPr/>
      </w:pPr>
      <w:r>
        <w:rPr>
          <w:sz w:val="28"/>
          <w:szCs w:val="28"/>
        </w:rPr>
        <w:t>Організатор зобов’язаний:</w:t>
      </w:r>
    </w:p>
    <w:p>
      <w:pPr>
        <w:pStyle w:val="Normal"/>
        <w:numPr>
          <w:ilvl w:val="0"/>
          <w:numId w:val="2"/>
        </w:numPr>
        <w:spacing w:before="0" w:after="0"/>
        <w:ind w:left="0" w:right="0" w:firstLine="709"/>
        <w:contextualSpacing/>
        <w:jc w:val="both"/>
        <w:rPr/>
      </w:pPr>
      <w:r>
        <w:rPr>
          <w:sz w:val="28"/>
          <w:szCs w:val="28"/>
        </w:rPr>
        <w:t xml:space="preserve">2.1.1. Приймати необхідні рішення про введення в дію та належне функціонування АСООП та інших електронних систем в громадському транспорті </w:t>
      </w:r>
      <w:r>
        <w:rPr>
          <w:rFonts w:eastAsia="Times New Roman" w:cs="Times New Roman"/>
          <w:color w:val="000000"/>
          <w:kern w:val="2"/>
          <w:sz w:val="28"/>
          <w:szCs w:val="28"/>
          <w:lang w:val="uk-UA" w:eastAsia="zh-CN" w:bidi="ar-SA"/>
        </w:rPr>
        <w:t>Луцької міської  територіальної громади</w:t>
      </w:r>
      <w:r>
        <w:rPr>
          <w:sz w:val="28"/>
          <w:szCs w:val="28"/>
        </w:rPr>
        <w:t>, у відповідності до вимог законодавства.</w:t>
      </w:r>
    </w:p>
    <w:p>
      <w:pPr>
        <w:pStyle w:val="Normal"/>
        <w:numPr>
          <w:ilvl w:val="0"/>
          <w:numId w:val="2"/>
        </w:numPr>
        <w:spacing w:before="0" w:after="0"/>
        <w:ind w:left="0" w:right="0" w:firstLine="709"/>
        <w:contextualSpacing/>
        <w:jc w:val="both"/>
        <w:rPr/>
      </w:pPr>
      <w:r>
        <w:rPr>
          <w:sz w:val="28"/>
          <w:szCs w:val="28"/>
        </w:rPr>
        <w:t>2.1.2. Контролювати неухильне дотримання Сторонами Договору вимог законодавчих та інших нормативно-правових актів щодо перевезень пасажирів та щодо функціонування АСООП.</w:t>
      </w:r>
    </w:p>
    <w:p>
      <w:pPr>
        <w:pStyle w:val="Normal"/>
        <w:numPr>
          <w:ilvl w:val="0"/>
          <w:numId w:val="2"/>
        </w:numPr>
        <w:spacing w:before="0" w:after="0"/>
        <w:ind w:left="0" w:right="0" w:firstLine="709"/>
        <w:contextualSpacing/>
        <w:jc w:val="both"/>
        <w:rPr/>
      </w:pPr>
      <w:r>
        <w:rPr>
          <w:color w:val="000000"/>
          <w:sz w:val="28"/>
          <w:szCs w:val="28"/>
        </w:rPr>
        <w:t>2.1.3. Спільно з Оператором встановлювати зовнішній вигляд та інші істотні вимоги до електронних квитків, робочих електронних квитків для водіїв, контролерів.</w:t>
      </w:r>
    </w:p>
    <w:p>
      <w:pPr>
        <w:pStyle w:val="Normal"/>
        <w:numPr>
          <w:ilvl w:val="0"/>
          <w:numId w:val="2"/>
        </w:numPr>
        <w:spacing w:before="0" w:after="0"/>
        <w:ind w:left="0" w:right="0" w:firstLine="709"/>
        <w:contextualSpacing/>
        <w:jc w:val="both"/>
        <w:rPr/>
      </w:pPr>
      <w:r>
        <w:rPr>
          <w:color w:val="000000"/>
          <w:sz w:val="28"/>
          <w:szCs w:val="28"/>
        </w:rPr>
        <w:t>2.1.</w:t>
      </w:r>
      <w:r>
        <w:rPr>
          <w:color w:val="000000"/>
          <w:sz w:val="28"/>
          <w:szCs w:val="28"/>
        </w:rPr>
        <w:t>4</w:t>
      </w:r>
      <w:r>
        <w:rPr>
          <w:color w:val="000000"/>
          <w:sz w:val="28"/>
          <w:szCs w:val="28"/>
        </w:rPr>
        <w:t xml:space="preserve">. Проводити аналіз роботи громадського транспорту на основі даних з АСООП та системи </w:t>
      </w:r>
      <w:r>
        <w:rPr>
          <w:color w:val="000000"/>
          <w:sz w:val="28"/>
          <w:szCs w:val="28"/>
          <w:lang w:val="en-US"/>
        </w:rPr>
        <w:t>GPS</w:t>
      </w:r>
      <w:r>
        <w:rPr>
          <w:color w:val="000000"/>
          <w:sz w:val="28"/>
          <w:szCs w:val="28"/>
          <w:lang w:val="ru-RU"/>
        </w:rPr>
        <w:t>-</w:t>
      </w:r>
      <w:r>
        <w:rPr>
          <w:color w:val="000000"/>
          <w:sz w:val="28"/>
          <w:szCs w:val="28"/>
        </w:rPr>
        <w:t>моніторингу громадського транспорту.</w:t>
      </w:r>
    </w:p>
    <w:p>
      <w:pPr>
        <w:pStyle w:val="Normal"/>
        <w:numPr>
          <w:ilvl w:val="0"/>
          <w:numId w:val="2"/>
        </w:numPr>
        <w:spacing w:before="0" w:after="0"/>
        <w:ind w:left="0" w:right="0" w:firstLine="709"/>
        <w:contextualSpacing/>
        <w:jc w:val="both"/>
        <w:rPr/>
      </w:pPr>
      <w:r>
        <w:rPr>
          <w:color w:val="000000"/>
          <w:sz w:val="28"/>
          <w:szCs w:val="28"/>
        </w:rPr>
        <w:t>2.1.</w:t>
      </w:r>
      <w:r>
        <w:rPr>
          <w:color w:val="000000"/>
          <w:sz w:val="28"/>
          <w:szCs w:val="28"/>
        </w:rPr>
        <w:t>5</w:t>
      </w:r>
      <w:r>
        <w:rPr>
          <w:color w:val="000000"/>
          <w:sz w:val="28"/>
          <w:szCs w:val="28"/>
        </w:rPr>
        <w:t xml:space="preserve">. Погоджувати Оператору перелік та кількість пунктів видачі, продажу та поповнення квитків, з врахуванням потреб мешканців </w:t>
      </w:r>
      <w:r>
        <w:rPr>
          <w:rFonts w:eastAsia="Times New Roman" w:cs="Times New Roman"/>
          <w:color w:val="000000"/>
          <w:kern w:val="2"/>
          <w:sz w:val="28"/>
          <w:szCs w:val="28"/>
          <w:lang w:val="uk-UA" w:eastAsia="zh-CN" w:bidi="ar-SA"/>
        </w:rPr>
        <w:t>Луцької міської  територіальної громади</w:t>
      </w:r>
      <w:r>
        <w:rPr>
          <w:color w:val="000000"/>
          <w:sz w:val="28"/>
          <w:szCs w:val="28"/>
        </w:rPr>
        <w:t>.</w:t>
      </w:r>
    </w:p>
    <w:p>
      <w:pPr>
        <w:pStyle w:val="Normal"/>
        <w:keepNext w:val="false"/>
        <w:widowControl/>
        <w:numPr>
          <w:ilvl w:val="0"/>
          <w:numId w:val="2"/>
        </w:numPr>
        <w:spacing w:before="0" w:after="0"/>
        <w:ind w:left="0" w:right="0" w:firstLine="709"/>
        <w:contextualSpacing/>
        <w:jc w:val="both"/>
        <w:rPr/>
      </w:pPr>
      <w:r>
        <w:rPr>
          <w:color w:val="000000"/>
          <w:sz w:val="28"/>
          <w:szCs w:val="28"/>
          <w:u w:val="none"/>
        </w:rPr>
        <w:t>2.1.</w:t>
      </w:r>
      <w:r>
        <w:rPr>
          <w:color w:val="000000"/>
          <w:sz w:val="28"/>
          <w:szCs w:val="28"/>
          <w:u w:val="none"/>
        </w:rPr>
        <w:t>6</w:t>
      </w:r>
      <w:r>
        <w:rPr>
          <w:color w:val="000000"/>
          <w:sz w:val="28"/>
          <w:szCs w:val="28"/>
          <w:u w:val="none"/>
        </w:rPr>
        <w:t>. Забезпечувати виконання Сторонами умов Договору в межах повноважень, визначених чинним законодавством та цим Договором.</w:t>
      </w:r>
    </w:p>
    <w:p>
      <w:pPr>
        <w:pStyle w:val="Normal"/>
        <w:numPr>
          <w:ilvl w:val="0"/>
          <w:numId w:val="2"/>
        </w:numPr>
        <w:spacing w:before="0" w:after="0"/>
        <w:ind w:left="0" w:right="0" w:firstLine="709"/>
        <w:contextualSpacing/>
        <w:jc w:val="both"/>
        <w:rPr/>
      </w:pPr>
      <w:r>
        <w:rPr>
          <w:sz w:val="28"/>
          <w:szCs w:val="28"/>
        </w:rPr>
        <w:t>Організатор має право:</w:t>
      </w:r>
    </w:p>
    <w:p>
      <w:pPr>
        <w:pStyle w:val="Normal"/>
        <w:numPr>
          <w:ilvl w:val="0"/>
          <w:numId w:val="2"/>
        </w:numPr>
        <w:spacing w:before="0" w:after="0"/>
        <w:ind w:left="0" w:right="0" w:firstLine="709"/>
        <w:contextualSpacing/>
        <w:jc w:val="both"/>
        <w:rPr/>
      </w:pPr>
      <w:r>
        <w:rPr>
          <w:sz w:val="28"/>
          <w:szCs w:val="28"/>
        </w:rPr>
        <w:t>2.1.</w:t>
      </w:r>
      <w:r>
        <w:rPr>
          <w:sz w:val="28"/>
          <w:szCs w:val="28"/>
        </w:rPr>
        <w:t>7</w:t>
      </w:r>
      <w:r>
        <w:rPr>
          <w:sz w:val="28"/>
          <w:szCs w:val="28"/>
        </w:rPr>
        <w:t xml:space="preserve">. Користуватися повним доступом до баз даних АСООП щодо транспортних транзакцій та до баз даних системи </w:t>
      </w:r>
      <w:r>
        <w:rPr>
          <w:sz w:val="28"/>
          <w:szCs w:val="28"/>
          <w:lang w:val="en-US"/>
        </w:rPr>
        <w:t>GPS</w:t>
      </w:r>
      <w:r>
        <w:rPr>
          <w:sz w:val="28"/>
          <w:szCs w:val="28"/>
          <w:lang w:val="ru-RU"/>
        </w:rPr>
        <w:t>-</w:t>
      </w:r>
      <w:r>
        <w:rPr>
          <w:sz w:val="28"/>
          <w:szCs w:val="28"/>
        </w:rPr>
        <w:t>моніторингу громадського транспорту (без можливості внесення змін та коригувань).</w:t>
      </w:r>
    </w:p>
    <w:p>
      <w:pPr>
        <w:pStyle w:val="Normal"/>
        <w:numPr>
          <w:ilvl w:val="0"/>
          <w:numId w:val="2"/>
        </w:numPr>
        <w:spacing w:before="0" w:after="0"/>
        <w:ind w:left="0" w:right="0" w:firstLine="709"/>
        <w:contextualSpacing/>
        <w:jc w:val="both"/>
        <w:rPr/>
      </w:pPr>
      <w:r>
        <w:rPr>
          <w:sz w:val="28"/>
          <w:szCs w:val="28"/>
        </w:rPr>
        <w:t>2.1.</w:t>
      </w:r>
      <w:r>
        <w:rPr>
          <w:sz w:val="28"/>
          <w:szCs w:val="28"/>
        </w:rPr>
        <w:t>8</w:t>
      </w:r>
      <w:r>
        <w:rPr>
          <w:sz w:val="28"/>
          <w:szCs w:val="28"/>
        </w:rPr>
        <w:t xml:space="preserve">. Отримувати від Оператора звіти про роботу АСООП, системи </w:t>
      </w:r>
      <w:r>
        <w:rPr>
          <w:sz w:val="28"/>
          <w:szCs w:val="28"/>
          <w:lang w:val="en-US"/>
        </w:rPr>
        <w:t>GPS</w:t>
      </w:r>
      <w:r>
        <w:rPr>
          <w:sz w:val="28"/>
          <w:szCs w:val="28"/>
          <w:lang w:val="ru-RU"/>
        </w:rPr>
        <w:noBreakHyphen/>
      </w:r>
      <w:r>
        <w:rPr>
          <w:sz w:val="28"/>
          <w:szCs w:val="28"/>
        </w:rPr>
        <w:t>моніторингу громадського транспорту, САСП та системи відеоспостереження.</w:t>
      </w:r>
    </w:p>
    <w:p>
      <w:pPr>
        <w:pStyle w:val="Normal"/>
        <w:numPr>
          <w:ilvl w:val="0"/>
          <w:numId w:val="2"/>
        </w:numPr>
        <w:spacing w:before="0" w:after="0"/>
        <w:ind w:left="0" w:right="0" w:firstLine="709"/>
        <w:contextualSpacing/>
        <w:jc w:val="both"/>
        <w:rPr/>
      </w:pPr>
      <w:r>
        <w:rPr>
          <w:sz w:val="28"/>
          <w:szCs w:val="28"/>
        </w:rPr>
        <w:t>2.1.</w:t>
      </w:r>
      <w:r>
        <w:rPr>
          <w:sz w:val="28"/>
          <w:szCs w:val="28"/>
        </w:rPr>
        <w:t>9</w:t>
      </w:r>
      <w:r>
        <w:rPr>
          <w:sz w:val="28"/>
          <w:szCs w:val="28"/>
        </w:rPr>
        <w:t xml:space="preserve">. Отримувати від Оператора оперативну допомогу при користуванні програмно-апаратними складовими АСООП, системи </w:t>
      </w:r>
      <w:r>
        <w:rPr>
          <w:sz w:val="28"/>
          <w:szCs w:val="28"/>
          <w:lang w:val="en-US"/>
        </w:rPr>
        <w:t>GPS</w:t>
      </w:r>
      <w:r>
        <w:rPr>
          <w:sz w:val="28"/>
          <w:szCs w:val="28"/>
          <w:lang w:val="ru-RU"/>
        </w:rPr>
        <w:t>-</w:t>
      </w:r>
      <w:r>
        <w:rPr>
          <w:sz w:val="28"/>
          <w:szCs w:val="28"/>
        </w:rPr>
        <w:t>моніторингу, САСП та системи відеоспостереження.</w:t>
      </w:r>
    </w:p>
    <w:p>
      <w:pPr>
        <w:pStyle w:val="Normal"/>
        <w:numPr>
          <w:ilvl w:val="0"/>
          <w:numId w:val="2"/>
        </w:numPr>
        <w:spacing w:before="0" w:after="0"/>
        <w:ind w:left="0" w:right="0" w:firstLine="709"/>
        <w:contextualSpacing/>
        <w:jc w:val="both"/>
        <w:rPr/>
      </w:pPr>
      <w:r>
        <w:rPr>
          <w:sz w:val="28"/>
          <w:szCs w:val="28"/>
        </w:rPr>
        <w:t>2.1.1</w:t>
      </w:r>
      <w:r>
        <w:rPr>
          <w:sz w:val="28"/>
          <w:szCs w:val="28"/>
        </w:rPr>
        <w:t>0</w:t>
      </w:r>
      <w:r>
        <w:rPr>
          <w:sz w:val="28"/>
          <w:szCs w:val="28"/>
        </w:rPr>
        <w:t>. Проводити перевірку виконання умов Договору Оператором та Перевізником в межах Договору.</w:t>
      </w:r>
    </w:p>
    <w:p>
      <w:pPr>
        <w:pStyle w:val="Normal"/>
        <w:keepNext w:val="false"/>
        <w:widowControl/>
        <w:numPr>
          <w:ilvl w:val="0"/>
          <w:numId w:val="2"/>
        </w:numPr>
        <w:spacing w:before="0" w:after="0"/>
        <w:ind w:left="0" w:right="0" w:firstLine="709"/>
        <w:contextualSpacing/>
        <w:jc w:val="both"/>
        <w:rPr/>
      </w:pPr>
      <w:r>
        <w:rPr>
          <w:sz w:val="28"/>
          <w:szCs w:val="28"/>
          <w:u w:val="none"/>
          <w:shd w:fill="auto" w:val="clear"/>
        </w:rPr>
        <w:t>2.1.1</w:t>
      </w:r>
      <w:r>
        <w:rPr>
          <w:sz w:val="28"/>
          <w:szCs w:val="28"/>
          <w:u w:val="none"/>
          <w:shd w:fill="auto" w:val="clear"/>
        </w:rPr>
        <w:t>1</w:t>
      </w:r>
      <w:r>
        <w:rPr>
          <w:sz w:val="28"/>
          <w:szCs w:val="28"/>
          <w:u w:val="none"/>
          <w:shd w:fill="auto" w:val="clear"/>
        </w:rPr>
        <w:t>. Ініціювати внесення змін до Договору.</w:t>
      </w:r>
    </w:p>
    <w:p>
      <w:pPr>
        <w:pStyle w:val="Normal"/>
        <w:keepNext w:val="false"/>
        <w:widowControl/>
        <w:numPr>
          <w:ilvl w:val="0"/>
          <w:numId w:val="2"/>
        </w:numPr>
        <w:spacing w:before="0" w:after="0"/>
        <w:ind w:left="0" w:right="0" w:firstLine="709"/>
        <w:contextualSpacing/>
        <w:jc w:val="both"/>
        <w:rPr/>
      </w:pPr>
      <w:r>
        <w:rPr>
          <w:color w:val="000000"/>
          <w:sz w:val="28"/>
          <w:szCs w:val="28"/>
          <w:u w:val="none"/>
        </w:rPr>
        <w:t>2.1.1</w:t>
      </w:r>
      <w:r>
        <w:rPr>
          <w:color w:val="000000"/>
          <w:sz w:val="28"/>
          <w:szCs w:val="28"/>
          <w:u w:val="none"/>
        </w:rPr>
        <w:t>2</w:t>
      </w:r>
      <w:r>
        <w:rPr>
          <w:color w:val="000000"/>
          <w:sz w:val="28"/>
          <w:szCs w:val="28"/>
          <w:u w:val="none"/>
        </w:rPr>
        <w:t xml:space="preserve">. Через уповноважених осіб Організатора (начальника управління транспорту та зв’язку Луцької міської ради або посадову особу, яка виконує його обов’язки) письмово ознайомлюватись з актами прийому-передачі між Оператором та Перевізником обладнання АСООП, системи </w:t>
      </w:r>
      <w:r>
        <w:rPr>
          <w:color w:val="000000"/>
          <w:sz w:val="28"/>
          <w:szCs w:val="28"/>
          <w:u w:val="none"/>
          <w:lang w:val="en-US"/>
        </w:rPr>
        <w:t>GPS</w:t>
      </w:r>
      <w:r>
        <w:rPr>
          <w:color w:val="000000"/>
          <w:sz w:val="28"/>
          <w:szCs w:val="28"/>
          <w:u w:val="none"/>
        </w:rPr>
        <w:t xml:space="preserve">-моніторингу громадського транспорту, САСП та системи відеоспостереження. </w:t>
      </w:r>
    </w:p>
    <w:p>
      <w:pPr>
        <w:pStyle w:val="Normal"/>
        <w:widowControl/>
        <w:numPr>
          <w:ilvl w:val="0"/>
          <w:numId w:val="2"/>
        </w:numPr>
        <w:spacing w:before="0" w:after="0"/>
        <w:ind w:left="0" w:right="0" w:firstLine="709"/>
        <w:contextualSpacing/>
        <w:jc w:val="both"/>
        <w:rPr/>
      </w:pPr>
      <w:r>
        <w:rPr>
          <w:sz w:val="28"/>
          <w:szCs w:val="28"/>
          <w:u w:val="none"/>
        </w:rPr>
        <w:t>2.2. Права та обов’язки Оператора при впровадженні та подальшому функціонуванні АСООП, організації справляння плати за проїзд:</w:t>
      </w:r>
    </w:p>
    <w:p>
      <w:pPr>
        <w:pStyle w:val="Normal"/>
        <w:numPr>
          <w:ilvl w:val="0"/>
          <w:numId w:val="2"/>
        </w:numPr>
        <w:spacing w:before="0" w:after="0"/>
        <w:ind w:left="0" w:right="0" w:firstLine="709"/>
        <w:contextualSpacing/>
        <w:jc w:val="both"/>
        <w:rPr/>
      </w:pPr>
      <w:r>
        <w:rPr>
          <w:color w:val="000000"/>
          <w:sz w:val="28"/>
          <w:szCs w:val="28"/>
        </w:rPr>
        <w:t xml:space="preserve">Оператор зобов’язаний: </w:t>
      </w:r>
    </w:p>
    <w:p>
      <w:pPr>
        <w:pStyle w:val="Normal"/>
        <w:numPr>
          <w:ilvl w:val="0"/>
          <w:numId w:val="2"/>
        </w:numPr>
        <w:spacing w:before="0" w:after="0"/>
        <w:ind w:left="0" w:right="0" w:firstLine="709"/>
        <w:contextualSpacing/>
        <w:jc w:val="both"/>
        <w:rPr/>
      </w:pPr>
      <w:r>
        <w:rPr>
          <w:color w:val="000000"/>
          <w:sz w:val="28"/>
          <w:szCs w:val="28"/>
        </w:rPr>
        <w:t>2.2.1. Організовувати функціонування АСООП відповідно до умов Договору, об’єднуючи усі складові АСООП, в тому числі для справляння оплати за проїзд, продажу, поповнення (в т. ч. віддаленого), емісії та виведення з обігу засобів оплати проїзду.</w:t>
      </w:r>
    </w:p>
    <w:p>
      <w:pPr>
        <w:pStyle w:val="Normal"/>
        <w:numPr>
          <w:ilvl w:val="0"/>
          <w:numId w:val="2"/>
        </w:numPr>
        <w:spacing w:before="0" w:after="0"/>
        <w:ind w:left="0" w:right="0" w:firstLine="709"/>
        <w:contextualSpacing/>
        <w:jc w:val="both"/>
        <w:rPr/>
      </w:pPr>
      <w:r>
        <w:rPr>
          <w:sz w:val="28"/>
          <w:szCs w:val="28"/>
        </w:rPr>
        <w:t xml:space="preserve">2.2.2. Надавати на запит </w:t>
      </w:r>
      <w:r>
        <w:rPr>
          <w:color w:val="000000"/>
          <w:sz w:val="28"/>
          <w:szCs w:val="28"/>
        </w:rPr>
        <w:t xml:space="preserve">Організатора інформацію про кількість </w:t>
      </w:r>
      <w:r>
        <w:rPr>
          <w:sz w:val="28"/>
          <w:szCs w:val="28"/>
        </w:rPr>
        <w:t xml:space="preserve">пасажирів, інформацію про виконання розкладів руху та іншу інформацію, яка може бути необхідна для визначення обсягу замовлення на транспортні послуги, для формування маршрутної мережі </w:t>
      </w:r>
      <w:r>
        <w:rPr>
          <w:rFonts w:eastAsia="Times New Roman" w:cs="Times New Roman"/>
          <w:color w:val="000000"/>
          <w:kern w:val="2"/>
          <w:sz w:val="28"/>
          <w:szCs w:val="28"/>
          <w:lang w:val="uk-UA" w:eastAsia="zh-CN" w:bidi="ar-SA"/>
        </w:rPr>
        <w:t>Луцької міської  територіальної громади</w:t>
      </w:r>
      <w:r>
        <w:rPr>
          <w:sz w:val="28"/>
          <w:szCs w:val="28"/>
        </w:rPr>
        <w:t>, для складання графіків руху та інше.</w:t>
      </w:r>
    </w:p>
    <w:p>
      <w:pPr>
        <w:pStyle w:val="Normal"/>
        <w:numPr>
          <w:ilvl w:val="0"/>
          <w:numId w:val="2"/>
        </w:numPr>
        <w:spacing w:before="0" w:after="0"/>
        <w:ind w:left="0" w:right="0" w:firstLine="709"/>
        <w:contextualSpacing/>
        <w:jc w:val="both"/>
        <w:rPr/>
      </w:pPr>
      <w:r>
        <w:rPr>
          <w:sz w:val="28"/>
          <w:szCs w:val="28"/>
        </w:rPr>
        <w:t>2.2.3. Організувати справляння плати за проїзд за допомогою безготівкових засобів оплати проїзду (електронних носіїв) на умовах комісії.</w:t>
      </w:r>
    </w:p>
    <w:p>
      <w:pPr>
        <w:pStyle w:val="LOnormal"/>
        <w:keepNext w:val="false"/>
        <w:widowControl/>
        <w:numPr>
          <w:ilvl w:val="0"/>
          <w:numId w:val="2"/>
        </w:numPr>
        <w:tabs>
          <w:tab w:val="clear" w:pos="708"/>
          <w:tab w:val="left" w:pos="15" w:leader="none"/>
        </w:tabs>
        <w:spacing w:before="0" w:after="0"/>
        <w:ind w:left="0" w:right="0" w:firstLine="709"/>
        <w:contextualSpacing/>
        <w:jc w:val="both"/>
        <w:rPr/>
      </w:pPr>
      <w:r>
        <w:rPr>
          <w:color w:val="000000"/>
          <w:sz w:val="28"/>
          <w:szCs w:val="28"/>
          <w:u w:val="none"/>
        </w:rPr>
        <w:t xml:space="preserve">2.2.4. Передати Перевізнику у тимчасове користування, відповідно до актів прийому-передачі, обладнання АСООП, системи GPS-моніторингу громадського транспорту, САСП, системи відеоспостереження, що встановлюється у транспортних засобах Перевізника і є власністю Оператора. Такий акт підписується Сторонами Договору після встановлення та тестування обладнання на транспортних засобах Перевізника. </w:t>
      </w:r>
    </w:p>
    <w:p>
      <w:pPr>
        <w:pStyle w:val="LOnormal"/>
        <w:widowControl/>
        <w:numPr>
          <w:ilvl w:val="0"/>
          <w:numId w:val="2"/>
        </w:numPr>
        <w:tabs>
          <w:tab w:val="clear" w:pos="708"/>
          <w:tab w:val="left" w:pos="15" w:leader="none"/>
        </w:tabs>
        <w:spacing w:before="0" w:after="0"/>
        <w:ind w:left="0" w:right="0" w:firstLine="709"/>
        <w:contextualSpacing/>
        <w:jc w:val="both"/>
        <w:rPr/>
      </w:pPr>
      <w:r>
        <w:rPr>
          <w:color w:val="000000"/>
          <w:sz w:val="28"/>
          <w:szCs w:val="28"/>
          <w:u w:val="none"/>
        </w:rPr>
        <w:t xml:space="preserve">Оператор гарантує, що встановлене обладнання пристосоване до безперервної роботи у транспортних засобах Перевізника та враховує  особливості використання його у транспортних засобах та забезпечене належним антивандальним захистом згідно сертифікатів, наданих в конкурсній пропозиції. Оператор надає гарантію на належну експлуатацію обладнання до закінчення терміну дії договору. </w:t>
      </w:r>
    </w:p>
    <w:p>
      <w:pPr>
        <w:pStyle w:val="LOnormal"/>
        <w:widowControl/>
        <w:numPr>
          <w:ilvl w:val="0"/>
          <w:numId w:val="2"/>
        </w:numPr>
        <w:tabs>
          <w:tab w:val="clear" w:pos="708"/>
          <w:tab w:val="left" w:pos="495" w:leader="none"/>
        </w:tabs>
        <w:spacing w:before="0" w:after="0"/>
        <w:ind w:left="0" w:right="0" w:firstLine="709"/>
        <w:contextualSpacing/>
        <w:jc w:val="both"/>
        <w:rPr/>
      </w:pPr>
      <w:r>
        <w:rPr>
          <w:sz w:val="28"/>
          <w:szCs w:val="28"/>
        </w:rPr>
        <w:t>2.2.5. Забезпечувати:</w:t>
      </w:r>
    </w:p>
    <w:p>
      <w:pPr>
        <w:pStyle w:val="LOnormal"/>
        <w:widowControl/>
        <w:numPr>
          <w:ilvl w:val="0"/>
          <w:numId w:val="2"/>
        </w:numPr>
        <w:tabs>
          <w:tab w:val="clear" w:pos="708"/>
          <w:tab w:val="left" w:pos="495" w:leader="none"/>
        </w:tabs>
        <w:spacing w:before="0" w:after="0"/>
        <w:ind w:left="0" w:right="0" w:firstLine="709"/>
        <w:contextualSpacing/>
        <w:jc w:val="both"/>
        <w:rPr/>
      </w:pPr>
      <w:r>
        <w:rPr>
          <w:sz w:val="28"/>
          <w:szCs w:val="28"/>
        </w:rPr>
        <w:t xml:space="preserve">- належну безперебійну роботу АСООП, в тому числі в режимі offline; </w:t>
      </w:r>
    </w:p>
    <w:p>
      <w:pPr>
        <w:pStyle w:val="LOnormal"/>
        <w:widowControl/>
        <w:numPr>
          <w:ilvl w:val="0"/>
          <w:numId w:val="2"/>
        </w:numPr>
        <w:tabs>
          <w:tab w:val="clear" w:pos="708"/>
          <w:tab w:val="left" w:pos="495" w:leader="none"/>
        </w:tabs>
        <w:spacing w:before="0" w:after="0"/>
        <w:ind w:left="0" w:right="0" w:firstLine="709"/>
        <w:contextualSpacing/>
        <w:jc w:val="both"/>
        <w:rPr/>
      </w:pPr>
      <w:r>
        <w:rPr>
          <w:sz w:val="28"/>
          <w:szCs w:val="28"/>
        </w:rPr>
        <w:t xml:space="preserve">- наявність Центральної бази даних, яка може бути розміщена у власній інформаційній (автоматизованій) системі чи системі, де використовується технологія хмарних обчислень. </w:t>
      </w:r>
    </w:p>
    <w:p>
      <w:pPr>
        <w:pStyle w:val="LOnormal"/>
        <w:widowControl/>
        <w:numPr>
          <w:ilvl w:val="0"/>
          <w:numId w:val="2"/>
        </w:numPr>
        <w:tabs>
          <w:tab w:val="clear" w:pos="708"/>
          <w:tab w:val="left" w:pos="510" w:leader="none"/>
          <w:tab w:val="left" w:pos="735" w:leader="none"/>
        </w:tabs>
        <w:spacing w:before="0" w:after="0"/>
        <w:ind w:left="0" w:right="0" w:firstLine="709"/>
        <w:contextualSpacing/>
        <w:jc w:val="both"/>
        <w:rPr/>
      </w:pPr>
      <w:r>
        <w:rPr>
          <w:sz w:val="28"/>
          <w:szCs w:val="28"/>
        </w:rPr>
        <w:t xml:space="preserve">- безперебійну роботу Центральної бази даних, надійне збереження даних та інформації, що містяться у ній; </w:t>
      </w:r>
    </w:p>
    <w:p>
      <w:pPr>
        <w:pStyle w:val="LOnormal"/>
        <w:widowControl/>
        <w:numPr>
          <w:ilvl w:val="0"/>
          <w:numId w:val="2"/>
        </w:numPr>
        <w:tabs>
          <w:tab w:val="clear" w:pos="708"/>
          <w:tab w:val="left" w:pos="510" w:leader="none"/>
          <w:tab w:val="left" w:pos="735" w:leader="none"/>
        </w:tabs>
        <w:spacing w:before="0" w:after="0"/>
        <w:ind w:left="0" w:right="0" w:firstLine="709"/>
        <w:contextualSpacing/>
        <w:jc w:val="both"/>
        <w:rPr/>
      </w:pPr>
      <w:r>
        <w:rPr>
          <w:sz w:val="28"/>
          <w:szCs w:val="28"/>
        </w:rPr>
        <w:t>- збір, обробку, передачу, групування та систематизацію даних про виконану роботу транспортними засобами Перевізника згідно з Договором на перевезення до Центральної бази даних;</w:t>
      </w:r>
    </w:p>
    <w:p>
      <w:pPr>
        <w:pStyle w:val="LOnormal"/>
        <w:widowControl/>
        <w:numPr>
          <w:ilvl w:val="0"/>
          <w:numId w:val="2"/>
        </w:numPr>
        <w:tabs>
          <w:tab w:val="clear" w:pos="708"/>
          <w:tab w:val="left" w:pos="510" w:leader="none"/>
          <w:tab w:val="left" w:pos="735" w:leader="none"/>
        </w:tabs>
        <w:spacing w:before="0" w:after="0"/>
        <w:ind w:left="0" w:right="0" w:firstLine="709"/>
        <w:contextualSpacing/>
        <w:jc w:val="both"/>
        <w:rPr/>
      </w:pPr>
      <w:r>
        <w:rPr>
          <w:sz w:val="28"/>
          <w:szCs w:val="28"/>
        </w:rPr>
        <w:t xml:space="preserve">- резервне копіювання інформації, що знаходиться в Центральній базі даних; </w:t>
      </w:r>
    </w:p>
    <w:p>
      <w:pPr>
        <w:pStyle w:val="LOnormal"/>
        <w:widowControl/>
        <w:numPr>
          <w:ilvl w:val="0"/>
          <w:numId w:val="2"/>
        </w:numPr>
        <w:tabs>
          <w:tab w:val="clear" w:pos="708"/>
          <w:tab w:val="left" w:pos="510" w:leader="none"/>
          <w:tab w:val="left" w:pos="735" w:leader="none"/>
        </w:tabs>
        <w:spacing w:before="0" w:after="0"/>
        <w:ind w:left="0" w:right="0" w:firstLine="709"/>
        <w:contextualSpacing/>
        <w:jc w:val="both"/>
        <w:rPr/>
      </w:pPr>
      <w:r>
        <w:rPr>
          <w:sz w:val="28"/>
          <w:szCs w:val="28"/>
        </w:rPr>
        <w:t>- захист від несанкціонованого доступу, зміни чи викрадення даних;</w:t>
      </w:r>
    </w:p>
    <w:p>
      <w:pPr>
        <w:pStyle w:val="LOnormal"/>
        <w:widowControl/>
        <w:numPr>
          <w:ilvl w:val="0"/>
          <w:numId w:val="2"/>
        </w:numPr>
        <w:tabs>
          <w:tab w:val="clear" w:pos="708"/>
          <w:tab w:val="left" w:pos="510" w:leader="none"/>
          <w:tab w:val="left" w:pos="735" w:leader="none"/>
        </w:tabs>
        <w:spacing w:before="0" w:after="0"/>
        <w:ind w:left="0" w:right="0" w:firstLine="709"/>
        <w:contextualSpacing/>
        <w:jc w:val="both"/>
        <w:rPr/>
      </w:pPr>
      <w:r>
        <w:rPr>
          <w:sz w:val="28"/>
          <w:szCs w:val="28"/>
        </w:rPr>
        <w:t>- стабільний та належний взаємозв'язок між усім обладнанням АСООП та програмним забезпеченням;</w:t>
      </w:r>
    </w:p>
    <w:p>
      <w:pPr>
        <w:pStyle w:val="LOnormal"/>
        <w:widowControl/>
        <w:numPr>
          <w:ilvl w:val="0"/>
          <w:numId w:val="2"/>
        </w:numPr>
        <w:tabs>
          <w:tab w:val="clear" w:pos="708"/>
          <w:tab w:val="left" w:pos="510" w:leader="none"/>
          <w:tab w:val="left" w:pos="735" w:leader="none"/>
        </w:tabs>
        <w:spacing w:before="0" w:after="0"/>
        <w:ind w:left="0" w:right="0" w:firstLine="709"/>
        <w:contextualSpacing/>
        <w:jc w:val="both"/>
        <w:rPr/>
      </w:pPr>
      <w:r>
        <w:rPr>
          <w:sz w:val="28"/>
          <w:szCs w:val="28"/>
        </w:rPr>
        <w:t>- постійну можливість оплати пасажиром проїзду за допомогою  електронного квитка;</w:t>
      </w:r>
    </w:p>
    <w:p>
      <w:pPr>
        <w:pStyle w:val="LOnormal"/>
        <w:widowControl/>
        <w:numPr>
          <w:ilvl w:val="0"/>
          <w:numId w:val="2"/>
        </w:numPr>
        <w:tabs>
          <w:tab w:val="clear" w:pos="708"/>
          <w:tab w:val="left" w:pos="510" w:leader="none"/>
          <w:tab w:val="left" w:pos="735" w:leader="none"/>
        </w:tabs>
        <w:spacing w:before="0" w:after="0"/>
        <w:ind w:left="0" w:right="0" w:firstLine="709"/>
        <w:contextualSpacing/>
        <w:jc w:val="both"/>
        <w:rPr/>
      </w:pPr>
      <w:r>
        <w:rPr>
          <w:sz w:val="28"/>
          <w:szCs w:val="28"/>
        </w:rPr>
        <w:t>- коректну роботу АСООП в цілому;</w:t>
      </w:r>
    </w:p>
    <w:p>
      <w:pPr>
        <w:pStyle w:val="LOnormal"/>
        <w:widowControl/>
        <w:numPr>
          <w:ilvl w:val="0"/>
          <w:numId w:val="2"/>
        </w:numPr>
        <w:tabs>
          <w:tab w:val="clear" w:pos="708"/>
          <w:tab w:val="left" w:pos="510" w:leader="none"/>
          <w:tab w:val="left" w:pos="735" w:leader="none"/>
        </w:tabs>
        <w:spacing w:before="0" w:after="0"/>
        <w:ind w:left="0" w:right="0" w:firstLine="709"/>
        <w:contextualSpacing/>
        <w:jc w:val="both"/>
        <w:rPr/>
      </w:pPr>
      <w:r>
        <w:rPr>
          <w:sz w:val="28"/>
          <w:szCs w:val="28"/>
        </w:rPr>
        <w:t>- надання оброблених даних у формі систематизованої інформації та у вигляді звітів. Дані формуються за період: рік, півріччя, квартал, місяць, день, година та в розрізі: кількість перевезених пасажирів; кількість пасажирів, що оплатили проїзд за повним та/або зниженим тарифом; кількість перевезених пасажирів, які користуються правом безоплатного проїзду; кількість перевезених пасажирів конкретною одиницею рухомого складу на певному маршруті. Сторонами додатково погоджуються форма та зміст інформаційного наповнення конкретного звіту, відповідно до потреб Сторін Договору та можливостей АСООП;</w:t>
      </w:r>
    </w:p>
    <w:p>
      <w:pPr>
        <w:pStyle w:val="LOnormal"/>
        <w:widowControl/>
        <w:numPr>
          <w:ilvl w:val="0"/>
          <w:numId w:val="2"/>
        </w:numPr>
        <w:tabs>
          <w:tab w:val="clear" w:pos="708"/>
          <w:tab w:val="left" w:pos="495" w:leader="none"/>
          <w:tab w:val="left" w:pos="735" w:leader="none"/>
        </w:tabs>
        <w:spacing w:before="0" w:after="0"/>
        <w:ind w:left="0" w:right="0" w:firstLine="709"/>
        <w:contextualSpacing/>
        <w:jc w:val="both"/>
        <w:rPr/>
      </w:pPr>
      <w:r>
        <w:rPr>
          <w:sz w:val="28"/>
          <w:szCs w:val="28"/>
        </w:rPr>
        <w:t xml:space="preserve">- безоплатне навчання уповноважених осіб роботі в АСООП та системі </w:t>
      </w:r>
      <w:r>
        <w:rPr>
          <w:sz w:val="28"/>
          <w:szCs w:val="28"/>
          <w:lang w:val="en-US"/>
        </w:rPr>
        <w:t>GPS</w:t>
      </w:r>
      <w:r>
        <w:rPr>
          <w:sz w:val="28"/>
          <w:szCs w:val="28"/>
          <w:lang w:val="ru-RU"/>
        </w:rPr>
        <w:t>-</w:t>
      </w:r>
      <w:r>
        <w:rPr>
          <w:sz w:val="28"/>
          <w:szCs w:val="28"/>
        </w:rPr>
        <w:t>моніторингу громадського транспорту в обсязі, необхідному для виконання посадових обов’язків;</w:t>
      </w:r>
    </w:p>
    <w:p>
      <w:pPr>
        <w:pStyle w:val="LOnormal"/>
        <w:widowControl/>
        <w:numPr>
          <w:ilvl w:val="0"/>
          <w:numId w:val="2"/>
        </w:numPr>
        <w:tabs>
          <w:tab w:val="clear" w:pos="708"/>
          <w:tab w:val="left" w:pos="495" w:leader="none"/>
          <w:tab w:val="left" w:pos="735" w:leader="none"/>
        </w:tabs>
        <w:spacing w:before="0" w:after="0"/>
        <w:ind w:left="0" w:right="0" w:firstLine="709"/>
        <w:contextualSpacing/>
        <w:jc w:val="both"/>
        <w:rPr/>
      </w:pPr>
      <w:r>
        <w:rPr>
          <w:sz w:val="28"/>
          <w:szCs w:val="28"/>
        </w:rPr>
        <w:t>- цілодобовий клієнтський доступ Перевізнику до даних по транспортних транзакціях (без можливості проведення будь-яких коригувань), в тому числі до інформації про проведені транзакції (платні та пільгові) в оnline режимі, з постійним накопиченням та групуванням в розрізі день, місяць, рік, тощо, що здійсненні у транспортних засобах відповідно до Договору на перевезення;</w:t>
      </w:r>
    </w:p>
    <w:p>
      <w:pPr>
        <w:pStyle w:val="NoSpacing"/>
        <w:widowControl/>
        <w:numPr>
          <w:ilvl w:val="0"/>
          <w:numId w:val="2"/>
        </w:numPr>
        <w:tabs>
          <w:tab w:val="clear" w:pos="708"/>
          <w:tab w:val="left" w:pos="15" w:leader="none"/>
          <w:tab w:val="left" w:pos="284" w:leader="none"/>
        </w:tabs>
        <w:spacing w:before="0" w:after="0"/>
        <w:ind w:left="0" w:right="0" w:firstLine="709"/>
        <w:contextualSpacing/>
        <w:jc w:val="both"/>
        <w:rPr/>
      </w:pPr>
      <w:r>
        <w:rPr>
          <w:sz w:val="28"/>
          <w:szCs w:val="28"/>
        </w:rPr>
        <w:t xml:space="preserve">- можливість поповнення пасажирами електронних квитків через термінали з продажу та поповнення електронних квитків, у пунктах продажу, через </w:t>
      </w:r>
      <w:r>
        <w:rPr>
          <w:color w:val="000000"/>
          <w:sz w:val="28"/>
          <w:szCs w:val="28"/>
        </w:rPr>
        <w:t>вебпортал,</w:t>
      </w:r>
      <w:r>
        <w:rPr>
          <w:sz w:val="28"/>
          <w:szCs w:val="28"/>
        </w:rPr>
        <w:t xml:space="preserve"> мобільний додаток (в т. ч. поїздками, терміном користування);</w:t>
      </w:r>
    </w:p>
    <w:p>
      <w:pPr>
        <w:pStyle w:val="NormalWeb"/>
        <w:numPr>
          <w:ilvl w:val="0"/>
          <w:numId w:val="2"/>
        </w:numPr>
        <w:spacing w:before="0" w:after="0"/>
        <w:ind w:left="0" w:right="0" w:firstLine="709"/>
        <w:jc w:val="both"/>
        <w:rPr/>
      </w:pPr>
      <w:r>
        <w:rPr>
          <w:color w:val="000000"/>
          <w:sz w:val="28"/>
          <w:szCs w:val="28"/>
          <w:lang w:val="uk-UA"/>
        </w:rPr>
        <w:t>- збір, накопичення, зберігання, уточнення, використання, передачу, блокування, знищення персональних даних виключно в рамках Закону України “Про захист персональних даних” із застосуванням засобів мережевого захисту від несанкціонованого доступу під час обробки персональних даних;</w:t>
      </w:r>
    </w:p>
    <w:p>
      <w:pPr>
        <w:pStyle w:val="NormalWeb"/>
        <w:keepNext w:val="false"/>
        <w:widowControl/>
        <w:numPr>
          <w:ilvl w:val="0"/>
          <w:numId w:val="2"/>
        </w:numPr>
        <w:tabs>
          <w:tab w:val="clear" w:pos="708"/>
          <w:tab w:val="left" w:pos="495" w:leader="none"/>
        </w:tabs>
        <w:spacing w:before="0" w:after="0"/>
        <w:ind w:left="0" w:right="0" w:firstLine="709"/>
        <w:jc w:val="both"/>
        <w:rPr/>
      </w:pPr>
      <w:r>
        <w:rPr>
          <w:bCs/>
          <w:color w:val="000000"/>
          <w:sz w:val="28"/>
          <w:szCs w:val="28"/>
          <w:u w:val="none"/>
          <w:lang w:val="uk-UA"/>
        </w:rPr>
        <w:t>- експорт даних, які генеруються АСООП, в одному або кількох форматах відкритих даних, відповідно до постанови Кабінету Міністрів України від 21.10.2015 № 835 “Про затвердження Положення про набори даних, які підлягають оприлюдненню у формі відкритих даних”.</w:t>
      </w:r>
    </w:p>
    <w:p>
      <w:pPr>
        <w:pStyle w:val="Normal"/>
        <w:numPr>
          <w:ilvl w:val="0"/>
          <w:numId w:val="2"/>
        </w:numPr>
        <w:spacing w:before="0" w:after="0"/>
        <w:ind w:left="0" w:right="0" w:firstLine="709"/>
        <w:contextualSpacing/>
        <w:jc w:val="both"/>
        <w:rPr/>
      </w:pPr>
      <w:r>
        <w:rPr>
          <w:sz w:val="28"/>
          <w:szCs w:val="28"/>
        </w:rPr>
        <w:t>2.2.6. Проводити за власний рахунок сервісно-технічну підтримку роботи АСООП, куди входить:</w:t>
      </w:r>
    </w:p>
    <w:p>
      <w:pPr>
        <w:pStyle w:val="NoSpacing"/>
        <w:widowControl/>
        <w:numPr>
          <w:ilvl w:val="0"/>
          <w:numId w:val="2"/>
        </w:numPr>
        <w:tabs>
          <w:tab w:val="clear" w:pos="708"/>
          <w:tab w:val="left" w:pos="284" w:leader="none"/>
        </w:tabs>
        <w:spacing w:before="0" w:after="0"/>
        <w:ind w:left="0" w:right="0" w:firstLine="709"/>
        <w:contextualSpacing/>
        <w:jc w:val="both"/>
        <w:rPr/>
      </w:pPr>
      <w:r>
        <w:rPr>
          <w:sz w:val="28"/>
          <w:szCs w:val="28"/>
        </w:rPr>
        <w:t>- надання інформаційної допомоги уповноваженим особам Сторін Договору;</w:t>
      </w:r>
    </w:p>
    <w:p>
      <w:pPr>
        <w:pStyle w:val="NoSpacing"/>
        <w:keepNext w:val="false"/>
        <w:widowControl/>
        <w:numPr>
          <w:ilvl w:val="0"/>
          <w:numId w:val="2"/>
        </w:numPr>
        <w:tabs>
          <w:tab w:val="clear" w:pos="708"/>
          <w:tab w:val="left" w:pos="284" w:leader="none"/>
        </w:tabs>
        <w:spacing w:before="0" w:after="0"/>
        <w:ind w:left="0" w:right="0" w:firstLine="709"/>
        <w:contextualSpacing/>
        <w:jc w:val="both"/>
        <w:rPr/>
      </w:pPr>
      <w:r>
        <w:rPr>
          <w:sz w:val="28"/>
          <w:szCs w:val="28"/>
          <w:u w:val="none"/>
        </w:rPr>
        <w:t xml:space="preserve">- виїзд на лінію для усунення проблем, що потребують технічних рішень: Оператор зобов'язаний забезпечити прибуття уповноваженої особи до місця знаходження транспортного засобу, у якому вийшла з ладу система валідування, протягом 30 хвилин з моменту надходження заявки про несправність. Такий термін може бути продовженим при настанні обставин, які фізично унеможливлюють своєчасне прибуття до транспортного засобу з несправною системою валідації (природні катаклізми, перекриття, обмеження чи блокування руху, та інші подібні непідвладні Оператору причини) на підставі акту, складеного між Сторонами. При одночасних зверненнях із заявками щодо необхідності прибуття уповноваженої особи для проведення ремонту/налагодження системи валідації (п’ять і більше протягом години) виконання ремонтних робіт проводиться в порядку черговості. </w:t>
      </w:r>
    </w:p>
    <w:p>
      <w:pPr>
        <w:pStyle w:val="LOnormal"/>
        <w:widowControl/>
        <w:numPr>
          <w:ilvl w:val="0"/>
          <w:numId w:val="2"/>
        </w:numPr>
        <w:tabs>
          <w:tab w:val="clear" w:pos="708"/>
          <w:tab w:val="left" w:pos="15" w:leader="none"/>
        </w:tabs>
        <w:spacing w:before="0" w:after="0"/>
        <w:ind w:left="0" w:right="0" w:firstLine="709"/>
        <w:contextualSpacing/>
        <w:jc w:val="both"/>
        <w:rPr/>
      </w:pPr>
      <w:r>
        <w:rPr>
          <w:sz w:val="28"/>
          <w:szCs w:val="28"/>
        </w:rPr>
        <w:t>2.2.7. Організовувати технічний та інформаційний супровід здійснення контролю за оплатою та/або реєстрацією проїзду пасажирами.</w:t>
      </w:r>
    </w:p>
    <w:p>
      <w:pPr>
        <w:pStyle w:val="LOnormal"/>
        <w:widowControl/>
        <w:numPr>
          <w:ilvl w:val="0"/>
          <w:numId w:val="2"/>
        </w:numPr>
        <w:tabs>
          <w:tab w:val="clear" w:pos="708"/>
          <w:tab w:val="left" w:pos="15" w:leader="none"/>
        </w:tabs>
        <w:spacing w:before="0" w:after="0"/>
        <w:ind w:left="0" w:right="0" w:firstLine="709"/>
        <w:contextualSpacing/>
        <w:jc w:val="both"/>
        <w:rPr/>
      </w:pPr>
      <w:r>
        <w:rPr>
          <w:sz w:val="28"/>
          <w:szCs w:val="28"/>
        </w:rPr>
        <w:t>2.2.8. Спільно з Організатором встановлювати дизайн зовнішнього вигляду зворотної сторони електронних квитків, робочих електронних карток для водіїв, контролерів.</w:t>
      </w:r>
    </w:p>
    <w:p>
      <w:pPr>
        <w:pStyle w:val="LOnormal"/>
        <w:keepNext w:val="false"/>
        <w:widowControl/>
        <w:numPr>
          <w:ilvl w:val="0"/>
          <w:numId w:val="2"/>
        </w:numPr>
        <w:tabs>
          <w:tab w:val="clear" w:pos="708"/>
          <w:tab w:val="left" w:pos="15" w:leader="none"/>
        </w:tabs>
        <w:spacing w:before="0" w:after="0"/>
        <w:ind w:left="0" w:right="0" w:firstLine="709"/>
        <w:contextualSpacing/>
        <w:jc w:val="both"/>
        <w:rPr/>
      </w:pPr>
      <w:r>
        <w:rPr>
          <w:sz w:val="28"/>
          <w:szCs w:val="28"/>
          <w:u w:val="none"/>
        </w:rPr>
        <w:t>Оператор має право:</w:t>
      </w:r>
    </w:p>
    <w:p>
      <w:pPr>
        <w:pStyle w:val="LOnormal"/>
        <w:widowControl/>
        <w:numPr>
          <w:ilvl w:val="0"/>
          <w:numId w:val="2"/>
        </w:numPr>
        <w:tabs>
          <w:tab w:val="clear" w:pos="708"/>
          <w:tab w:val="left" w:pos="15" w:leader="none"/>
        </w:tabs>
        <w:spacing w:before="0" w:after="0"/>
        <w:ind w:left="0" w:right="0" w:firstLine="709"/>
        <w:contextualSpacing/>
        <w:jc w:val="both"/>
        <w:rPr/>
      </w:pPr>
      <w:r>
        <w:rPr>
          <w:sz w:val="28"/>
          <w:szCs w:val="28"/>
        </w:rPr>
        <w:t>2.2.9. Отримувати комісійну винагороду за виконання зобов’язань за цим Договором.</w:t>
      </w:r>
    </w:p>
    <w:p>
      <w:pPr>
        <w:pStyle w:val="LOnormal"/>
        <w:widowControl/>
        <w:numPr>
          <w:ilvl w:val="0"/>
          <w:numId w:val="2"/>
        </w:numPr>
        <w:tabs>
          <w:tab w:val="clear" w:pos="708"/>
          <w:tab w:val="left" w:pos="15" w:leader="none"/>
        </w:tabs>
        <w:spacing w:before="0" w:after="0"/>
        <w:ind w:left="0" w:right="0" w:firstLine="709"/>
        <w:contextualSpacing/>
        <w:jc w:val="both"/>
        <w:rPr/>
      </w:pPr>
      <w:r>
        <w:rPr>
          <w:sz w:val="28"/>
          <w:szCs w:val="28"/>
        </w:rPr>
        <w:t>2.2.10. За письмовим погодженням із Сторонами здійснювати зміни в АСООП, відповідно до змін чинного законодавства.</w:t>
      </w:r>
    </w:p>
    <w:p>
      <w:pPr>
        <w:pStyle w:val="LOnormal"/>
        <w:widowControl/>
        <w:numPr>
          <w:ilvl w:val="0"/>
          <w:numId w:val="2"/>
        </w:numPr>
        <w:tabs>
          <w:tab w:val="clear" w:pos="708"/>
          <w:tab w:val="left" w:pos="15" w:leader="none"/>
        </w:tabs>
        <w:spacing w:before="0" w:after="0"/>
        <w:ind w:left="0" w:right="0" w:firstLine="709"/>
        <w:contextualSpacing/>
        <w:jc w:val="both"/>
        <w:rPr/>
      </w:pPr>
      <w:r>
        <w:rPr>
          <w:sz w:val="28"/>
          <w:szCs w:val="28"/>
        </w:rPr>
        <w:t>2.2.11. Збирати та обробляти персональні дані за згодою суб’єктів у межах діяльності АСООП.</w:t>
      </w:r>
    </w:p>
    <w:p>
      <w:pPr>
        <w:pStyle w:val="LOnormal"/>
        <w:widowControl/>
        <w:numPr>
          <w:ilvl w:val="0"/>
          <w:numId w:val="2"/>
        </w:numPr>
        <w:tabs>
          <w:tab w:val="clear" w:pos="708"/>
          <w:tab w:val="left" w:pos="15" w:leader="none"/>
        </w:tabs>
        <w:spacing w:before="0" w:after="0"/>
        <w:ind w:left="0" w:right="0" w:firstLine="709"/>
        <w:contextualSpacing/>
        <w:jc w:val="both"/>
        <w:rPr/>
      </w:pPr>
      <w:r>
        <w:rPr>
          <w:sz w:val="28"/>
          <w:szCs w:val="28"/>
        </w:rPr>
        <w:t>2.2.12. Ініціювати внесення змін до Договору.</w:t>
      </w:r>
    </w:p>
    <w:p>
      <w:pPr>
        <w:pStyle w:val="LOnormal"/>
        <w:keepNext w:val="false"/>
        <w:widowControl/>
        <w:numPr>
          <w:ilvl w:val="0"/>
          <w:numId w:val="2"/>
        </w:numPr>
        <w:tabs>
          <w:tab w:val="clear" w:pos="708"/>
          <w:tab w:val="left" w:pos="15" w:leader="none"/>
        </w:tabs>
        <w:spacing w:before="0" w:after="0"/>
        <w:ind w:left="0" w:right="0" w:firstLine="709"/>
        <w:contextualSpacing/>
        <w:jc w:val="both"/>
        <w:rPr/>
      </w:pPr>
      <w:r>
        <w:rPr>
          <w:sz w:val="28"/>
          <w:szCs w:val="28"/>
          <w:u w:val="none"/>
        </w:rPr>
        <w:t xml:space="preserve">2.2.13. Приймати участь у розробці графіків руху, формуванні транспортної мережі </w:t>
      </w:r>
      <w:r>
        <w:rPr>
          <w:rFonts w:eastAsia="Times New Roman" w:cs="Times New Roman"/>
          <w:color w:val="000000"/>
          <w:kern w:val="2"/>
          <w:sz w:val="28"/>
          <w:szCs w:val="28"/>
          <w:u w:val="none"/>
          <w:lang w:val="uk-UA" w:eastAsia="zh-CN" w:bidi="ar-SA"/>
        </w:rPr>
        <w:t>Луцької міської  територіальної громади</w:t>
      </w:r>
      <w:r>
        <w:rPr>
          <w:sz w:val="28"/>
          <w:szCs w:val="28"/>
          <w:u w:val="none"/>
        </w:rPr>
        <w:t>.</w:t>
      </w:r>
    </w:p>
    <w:p>
      <w:pPr>
        <w:pStyle w:val="LOnormal"/>
        <w:widowControl/>
        <w:numPr>
          <w:ilvl w:val="0"/>
          <w:numId w:val="2"/>
        </w:numPr>
        <w:tabs>
          <w:tab w:val="clear" w:pos="708"/>
          <w:tab w:val="left" w:pos="510" w:leader="none"/>
          <w:tab w:val="left" w:pos="2410" w:leader="none"/>
        </w:tabs>
        <w:spacing w:before="0" w:after="0"/>
        <w:ind w:left="0" w:right="0" w:firstLine="709"/>
        <w:contextualSpacing/>
        <w:jc w:val="both"/>
        <w:rPr/>
      </w:pPr>
      <w:r>
        <w:rPr>
          <w:bCs/>
          <w:sz w:val="28"/>
          <w:szCs w:val="28"/>
        </w:rPr>
        <w:t>2.3. Права та обов’язки Оператора щодо здійснення інвестування за цим Договором:</w:t>
      </w:r>
    </w:p>
    <w:p>
      <w:pPr>
        <w:pStyle w:val="LOnormal"/>
        <w:widowControl/>
        <w:numPr>
          <w:ilvl w:val="0"/>
          <w:numId w:val="2"/>
        </w:numPr>
        <w:tabs>
          <w:tab w:val="clear" w:pos="708"/>
          <w:tab w:val="left" w:pos="510" w:leader="none"/>
          <w:tab w:val="left" w:pos="2410" w:leader="none"/>
        </w:tabs>
        <w:spacing w:before="0" w:after="0"/>
        <w:ind w:left="0" w:right="0" w:firstLine="709"/>
        <w:contextualSpacing/>
        <w:jc w:val="both"/>
        <w:rPr/>
      </w:pPr>
      <w:r>
        <w:rPr>
          <w:bCs/>
          <w:sz w:val="28"/>
          <w:szCs w:val="28"/>
        </w:rPr>
        <w:t>Оператор зобов’язаний:</w:t>
      </w:r>
    </w:p>
    <w:p>
      <w:pPr>
        <w:pStyle w:val="LOnormal"/>
        <w:widowControl/>
        <w:numPr>
          <w:ilvl w:val="0"/>
          <w:numId w:val="2"/>
        </w:numPr>
        <w:tabs>
          <w:tab w:val="clear" w:pos="708"/>
          <w:tab w:val="left" w:pos="510" w:leader="none"/>
        </w:tabs>
        <w:spacing w:before="0" w:after="0"/>
        <w:ind w:left="0" w:right="0" w:firstLine="709"/>
        <w:contextualSpacing/>
        <w:jc w:val="both"/>
        <w:rPr/>
      </w:pPr>
      <w:r>
        <w:rPr>
          <w:sz w:val="28"/>
          <w:szCs w:val="28"/>
        </w:rPr>
        <w:t>2.3.1. Забезпечувати:</w:t>
      </w:r>
    </w:p>
    <w:p>
      <w:pPr>
        <w:pStyle w:val="LOnormal"/>
        <w:widowControl/>
        <w:numPr>
          <w:ilvl w:val="0"/>
          <w:numId w:val="2"/>
        </w:numPr>
        <w:tabs>
          <w:tab w:val="clear" w:pos="708"/>
          <w:tab w:val="left" w:pos="510" w:leader="none"/>
        </w:tabs>
        <w:spacing w:before="0" w:after="0"/>
        <w:ind w:left="0" w:right="0" w:firstLine="709"/>
        <w:contextualSpacing/>
        <w:jc w:val="both"/>
        <w:rPr/>
      </w:pPr>
      <w:r>
        <w:rPr>
          <w:sz w:val="28"/>
          <w:szCs w:val="28"/>
        </w:rPr>
        <w:t>- створення інформаційної (автоматизованої) системи, у якій може використовуватися технологія хмарних обчислень, в межах якої розміщуватиметься Центральна база даних та інші програмні засоби;</w:t>
      </w:r>
    </w:p>
    <w:p>
      <w:pPr>
        <w:pStyle w:val="LOnormal"/>
        <w:widowControl/>
        <w:numPr>
          <w:ilvl w:val="0"/>
          <w:numId w:val="2"/>
        </w:numPr>
        <w:tabs>
          <w:tab w:val="clear" w:pos="708"/>
          <w:tab w:val="left" w:pos="510" w:leader="none"/>
        </w:tabs>
        <w:spacing w:before="0" w:after="0"/>
        <w:ind w:left="0" w:right="0" w:firstLine="709"/>
        <w:contextualSpacing/>
        <w:jc w:val="both"/>
        <w:rPr/>
      </w:pPr>
      <w:r>
        <w:rPr>
          <w:sz w:val="28"/>
          <w:szCs w:val="28"/>
        </w:rPr>
        <w:t>- ліцензійне програмне забезпечення;</w:t>
      </w:r>
    </w:p>
    <w:p>
      <w:pPr>
        <w:pStyle w:val="LOnormal"/>
        <w:widowControl/>
        <w:numPr>
          <w:ilvl w:val="0"/>
          <w:numId w:val="2"/>
        </w:numPr>
        <w:tabs>
          <w:tab w:val="clear" w:pos="708"/>
          <w:tab w:val="left" w:pos="510" w:leader="none"/>
        </w:tabs>
        <w:spacing w:before="0" w:after="0"/>
        <w:ind w:left="0" w:right="0" w:firstLine="709"/>
        <w:contextualSpacing/>
        <w:jc w:val="both"/>
        <w:rPr/>
      </w:pPr>
      <w:r>
        <w:rPr>
          <w:sz w:val="28"/>
          <w:szCs w:val="28"/>
        </w:rPr>
        <w:t>- процесинг – виконання за операціями з електронними квитками авторизації, моніторингу, збору, оброблення та зберігання інформації, а також надання обробленої інформації Сторонам Договору;</w:t>
      </w:r>
    </w:p>
    <w:p>
      <w:pPr>
        <w:pStyle w:val="LOnormal"/>
        <w:widowControl/>
        <w:numPr>
          <w:ilvl w:val="0"/>
          <w:numId w:val="2"/>
        </w:numPr>
        <w:tabs>
          <w:tab w:val="clear" w:pos="708"/>
          <w:tab w:val="left" w:pos="510" w:leader="none"/>
        </w:tabs>
        <w:spacing w:before="0" w:after="0"/>
        <w:ind w:left="0" w:right="0" w:firstLine="709"/>
        <w:contextualSpacing/>
        <w:jc w:val="both"/>
        <w:rPr/>
      </w:pPr>
      <w:r>
        <w:rPr>
          <w:sz w:val="28"/>
          <w:szCs w:val="28"/>
        </w:rPr>
        <w:t>- встановлення (стаціонарне закріплення) на транспортних засобах Перевізників – автобусах категорії М</w:t>
      </w:r>
      <w:r>
        <w:rPr>
          <w:sz w:val="28"/>
          <w:szCs w:val="28"/>
          <w:vertAlign w:val="subscript"/>
        </w:rPr>
        <w:t xml:space="preserve">3 </w:t>
      </w:r>
      <w:r>
        <w:rPr>
          <w:sz w:val="28"/>
          <w:szCs w:val="28"/>
        </w:rPr>
        <w:t xml:space="preserve">класу І, стаціонарних/мобільних валідаторів в кількості один на один транспортний засіб, а у випадку якщо транспортний засіб пристосований для перевезення осіб на візках — два, бортових комп’ютерів, обладнання АСООП, системи </w:t>
      </w:r>
      <w:r>
        <w:rPr>
          <w:sz w:val="28"/>
          <w:szCs w:val="28"/>
          <w:lang w:val="en-US"/>
        </w:rPr>
        <w:t>GPS</w:t>
      </w:r>
      <w:r>
        <w:rPr>
          <w:sz w:val="28"/>
          <w:szCs w:val="28"/>
          <w:lang w:val="ru-RU"/>
        </w:rPr>
        <w:t>-</w:t>
      </w:r>
      <w:r>
        <w:rPr>
          <w:sz w:val="28"/>
          <w:szCs w:val="28"/>
        </w:rPr>
        <w:t>моніторингу громадського транспорту, САСП та системи відеоспостереження (перелік обладнання, його кількість та вартість, зазначаються в Додатку до цього Договору відповідно до кількості транспортних засобів, що передбачені Договором на перевезення);</w:t>
      </w:r>
    </w:p>
    <w:p>
      <w:pPr>
        <w:pStyle w:val="LOnormal"/>
        <w:widowControl/>
        <w:numPr>
          <w:ilvl w:val="0"/>
          <w:numId w:val="2"/>
        </w:numPr>
        <w:tabs>
          <w:tab w:val="clear" w:pos="708"/>
          <w:tab w:val="left" w:pos="495" w:leader="none"/>
        </w:tabs>
        <w:spacing w:before="0" w:after="0"/>
        <w:ind w:left="0" w:right="0" w:firstLine="709"/>
        <w:contextualSpacing/>
        <w:jc w:val="both"/>
        <w:rPr/>
      </w:pPr>
      <w:r>
        <w:rPr>
          <w:bCs/>
          <w:sz w:val="28"/>
          <w:szCs w:val="28"/>
          <w:u w:val="none"/>
          <w:shd w:fill="auto" w:val="clear"/>
        </w:rPr>
        <w:t xml:space="preserve">- адміністрування роботи системи АСООП, карткового центру, центру підтримки пасажирів; </w:t>
      </w:r>
    </w:p>
    <w:p>
      <w:pPr>
        <w:pStyle w:val="LOnormal"/>
        <w:widowControl/>
        <w:numPr>
          <w:ilvl w:val="0"/>
          <w:numId w:val="2"/>
        </w:numPr>
        <w:tabs>
          <w:tab w:val="clear" w:pos="708"/>
          <w:tab w:val="left" w:pos="495" w:leader="none"/>
        </w:tabs>
        <w:spacing w:before="0" w:after="0"/>
        <w:ind w:left="0" w:right="0" w:firstLine="709"/>
        <w:contextualSpacing/>
        <w:jc w:val="both"/>
        <w:rPr/>
      </w:pPr>
      <w:r>
        <w:rPr>
          <w:sz w:val="28"/>
          <w:szCs w:val="28"/>
        </w:rPr>
        <w:t>- можливість адміністрування роботи обладнання візуального та звукового сповіщення пасажирів , “розумні зупинки”;</w:t>
      </w:r>
    </w:p>
    <w:p>
      <w:pPr>
        <w:pStyle w:val="LOnormal"/>
        <w:widowControl/>
        <w:numPr>
          <w:ilvl w:val="0"/>
          <w:numId w:val="2"/>
        </w:numPr>
        <w:tabs>
          <w:tab w:val="clear" w:pos="708"/>
          <w:tab w:val="left" w:pos="510" w:leader="none"/>
        </w:tabs>
        <w:spacing w:before="0" w:after="0"/>
        <w:ind w:left="0" w:right="0" w:firstLine="709"/>
        <w:contextualSpacing/>
        <w:jc w:val="both"/>
        <w:rPr/>
      </w:pPr>
      <w:r>
        <w:rPr>
          <w:sz w:val="28"/>
          <w:szCs w:val="28"/>
        </w:rPr>
        <w:t>- створення та адміністрування роботи</w:t>
      </w:r>
      <w:r>
        <w:rPr>
          <w:color w:val="000000"/>
          <w:sz w:val="28"/>
          <w:szCs w:val="28"/>
        </w:rPr>
        <w:t xml:space="preserve"> вебпорталу</w:t>
      </w:r>
      <w:r>
        <w:rPr>
          <w:sz w:val="28"/>
          <w:szCs w:val="28"/>
        </w:rPr>
        <w:t xml:space="preserve"> для надання пасажирам можливості придбання та/або поповнення засобів оплати проїзду, керування ними, для отримання інформації про порядок користування послугами </w:t>
      </w:r>
      <w:r>
        <w:rPr>
          <w:sz w:val="28"/>
          <w:szCs w:val="28"/>
        </w:rPr>
        <w:t>при</w:t>
      </w:r>
      <w:r>
        <w:rPr>
          <w:sz w:val="28"/>
          <w:szCs w:val="28"/>
        </w:rPr>
        <w:t>міського пасажирського транспорту, порядок оплати проїзду, маршрути, графіки руху, отримання іншої корисної інформації;</w:t>
      </w:r>
    </w:p>
    <w:p>
      <w:pPr>
        <w:pStyle w:val="LOnormal"/>
        <w:widowControl/>
        <w:numPr>
          <w:ilvl w:val="0"/>
          <w:numId w:val="2"/>
        </w:numPr>
        <w:tabs>
          <w:tab w:val="clear" w:pos="708"/>
          <w:tab w:val="left" w:pos="510" w:leader="none"/>
        </w:tabs>
        <w:spacing w:before="0" w:after="0"/>
        <w:ind w:left="0" w:right="0" w:firstLine="709"/>
        <w:contextualSpacing/>
        <w:jc w:val="both"/>
        <w:rPr/>
      </w:pPr>
      <w:r>
        <w:rPr>
          <w:sz w:val="28"/>
          <w:szCs w:val="28"/>
        </w:rPr>
        <w:t>- виготовлення необхідної кількості робочих електронних карток за рахунок коштів Перевізника;</w:t>
      </w:r>
    </w:p>
    <w:p>
      <w:pPr>
        <w:pStyle w:val="LOnormal"/>
        <w:widowControl/>
        <w:numPr>
          <w:ilvl w:val="0"/>
          <w:numId w:val="2"/>
        </w:numPr>
        <w:tabs>
          <w:tab w:val="clear" w:pos="708"/>
          <w:tab w:val="left" w:pos="510" w:leader="none"/>
        </w:tabs>
        <w:spacing w:before="0" w:after="0"/>
        <w:ind w:left="0" w:right="0" w:firstLine="709"/>
        <w:contextualSpacing/>
        <w:jc w:val="both"/>
        <w:rPr/>
      </w:pPr>
      <w:r>
        <w:rPr>
          <w:sz w:val="28"/>
          <w:szCs w:val="28"/>
        </w:rPr>
        <w:t xml:space="preserve">- надання інформаційної допомоги працівникам Перевізника під час роботи із складовими АСООП, системи </w:t>
      </w:r>
      <w:r>
        <w:rPr>
          <w:sz w:val="28"/>
          <w:szCs w:val="28"/>
          <w:lang w:val="en-US"/>
        </w:rPr>
        <w:t>GPS</w:t>
      </w:r>
      <w:r>
        <w:rPr>
          <w:sz w:val="28"/>
          <w:szCs w:val="28"/>
        </w:rPr>
        <w:t>-моніторингу громадського транспорту, САСП, системи відеоспостереження;</w:t>
      </w:r>
    </w:p>
    <w:p>
      <w:pPr>
        <w:pStyle w:val="LOnormal"/>
        <w:keepNext w:val="false"/>
        <w:widowControl/>
        <w:numPr>
          <w:ilvl w:val="0"/>
          <w:numId w:val="2"/>
        </w:numPr>
        <w:tabs>
          <w:tab w:val="clear" w:pos="708"/>
          <w:tab w:val="left" w:pos="510" w:leader="none"/>
        </w:tabs>
        <w:spacing w:before="0" w:after="0"/>
        <w:ind w:left="0" w:right="0" w:firstLine="709"/>
        <w:contextualSpacing/>
        <w:jc w:val="both"/>
        <w:rPr/>
      </w:pPr>
      <w:r>
        <w:rPr>
          <w:sz w:val="28"/>
          <w:szCs w:val="28"/>
          <w:u w:val="none"/>
        </w:rPr>
        <w:t xml:space="preserve">- технічне обслуговування складових АСООП та системи </w:t>
      </w:r>
      <w:r>
        <w:rPr>
          <w:sz w:val="28"/>
          <w:szCs w:val="28"/>
          <w:u w:val="none"/>
          <w:lang w:val="en-US"/>
        </w:rPr>
        <w:t>GPS</w:t>
      </w:r>
      <w:r>
        <w:rPr>
          <w:sz w:val="28"/>
          <w:szCs w:val="28"/>
          <w:u w:val="none"/>
          <w:lang w:val="ru-RU"/>
        </w:rPr>
        <w:noBreakHyphen/>
      </w:r>
      <w:r>
        <w:rPr>
          <w:sz w:val="28"/>
          <w:szCs w:val="28"/>
          <w:u w:val="none"/>
        </w:rPr>
        <w:t>моніторингу громадського транспорту;</w:t>
      </w:r>
    </w:p>
    <w:p>
      <w:pPr>
        <w:pStyle w:val="LOnormal"/>
        <w:widowControl/>
        <w:numPr>
          <w:ilvl w:val="0"/>
          <w:numId w:val="2"/>
        </w:numPr>
        <w:tabs>
          <w:tab w:val="clear" w:pos="708"/>
          <w:tab w:val="left" w:pos="510" w:leader="none"/>
        </w:tabs>
        <w:spacing w:before="0" w:after="0"/>
        <w:ind w:left="0" w:right="0" w:firstLine="709"/>
        <w:contextualSpacing/>
        <w:jc w:val="both"/>
        <w:rPr/>
      </w:pPr>
      <w:r>
        <w:rPr>
          <w:sz w:val="28"/>
          <w:szCs w:val="28"/>
        </w:rPr>
        <w:t>- резерв валідаторів у кількості не менш ніж 10 % від загальної кількості транспортних засобів, обладнаних валідаторами;</w:t>
      </w:r>
    </w:p>
    <w:p>
      <w:pPr>
        <w:pStyle w:val="LOnormal"/>
        <w:widowControl/>
        <w:numPr>
          <w:ilvl w:val="0"/>
          <w:numId w:val="2"/>
        </w:numPr>
        <w:tabs>
          <w:tab w:val="clear" w:pos="708"/>
          <w:tab w:val="left" w:pos="510" w:leader="none"/>
        </w:tabs>
        <w:spacing w:before="0" w:after="0"/>
        <w:ind w:left="0" w:right="0" w:firstLine="709"/>
        <w:contextualSpacing/>
        <w:jc w:val="both"/>
        <w:rPr/>
      </w:pPr>
      <w:r>
        <w:rPr>
          <w:sz w:val="28"/>
          <w:szCs w:val="28"/>
        </w:rPr>
        <w:t>- можливість передоплаченого придбання поїздок (поповнення електронних квитків) через термінали з продажу та поповнення електронних квитків, пункти продажу;</w:t>
      </w:r>
    </w:p>
    <w:p>
      <w:pPr>
        <w:pStyle w:val="LOnormal"/>
        <w:widowControl/>
        <w:numPr>
          <w:ilvl w:val="0"/>
          <w:numId w:val="2"/>
        </w:numPr>
        <w:tabs>
          <w:tab w:val="clear" w:pos="708"/>
          <w:tab w:val="left" w:pos="510" w:leader="none"/>
        </w:tabs>
        <w:spacing w:before="0" w:after="0"/>
        <w:ind w:left="0" w:right="0" w:firstLine="709"/>
        <w:contextualSpacing/>
        <w:jc w:val="both"/>
        <w:rPr/>
      </w:pPr>
      <w:r>
        <w:rPr>
          <w:sz w:val="28"/>
          <w:szCs w:val="28"/>
        </w:rPr>
        <w:t>- організацію та функціонування пунктів продажу та поповнення електронних квитків;</w:t>
      </w:r>
    </w:p>
    <w:p>
      <w:pPr>
        <w:pStyle w:val="LOnormal"/>
        <w:widowControl/>
        <w:numPr>
          <w:ilvl w:val="0"/>
          <w:numId w:val="2"/>
        </w:numPr>
        <w:tabs>
          <w:tab w:val="clear" w:pos="708"/>
          <w:tab w:val="left" w:pos="510" w:leader="none"/>
        </w:tabs>
        <w:spacing w:before="0" w:after="0"/>
        <w:ind w:left="0" w:right="0" w:firstLine="709"/>
        <w:contextualSpacing/>
        <w:jc w:val="both"/>
        <w:rPr/>
      </w:pPr>
      <w:r>
        <w:rPr>
          <w:sz w:val="28"/>
          <w:szCs w:val="28"/>
        </w:rPr>
        <w:t xml:space="preserve">- безоплатне навчання у </w:t>
      </w:r>
      <w:r>
        <w:rPr>
          <w:rFonts w:eastAsia="Times New Roman" w:cs="Times New Roman"/>
          <w:color w:val="000000"/>
          <w:kern w:val="2"/>
          <w:sz w:val="28"/>
          <w:szCs w:val="28"/>
          <w:lang w:val="uk-UA" w:eastAsia="zh-CN" w:bidi="ar-SA"/>
        </w:rPr>
        <w:t>Луцькій міській  територіальній громаді</w:t>
      </w:r>
      <w:r>
        <w:rPr>
          <w:sz w:val="28"/>
          <w:szCs w:val="28"/>
        </w:rPr>
        <w:t xml:space="preserve"> уповноважених осіб Перевізника правилам користування та роботи із складовими АСООП, системи </w:t>
      </w:r>
      <w:r>
        <w:rPr>
          <w:sz w:val="28"/>
          <w:szCs w:val="28"/>
          <w:lang w:val="en-US"/>
        </w:rPr>
        <w:t>GPS</w:t>
      </w:r>
      <w:r>
        <w:rPr>
          <w:sz w:val="28"/>
          <w:szCs w:val="28"/>
          <w:lang w:val="ru-RU"/>
        </w:rPr>
        <w:noBreakHyphen/>
      </w:r>
      <w:r>
        <w:rPr>
          <w:sz w:val="28"/>
          <w:szCs w:val="28"/>
        </w:rPr>
        <w:t>моніторингу громадського транспорту, САСП та системи відеоспостереження.</w:t>
      </w:r>
    </w:p>
    <w:p>
      <w:pPr>
        <w:pStyle w:val="LOnormal"/>
        <w:keepNext w:val="false"/>
        <w:widowControl/>
        <w:numPr>
          <w:ilvl w:val="0"/>
          <w:numId w:val="2"/>
        </w:numPr>
        <w:tabs>
          <w:tab w:val="clear" w:pos="708"/>
          <w:tab w:val="left" w:pos="510" w:leader="none"/>
        </w:tabs>
        <w:spacing w:before="0" w:after="0"/>
        <w:ind w:left="0" w:right="0" w:firstLine="709"/>
        <w:contextualSpacing/>
        <w:jc w:val="both"/>
        <w:rPr/>
      </w:pPr>
      <w:r>
        <w:rPr>
          <w:sz w:val="28"/>
          <w:szCs w:val="28"/>
          <w:u w:val="none"/>
          <w:shd w:fill="auto" w:val="clear"/>
        </w:rPr>
        <w:t xml:space="preserve">2.3.2. Встановлювати обладнання АСООП, системи </w:t>
      </w:r>
      <w:r>
        <w:rPr>
          <w:sz w:val="28"/>
          <w:szCs w:val="28"/>
          <w:u w:val="none"/>
          <w:shd w:fill="auto" w:val="clear"/>
          <w:lang w:val="en-US"/>
        </w:rPr>
        <w:t>GPS</w:t>
      </w:r>
      <w:r>
        <w:rPr>
          <w:sz w:val="28"/>
          <w:szCs w:val="28"/>
          <w:u w:val="none"/>
          <w:shd w:fill="auto" w:val="clear"/>
          <w:lang w:val="ru-RU"/>
        </w:rPr>
        <w:t>-</w:t>
      </w:r>
      <w:r>
        <w:rPr>
          <w:sz w:val="28"/>
          <w:szCs w:val="28"/>
          <w:u w:val="none"/>
          <w:shd w:fill="auto" w:val="clear"/>
        </w:rPr>
        <w:t>моніторингу громадського транспорту, САСП, системи відеоспостереження,</w:t>
      </w:r>
      <w:r>
        <w:rPr>
          <w:bCs/>
          <w:sz w:val="28"/>
          <w:szCs w:val="28"/>
          <w:u w:val="none"/>
          <w:shd w:fill="auto" w:val="clear"/>
        </w:rPr>
        <w:t xml:space="preserve"> проводити пуско-налагоджувальні роботи, що </w:t>
      </w:r>
      <w:r>
        <w:rPr>
          <w:sz w:val="28"/>
          <w:szCs w:val="28"/>
          <w:u w:val="none"/>
          <w:shd w:fill="auto" w:val="clear"/>
        </w:rPr>
        <w:t>виконуються поетапно, згідно з графіком, погодженим Сторонами. Передавати обладнання за актом прийому-передачі, що підписується Сторонами Договору.</w:t>
      </w:r>
    </w:p>
    <w:p>
      <w:pPr>
        <w:pStyle w:val="LOnormal"/>
        <w:widowControl/>
        <w:numPr>
          <w:ilvl w:val="0"/>
          <w:numId w:val="2"/>
        </w:numPr>
        <w:tabs>
          <w:tab w:val="clear" w:pos="708"/>
          <w:tab w:val="left" w:pos="510" w:leader="none"/>
        </w:tabs>
        <w:spacing w:before="0" w:after="0"/>
        <w:ind w:left="0" w:right="0" w:firstLine="709"/>
        <w:contextualSpacing/>
        <w:jc w:val="both"/>
        <w:rPr/>
      </w:pPr>
      <w:r>
        <w:rPr>
          <w:sz w:val="28"/>
          <w:szCs w:val="28"/>
        </w:rPr>
        <w:t xml:space="preserve">2.3.3. Здійснювати монтаж/демонтаж (в тому числі з метою заміни транспортного засобу), налаштування роботи обладнання </w:t>
      </w:r>
      <w:r>
        <w:rPr>
          <w:bCs/>
          <w:sz w:val="28"/>
          <w:szCs w:val="28"/>
        </w:rPr>
        <w:t xml:space="preserve">АСООП, системи </w:t>
      </w:r>
      <w:r>
        <w:rPr>
          <w:bCs/>
          <w:sz w:val="28"/>
          <w:szCs w:val="28"/>
          <w:lang w:val="en-US"/>
        </w:rPr>
        <w:t>GPS</w:t>
      </w:r>
      <w:r>
        <w:rPr>
          <w:bCs/>
          <w:sz w:val="28"/>
          <w:szCs w:val="28"/>
          <w:lang w:val="ru-RU"/>
        </w:rPr>
        <w:t>-</w:t>
      </w:r>
      <w:r>
        <w:rPr>
          <w:bCs/>
          <w:sz w:val="28"/>
          <w:szCs w:val="28"/>
        </w:rPr>
        <w:t>моніторингу громадського транспорту, САСП, системи відеоспостереження</w:t>
      </w:r>
      <w:r>
        <w:rPr>
          <w:sz w:val="28"/>
          <w:szCs w:val="28"/>
        </w:rPr>
        <w:t>.</w:t>
      </w:r>
    </w:p>
    <w:p>
      <w:pPr>
        <w:pStyle w:val="Normal"/>
        <w:widowControl/>
        <w:numPr>
          <w:ilvl w:val="0"/>
          <w:numId w:val="2"/>
        </w:numPr>
        <w:tabs>
          <w:tab w:val="clear" w:pos="708"/>
          <w:tab w:val="left" w:pos="9355" w:leader="none"/>
        </w:tabs>
        <w:suppressAutoHyphens w:val="true"/>
        <w:bidi w:val="0"/>
        <w:ind w:left="0" w:right="0" w:firstLine="737"/>
        <w:jc w:val="both"/>
        <w:rPr/>
      </w:pPr>
      <w:r>
        <w:rPr>
          <w:sz w:val="28"/>
          <w:szCs w:val="28"/>
        </w:rPr>
        <w:t>2.3.3</w:t>
      </w:r>
      <w:r>
        <w:rPr>
          <w:sz w:val="28"/>
          <w:szCs w:val="28"/>
          <w:vertAlign w:val="superscript"/>
        </w:rPr>
        <w:t>1</w:t>
      </w:r>
      <w:r>
        <w:rPr>
          <w:sz w:val="28"/>
          <w:szCs w:val="28"/>
        </w:rPr>
        <w:t>. Щоденно (крім вихідних, святкових та неробочих днів) надавати Перевізнику до 12.00 год. інформацію про кількість перевезених пасажирів та проведених тр</w:t>
      </w:r>
      <w:bookmarkStart w:id="0" w:name="_GoBack"/>
      <w:bookmarkEnd w:id="0"/>
      <w:r>
        <w:rPr>
          <w:sz w:val="28"/>
          <w:szCs w:val="28"/>
        </w:rPr>
        <w:t xml:space="preserve">анзакцій за попередній день.  </w:t>
      </w:r>
    </w:p>
    <w:p>
      <w:pPr>
        <w:pStyle w:val="Normal"/>
        <w:widowControl/>
        <w:numPr>
          <w:ilvl w:val="0"/>
          <w:numId w:val="2"/>
        </w:numPr>
        <w:tabs>
          <w:tab w:val="clear" w:pos="708"/>
          <w:tab w:val="left" w:pos="9355" w:leader="none"/>
        </w:tabs>
        <w:suppressAutoHyphens w:val="true"/>
        <w:bidi w:val="0"/>
        <w:spacing w:before="0" w:after="0"/>
        <w:ind w:left="0" w:right="0" w:firstLine="737"/>
        <w:contextualSpacing/>
        <w:jc w:val="both"/>
        <w:rPr/>
      </w:pPr>
      <w:r>
        <w:rPr>
          <w:sz w:val="28"/>
          <w:szCs w:val="28"/>
          <w:u w:val="none"/>
        </w:rPr>
        <w:t>2.3.3</w:t>
      </w:r>
      <w:r>
        <w:rPr>
          <w:sz w:val="28"/>
          <w:szCs w:val="28"/>
          <w:u w:val="none"/>
          <w:vertAlign w:val="superscript"/>
        </w:rPr>
        <w:t>2</w:t>
      </w:r>
      <w:r>
        <w:rPr>
          <w:sz w:val="28"/>
          <w:szCs w:val="28"/>
          <w:u w:val="none"/>
        </w:rPr>
        <w:t xml:space="preserve">. Надати перевізнику в оренду за 1 грн на місяць (з ПДВ) термінали для виконання функцій контролю оплати (реєстрації) проїзду у </w:t>
      </w:r>
      <w:r>
        <w:rPr>
          <w:sz w:val="28"/>
          <w:szCs w:val="28"/>
          <w:u w:val="none"/>
        </w:rPr>
        <w:t>при</w:t>
      </w:r>
      <w:r>
        <w:rPr>
          <w:sz w:val="28"/>
          <w:szCs w:val="28"/>
          <w:u w:val="none"/>
        </w:rPr>
        <w:t xml:space="preserve">міському пасажирському транспорті загального користування у </w:t>
      </w:r>
      <w:r>
        <w:rPr>
          <w:rFonts w:eastAsia="Times New Roman" w:cs="Times New Roman"/>
          <w:color w:val="000000"/>
          <w:kern w:val="2"/>
          <w:sz w:val="28"/>
          <w:szCs w:val="28"/>
          <w:u w:val="none"/>
          <w:lang w:val="uk-UA" w:eastAsia="zh-CN" w:bidi="ar-SA"/>
        </w:rPr>
        <w:t>Луцькій міській  територіальній громаді</w:t>
      </w:r>
      <w:r>
        <w:rPr>
          <w:sz w:val="28"/>
          <w:szCs w:val="28"/>
          <w:u w:val="none"/>
        </w:rPr>
        <w:t xml:space="preserve"> відповідно до кількості працівників Служби контролю перевізника.</w:t>
      </w:r>
    </w:p>
    <w:p>
      <w:pPr>
        <w:pStyle w:val="LOnormal"/>
        <w:widowControl/>
        <w:numPr>
          <w:ilvl w:val="0"/>
          <w:numId w:val="2"/>
        </w:numPr>
        <w:tabs>
          <w:tab w:val="clear" w:pos="708"/>
          <w:tab w:val="left" w:pos="510" w:leader="none"/>
        </w:tabs>
        <w:spacing w:before="0" w:after="0"/>
        <w:ind w:left="0" w:right="0" w:firstLine="709"/>
        <w:contextualSpacing/>
        <w:jc w:val="both"/>
        <w:rPr/>
      </w:pPr>
      <w:r>
        <w:rPr>
          <w:sz w:val="28"/>
          <w:szCs w:val="28"/>
        </w:rPr>
        <w:t>Оператор має право:</w:t>
      </w:r>
    </w:p>
    <w:p>
      <w:pPr>
        <w:pStyle w:val="LOnormal"/>
        <w:widowControl/>
        <w:numPr>
          <w:ilvl w:val="0"/>
          <w:numId w:val="2"/>
        </w:numPr>
        <w:tabs>
          <w:tab w:val="clear" w:pos="708"/>
          <w:tab w:val="left" w:pos="510" w:leader="none"/>
        </w:tabs>
        <w:spacing w:before="0" w:after="0"/>
        <w:ind w:left="0" w:right="0" w:firstLine="709"/>
        <w:contextualSpacing/>
        <w:jc w:val="both"/>
        <w:rPr/>
      </w:pPr>
      <w:r>
        <w:rPr>
          <w:sz w:val="28"/>
          <w:szCs w:val="28"/>
        </w:rPr>
        <w:t>2.3.4. За власною ініціативою та попереднім погодженням із Організатором встановлювати обладнання візуального та звукового сповіщення на зупинках громадського транспорту.</w:t>
      </w:r>
    </w:p>
    <w:p>
      <w:pPr>
        <w:pStyle w:val="LOnormal"/>
        <w:widowControl/>
        <w:numPr>
          <w:ilvl w:val="0"/>
          <w:numId w:val="2"/>
        </w:numPr>
        <w:tabs>
          <w:tab w:val="clear" w:pos="708"/>
          <w:tab w:val="left" w:pos="15" w:leader="none"/>
        </w:tabs>
        <w:spacing w:before="0" w:after="0"/>
        <w:ind w:left="0" w:right="0" w:firstLine="709"/>
        <w:contextualSpacing/>
        <w:jc w:val="both"/>
        <w:rPr/>
      </w:pPr>
      <w:r>
        <w:rPr>
          <w:bCs/>
          <w:sz w:val="28"/>
          <w:szCs w:val="28"/>
        </w:rPr>
        <w:t>2.4. Права та обов’язки Перевізника при впровадженні АСООП, організації та забезпеченні справляння плати за проїзд:</w:t>
      </w:r>
    </w:p>
    <w:p>
      <w:pPr>
        <w:pStyle w:val="LOnormal"/>
        <w:keepNext w:val="false"/>
        <w:widowControl/>
        <w:numPr>
          <w:ilvl w:val="0"/>
          <w:numId w:val="2"/>
        </w:numPr>
        <w:tabs>
          <w:tab w:val="clear" w:pos="708"/>
          <w:tab w:val="left" w:pos="15" w:leader="none"/>
        </w:tabs>
        <w:spacing w:before="0" w:after="0"/>
        <w:ind w:left="0" w:right="0" w:firstLine="709"/>
        <w:contextualSpacing/>
        <w:jc w:val="both"/>
        <w:rPr/>
      </w:pPr>
      <w:r>
        <w:rPr>
          <w:sz w:val="28"/>
          <w:szCs w:val="28"/>
          <w:u w:val="none"/>
        </w:rPr>
        <w:t>Перевізник зобов’язаний:</w:t>
      </w:r>
    </w:p>
    <w:p>
      <w:pPr>
        <w:pStyle w:val="LOnormal"/>
        <w:widowControl/>
        <w:numPr>
          <w:ilvl w:val="0"/>
          <w:numId w:val="2"/>
        </w:numPr>
        <w:tabs>
          <w:tab w:val="clear" w:pos="708"/>
          <w:tab w:val="left" w:pos="15" w:leader="none"/>
        </w:tabs>
        <w:spacing w:before="0" w:after="0"/>
        <w:ind w:left="0" w:right="0" w:firstLine="709"/>
        <w:contextualSpacing/>
        <w:jc w:val="both"/>
        <w:rPr/>
      </w:pPr>
      <w:r>
        <w:rPr>
          <w:sz w:val="28"/>
          <w:szCs w:val="28"/>
        </w:rPr>
        <w:t xml:space="preserve">2.4.1. Прийняти від Оператора у тимчасове користування, відповідно до актів прийому-передачі, обладнання АСООП, системи </w:t>
      </w:r>
      <w:r>
        <w:rPr>
          <w:sz w:val="28"/>
          <w:szCs w:val="28"/>
          <w:lang w:val="en-US"/>
        </w:rPr>
        <w:t>GPS</w:t>
      </w:r>
      <w:r>
        <w:rPr>
          <w:sz w:val="28"/>
          <w:szCs w:val="28"/>
        </w:rPr>
        <w:t xml:space="preserve">-моніторингу громадського транспорту, САСП, системи відеоспостереження, що встановлюється у транспортних засобах Перевізника і є власністю Оператора. Такий акт підписується Сторонами Договору після встановлення та тестування обладнання на транспортних засобах Перевізника. </w:t>
      </w:r>
    </w:p>
    <w:p>
      <w:pPr>
        <w:pStyle w:val="LOnormal"/>
        <w:widowControl/>
        <w:numPr>
          <w:ilvl w:val="0"/>
          <w:numId w:val="2"/>
        </w:numPr>
        <w:tabs>
          <w:tab w:val="clear" w:pos="708"/>
          <w:tab w:val="left" w:pos="15" w:leader="none"/>
        </w:tabs>
        <w:spacing w:before="0" w:after="0"/>
        <w:ind w:left="0" w:right="0" w:firstLine="709"/>
        <w:contextualSpacing/>
        <w:jc w:val="both"/>
        <w:rPr/>
      </w:pPr>
      <w:r>
        <w:rPr>
          <w:sz w:val="28"/>
          <w:szCs w:val="28"/>
        </w:rPr>
        <w:t xml:space="preserve">2.4.2. Надавати транспортні засоби для встановлення обладнання АСООП, системи </w:t>
      </w:r>
      <w:r>
        <w:rPr>
          <w:sz w:val="28"/>
          <w:szCs w:val="28"/>
          <w:lang w:val="en-US"/>
        </w:rPr>
        <w:t>GPS</w:t>
      </w:r>
      <w:r>
        <w:rPr>
          <w:sz w:val="28"/>
          <w:szCs w:val="28"/>
          <w:lang w:val="ru-RU"/>
        </w:rPr>
        <w:t>-</w:t>
      </w:r>
      <w:r>
        <w:rPr>
          <w:sz w:val="28"/>
          <w:szCs w:val="28"/>
        </w:rPr>
        <w:t>моніторингу громадського транспорту, САСП, системи відеоспостереження в години, погоджені з Оператором.</w:t>
      </w:r>
    </w:p>
    <w:p>
      <w:pPr>
        <w:pStyle w:val="LOnormal"/>
        <w:keepNext w:val="false"/>
        <w:widowControl/>
        <w:numPr>
          <w:ilvl w:val="0"/>
          <w:numId w:val="2"/>
        </w:numPr>
        <w:tabs>
          <w:tab w:val="clear" w:pos="708"/>
          <w:tab w:val="left" w:pos="15" w:leader="none"/>
        </w:tabs>
        <w:spacing w:before="0" w:after="0"/>
        <w:ind w:left="0" w:right="0" w:firstLine="709"/>
        <w:contextualSpacing/>
        <w:jc w:val="both"/>
        <w:rPr/>
      </w:pPr>
      <w:r>
        <w:rPr>
          <w:sz w:val="28"/>
          <w:szCs w:val="28"/>
          <w:u w:val="none"/>
        </w:rPr>
        <w:t>2.4.3. Реєструвати в системі всі зміни в графіках руху транспортних засобів.</w:t>
      </w:r>
    </w:p>
    <w:p>
      <w:pPr>
        <w:pStyle w:val="LOnormal"/>
        <w:widowControl/>
        <w:numPr>
          <w:ilvl w:val="0"/>
          <w:numId w:val="2"/>
        </w:numPr>
        <w:tabs>
          <w:tab w:val="clear" w:pos="708"/>
          <w:tab w:val="left" w:pos="15" w:leader="none"/>
        </w:tabs>
        <w:spacing w:before="0" w:after="0"/>
        <w:ind w:left="0" w:right="0" w:firstLine="709"/>
        <w:contextualSpacing/>
        <w:jc w:val="both"/>
        <w:rPr/>
      </w:pPr>
      <w:r>
        <w:rPr>
          <w:sz w:val="28"/>
          <w:szCs w:val="28"/>
        </w:rPr>
        <w:t xml:space="preserve">2.4.4. До виїзду з території підприємства чи місця стоянки ввімкнути обладнання АСООП, системи </w:t>
      </w:r>
      <w:r>
        <w:rPr>
          <w:sz w:val="28"/>
          <w:szCs w:val="28"/>
          <w:lang w:val="en-US"/>
        </w:rPr>
        <w:t>GPS</w:t>
      </w:r>
      <w:r>
        <w:rPr>
          <w:sz w:val="28"/>
          <w:szCs w:val="28"/>
        </w:rPr>
        <w:t xml:space="preserve">-моніторингу громадського транспорту, САСП, системи відеоспостереження. </w:t>
      </w:r>
    </w:p>
    <w:p>
      <w:pPr>
        <w:pStyle w:val="LOnormal"/>
        <w:widowControl/>
        <w:numPr>
          <w:ilvl w:val="0"/>
          <w:numId w:val="2"/>
        </w:numPr>
        <w:tabs>
          <w:tab w:val="clear" w:pos="708"/>
          <w:tab w:val="left" w:pos="15" w:leader="none"/>
        </w:tabs>
        <w:spacing w:before="0" w:after="0"/>
        <w:ind w:left="0" w:right="0" w:firstLine="709"/>
        <w:contextualSpacing/>
        <w:jc w:val="both"/>
        <w:rPr/>
      </w:pPr>
      <w:r>
        <w:rPr>
          <w:sz w:val="28"/>
          <w:szCs w:val="28"/>
        </w:rPr>
        <w:t xml:space="preserve">2.4.5. Не допускати роботу транспортних засобів на маршрутній мережі без відповідного обладнання АСООП, системи </w:t>
      </w:r>
      <w:r>
        <w:rPr>
          <w:sz w:val="28"/>
          <w:szCs w:val="28"/>
          <w:lang w:val="en-US"/>
        </w:rPr>
        <w:t>GPS</w:t>
      </w:r>
      <w:r>
        <w:rPr>
          <w:sz w:val="28"/>
          <w:szCs w:val="28"/>
          <w:lang w:val="ru-RU"/>
        </w:rPr>
        <w:t>-</w:t>
      </w:r>
      <w:r>
        <w:rPr>
          <w:sz w:val="28"/>
          <w:szCs w:val="28"/>
        </w:rPr>
        <w:t>моніторингу громадського транспорту, САСП, системи відеоспостереження, не допускати роботу транспортних засобів на маршрутній мережі з вимкненим або непрацездатним таким обладнанням.</w:t>
      </w:r>
    </w:p>
    <w:p>
      <w:pPr>
        <w:pStyle w:val="LOnormal"/>
        <w:keepNext w:val="false"/>
        <w:widowControl/>
        <w:numPr>
          <w:ilvl w:val="0"/>
          <w:numId w:val="2"/>
        </w:numPr>
        <w:tabs>
          <w:tab w:val="clear" w:pos="708"/>
          <w:tab w:val="left" w:pos="15" w:leader="none"/>
        </w:tabs>
        <w:spacing w:before="0" w:after="0"/>
        <w:ind w:left="0" w:right="0" w:firstLine="709"/>
        <w:contextualSpacing/>
        <w:jc w:val="both"/>
        <w:rPr/>
      </w:pPr>
      <w:r>
        <w:rPr>
          <w:sz w:val="28"/>
          <w:szCs w:val="28"/>
          <w:u w:val="none"/>
        </w:rPr>
        <w:t xml:space="preserve">2.4.6. Забезпечити внесення необхідних даних в АСООП та систему </w:t>
      </w:r>
      <w:r>
        <w:rPr>
          <w:sz w:val="28"/>
          <w:szCs w:val="28"/>
          <w:u w:val="none"/>
          <w:lang w:val="en-US"/>
        </w:rPr>
        <w:t>GPS</w:t>
        <w:noBreakHyphen/>
      </w:r>
      <w:r>
        <w:rPr>
          <w:sz w:val="28"/>
          <w:szCs w:val="28"/>
          <w:u w:val="none"/>
        </w:rPr>
        <w:t xml:space="preserve">моніторингу </w:t>
      </w:r>
      <w:r>
        <w:rPr>
          <w:bCs/>
          <w:sz w:val="28"/>
          <w:szCs w:val="28"/>
          <w:u w:val="none"/>
        </w:rPr>
        <w:t xml:space="preserve">громадського транспорту </w:t>
      </w:r>
      <w:r>
        <w:rPr>
          <w:sz w:val="28"/>
          <w:szCs w:val="28"/>
          <w:u w:val="none"/>
        </w:rPr>
        <w:t>власними силами в межах наданих клієнтським доступом повноважень.</w:t>
      </w:r>
    </w:p>
    <w:p>
      <w:pPr>
        <w:pStyle w:val="LOnormal"/>
        <w:widowControl/>
        <w:numPr>
          <w:ilvl w:val="0"/>
          <w:numId w:val="2"/>
        </w:numPr>
        <w:tabs>
          <w:tab w:val="clear" w:pos="708"/>
          <w:tab w:val="left" w:pos="15" w:leader="none"/>
        </w:tabs>
        <w:spacing w:before="0" w:after="0"/>
        <w:ind w:left="0" w:right="0" w:firstLine="709"/>
        <w:contextualSpacing/>
        <w:jc w:val="both"/>
        <w:rPr/>
      </w:pPr>
      <w:r>
        <w:rPr>
          <w:sz w:val="28"/>
          <w:szCs w:val="28"/>
        </w:rPr>
        <w:t xml:space="preserve">2.4.7. При умові виходу з ладу обладнання АСООП, системи </w:t>
      </w:r>
      <w:r>
        <w:rPr>
          <w:sz w:val="28"/>
          <w:szCs w:val="28"/>
          <w:lang w:val="en-US"/>
        </w:rPr>
        <w:t>GPS</w:t>
        <w:noBreakHyphen/>
      </w:r>
      <w:r>
        <w:rPr>
          <w:sz w:val="28"/>
          <w:szCs w:val="28"/>
        </w:rPr>
        <w:t>моніторингу громадського транспорту, САСП, системи відеоспостереження чи відмови цих систем невідкладно повідомити через уповноважених осіб (в тому числі диспетчера, керівника) текстовим сповіщенням по каналах зв’язку з сервісно-технічною службою Оператора. При виході з ладу системи валідації транспортний засіб повинен залишатись за адресою настання несправності. Канали зв’язку з сервісно-технічною службою Оператора _____________.</w:t>
      </w:r>
    </w:p>
    <w:p>
      <w:pPr>
        <w:pStyle w:val="LOnormal"/>
        <w:keepNext w:val="false"/>
        <w:widowControl/>
        <w:numPr>
          <w:ilvl w:val="0"/>
          <w:numId w:val="2"/>
        </w:numPr>
        <w:tabs>
          <w:tab w:val="clear" w:pos="708"/>
          <w:tab w:val="left" w:pos="15" w:leader="none"/>
        </w:tabs>
        <w:spacing w:before="0" w:after="0"/>
        <w:ind w:left="0" w:right="0" w:firstLine="709"/>
        <w:contextualSpacing/>
        <w:jc w:val="both"/>
        <w:rPr/>
      </w:pPr>
      <w:r>
        <w:rPr>
          <w:sz w:val="28"/>
          <w:szCs w:val="28"/>
          <w:u w:val="none"/>
        </w:rPr>
        <w:t xml:space="preserve">2.4.8. Забезпечити проходження уповноваженими особами навчання правилам користування та роботи із складовими АСООП, системи </w:t>
      </w:r>
      <w:r>
        <w:rPr>
          <w:sz w:val="28"/>
          <w:szCs w:val="28"/>
          <w:u w:val="none"/>
          <w:lang w:val="en-US"/>
        </w:rPr>
        <w:t>GPS</w:t>
        <w:noBreakHyphen/>
      </w:r>
      <w:r>
        <w:rPr>
          <w:sz w:val="28"/>
          <w:szCs w:val="28"/>
          <w:u w:val="none"/>
        </w:rPr>
        <w:t>моніторингу громадського транспорту, САСП, системи відеоспостереження.</w:t>
      </w:r>
    </w:p>
    <w:p>
      <w:pPr>
        <w:pStyle w:val="LOnormal"/>
        <w:widowControl/>
        <w:numPr>
          <w:ilvl w:val="0"/>
          <w:numId w:val="2"/>
        </w:numPr>
        <w:tabs>
          <w:tab w:val="clear" w:pos="708"/>
          <w:tab w:val="left" w:pos="15" w:leader="none"/>
        </w:tabs>
        <w:spacing w:before="0" w:after="0"/>
        <w:ind w:left="0" w:right="0" w:firstLine="709"/>
        <w:contextualSpacing/>
        <w:jc w:val="both"/>
        <w:rPr/>
      </w:pPr>
      <w:r>
        <w:rPr>
          <w:sz w:val="28"/>
          <w:szCs w:val="28"/>
        </w:rPr>
        <w:t xml:space="preserve">2.4.9. Унеможливити втручання в роботу технічних приладів та інших складових АСООП, системи </w:t>
      </w:r>
      <w:r>
        <w:rPr>
          <w:sz w:val="28"/>
          <w:szCs w:val="28"/>
          <w:lang w:val="en-US"/>
        </w:rPr>
        <w:t>GPS</w:t>
      </w:r>
      <w:r>
        <w:rPr>
          <w:sz w:val="28"/>
          <w:szCs w:val="28"/>
          <w:lang w:val="ru-RU"/>
        </w:rPr>
        <w:t>-</w:t>
      </w:r>
      <w:r>
        <w:rPr>
          <w:sz w:val="28"/>
          <w:szCs w:val="28"/>
        </w:rPr>
        <w:t>моніторингу громадського транспорту, САСП та системи відеоспостереження.</w:t>
      </w:r>
    </w:p>
    <w:p>
      <w:pPr>
        <w:pStyle w:val="LOnormal"/>
        <w:keepNext w:val="false"/>
        <w:widowControl/>
        <w:numPr>
          <w:ilvl w:val="0"/>
          <w:numId w:val="2"/>
        </w:numPr>
        <w:tabs>
          <w:tab w:val="clear" w:pos="708"/>
          <w:tab w:val="left" w:pos="15" w:leader="none"/>
        </w:tabs>
        <w:spacing w:before="0" w:after="0"/>
        <w:ind w:left="0" w:right="0" w:firstLine="709"/>
        <w:contextualSpacing/>
        <w:jc w:val="both"/>
        <w:rPr/>
      </w:pPr>
      <w:r>
        <w:rPr>
          <w:sz w:val="28"/>
          <w:szCs w:val="28"/>
          <w:u w:val="none"/>
          <w:shd w:fill="auto" w:val="clear"/>
          <w:lang w:val="uk-UA"/>
        </w:rPr>
        <w:t>Перевізник має право:</w:t>
      </w:r>
    </w:p>
    <w:p>
      <w:pPr>
        <w:pStyle w:val="LOnormal"/>
        <w:widowControl/>
        <w:numPr>
          <w:ilvl w:val="0"/>
          <w:numId w:val="2"/>
        </w:numPr>
        <w:tabs>
          <w:tab w:val="clear" w:pos="708"/>
          <w:tab w:val="left" w:pos="15" w:leader="none"/>
        </w:tabs>
        <w:spacing w:before="0" w:after="0"/>
        <w:ind w:left="0" w:right="0" w:firstLine="709"/>
        <w:contextualSpacing/>
        <w:jc w:val="both"/>
        <w:rPr/>
      </w:pPr>
      <w:r>
        <w:rPr>
          <w:sz w:val="28"/>
          <w:szCs w:val="28"/>
        </w:rPr>
        <w:t>2.4.10. У разі досягнення згоди між Сторонами за окремим договором між Перевізником та Оператором уповноважені особи Перевізника здійснювати продаж та поповнення електронних квитків у салонах транспортних засобів.</w:t>
      </w:r>
    </w:p>
    <w:p>
      <w:pPr>
        <w:pStyle w:val="LOnormal"/>
        <w:widowControl/>
        <w:numPr>
          <w:ilvl w:val="0"/>
          <w:numId w:val="2"/>
        </w:numPr>
        <w:tabs>
          <w:tab w:val="clear" w:pos="708"/>
          <w:tab w:val="left" w:pos="15" w:leader="none"/>
        </w:tabs>
        <w:spacing w:before="0" w:after="0"/>
        <w:ind w:left="0" w:right="0" w:firstLine="709"/>
        <w:contextualSpacing/>
        <w:jc w:val="both"/>
        <w:rPr/>
      </w:pPr>
      <w:r>
        <w:rPr>
          <w:sz w:val="28"/>
          <w:szCs w:val="28"/>
        </w:rPr>
        <w:t>2.4.11. Укласти договір страхування обладнання АСООП, системи  GPS</w:t>
      </w:r>
      <w:r>
        <w:rPr>
          <w:sz w:val="28"/>
          <w:szCs w:val="28"/>
          <w:lang w:val="ru-RU"/>
        </w:rPr>
        <w:t>-</w:t>
      </w:r>
      <w:r>
        <w:rPr>
          <w:sz w:val="28"/>
          <w:szCs w:val="28"/>
        </w:rPr>
        <w:t>моніторингу громадського транспорту, САСП та системи відеоспостереження із обраною ним страховою компанією.</w:t>
      </w:r>
    </w:p>
    <w:p>
      <w:pPr>
        <w:pStyle w:val="Normal"/>
        <w:keepNext w:val="false"/>
        <w:widowControl/>
        <w:numPr>
          <w:ilvl w:val="0"/>
          <w:numId w:val="2"/>
        </w:numPr>
        <w:tabs>
          <w:tab w:val="clear" w:pos="708"/>
          <w:tab w:val="left" w:pos="15" w:leader="none"/>
        </w:tabs>
        <w:spacing w:before="0" w:after="0"/>
        <w:ind w:left="0" w:right="0" w:firstLine="709"/>
        <w:contextualSpacing/>
        <w:jc w:val="both"/>
        <w:rPr/>
      </w:pPr>
      <w:r>
        <w:rPr>
          <w:rFonts w:cs="Times New Roman"/>
          <w:b w:val="false"/>
          <w:i w:val="false"/>
          <w:caps w:val="false"/>
          <w:smallCaps w:val="false"/>
          <w:strike w:val="false"/>
          <w:dstrike w:val="false"/>
          <w:color w:val="000000"/>
          <w:sz w:val="28"/>
          <w:szCs w:val="28"/>
          <w:u w:val="none"/>
        </w:rPr>
        <w:t>2.4.12. Ініціювати внесення змін до Договору.</w:t>
      </w:r>
    </w:p>
    <w:p>
      <w:pPr>
        <w:pStyle w:val="Normal"/>
        <w:numPr>
          <w:ilvl w:val="0"/>
          <w:numId w:val="2"/>
        </w:numPr>
        <w:tabs>
          <w:tab w:val="clear" w:pos="708"/>
          <w:tab w:val="left" w:pos="15" w:leader="none"/>
        </w:tabs>
        <w:spacing w:before="0" w:after="0"/>
        <w:ind w:left="0" w:right="0" w:firstLine="709"/>
        <w:contextualSpacing/>
        <w:jc w:val="both"/>
        <w:rPr/>
      </w:pPr>
      <w:r>
        <w:rPr>
          <w:color w:val="000000"/>
          <w:sz w:val="28"/>
          <w:szCs w:val="28"/>
        </w:rPr>
        <w:t>2.4.13. Отримувати від Оператора інформацію в межах транспортних засобів Перевізника, про кількість перевезених пасажирів, про виконання розкладу руху, іншу інформацію, яка може бути необхідна для визначення обсягу замовлення на транспортні послуги, для складання графіків руху. Мати клієнтський доступ до бази даних АСООП щодо транспортних транзакцій (без можливості внесення змін та коригувань).</w:t>
      </w:r>
    </w:p>
    <w:p>
      <w:pPr>
        <w:pStyle w:val="LOnormal"/>
        <w:widowControl/>
        <w:numPr>
          <w:ilvl w:val="0"/>
          <w:numId w:val="2"/>
        </w:numPr>
        <w:spacing w:before="0" w:after="0"/>
        <w:ind w:left="0" w:right="0" w:firstLine="709"/>
        <w:contextualSpacing/>
        <w:jc w:val="both"/>
        <w:rPr/>
      </w:pPr>
      <w:r>
        <w:rPr>
          <w:bCs/>
          <w:sz w:val="28"/>
          <w:szCs w:val="28"/>
        </w:rPr>
        <w:t xml:space="preserve">2.5. Обов’язки Перевізника при використанні обладнання АСООП, системи </w:t>
      </w:r>
      <w:r>
        <w:rPr>
          <w:bCs/>
          <w:sz w:val="28"/>
          <w:szCs w:val="28"/>
          <w:lang w:val="en-US"/>
        </w:rPr>
        <w:t>GPS</w:t>
      </w:r>
      <w:r>
        <w:rPr>
          <w:bCs/>
          <w:sz w:val="28"/>
          <w:szCs w:val="28"/>
          <w:lang w:val="ru-RU"/>
        </w:rPr>
        <w:t>-</w:t>
      </w:r>
      <w:r>
        <w:rPr>
          <w:bCs/>
          <w:sz w:val="28"/>
          <w:szCs w:val="28"/>
        </w:rPr>
        <w:t xml:space="preserve">моніторингу громадського транспорту, САСП, системи відеоспостереження: </w:t>
      </w:r>
    </w:p>
    <w:p>
      <w:pPr>
        <w:pStyle w:val="Normal"/>
        <w:widowControl/>
        <w:numPr>
          <w:ilvl w:val="0"/>
          <w:numId w:val="2"/>
        </w:numPr>
        <w:tabs>
          <w:tab w:val="clear" w:pos="708"/>
          <w:tab w:val="left" w:pos="15" w:leader="none"/>
        </w:tabs>
        <w:spacing w:before="0" w:after="0"/>
        <w:ind w:left="0" w:right="0" w:firstLine="709"/>
        <w:contextualSpacing/>
        <w:jc w:val="both"/>
        <w:rPr/>
      </w:pPr>
      <w:bookmarkStart w:id="1" w:name="docs-internal-guid-0f44fcb3-7fff-579b-82"/>
      <w:bookmarkEnd w:id="1"/>
      <w:r>
        <w:rPr>
          <w:rFonts w:cs="Times New Roman"/>
          <w:b w:val="false"/>
          <w:bCs/>
          <w:i w:val="false"/>
          <w:caps w:val="false"/>
          <w:smallCaps w:val="false"/>
          <w:strike w:val="false"/>
          <w:dstrike w:val="false"/>
          <w:color w:val="000000"/>
          <w:sz w:val="28"/>
          <w:szCs w:val="28"/>
          <w:u w:val="none"/>
          <w:shd w:fill="auto" w:val="clear"/>
        </w:rPr>
        <w:t xml:space="preserve">Перевізник зобов’язаний: </w:t>
      </w:r>
    </w:p>
    <w:p>
      <w:pPr>
        <w:pStyle w:val="LOnormal"/>
        <w:widowControl/>
        <w:numPr>
          <w:ilvl w:val="0"/>
          <w:numId w:val="2"/>
        </w:numPr>
        <w:spacing w:before="0" w:after="0"/>
        <w:ind w:left="0" w:right="0" w:firstLine="709"/>
        <w:contextualSpacing/>
        <w:jc w:val="both"/>
        <w:rPr/>
      </w:pPr>
      <w:r>
        <w:rPr>
          <w:sz w:val="28"/>
          <w:szCs w:val="28"/>
        </w:rPr>
        <w:t xml:space="preserve">2.5.1. Використовувати встановлене Оператором у транспортних засобах </w:t>
      </w:r>
      <w:r>
        <w:rPr>
          <w:bCs/>
          <w:sz w:val="28"/>
          <w:szCs w:val="28"/>
        </w:rPr>
        <w:t xml:space="preserve">обладнання АСООП, системи </w:t>
      </w:r>
      <w:r>
        <w:rPr>
          <w:bCs/>
          <w:sz w:val="28"/>
          <w:szCs w:val="28"/>
          <w:lang w:val="en-US"/>
        </w:rPr>
        <w:t>GPS</w:t>
      </w:r>
      <w:r>
        <w:rPr>
          <w:bCs/>
          <w:sz w:val="28"/>
          <w:szCs w:val="28"/>
          <w:lang w:val="ru-RU"/>
        </w:rPr>
        <w:t>-</w:t>
      </w:r>
      <w:r>
        <w:rPr>
          <w:bCs/>
          <w:sz w:val="28"/>
          <w:szCs w:val="28"/>
        </w:rPr>
        <w:t xml:space="preserve">моніторингу громадського транспорту, САСП та системи відеоспостереження </w:t>
      </w:r>
      <w:r>
        <w:rPr>
          <w:sz w:val="28"/>
          <w:szCs w:val="28"/>
        </w:rPr>
        <w:t>за призначенням, відповідно до інструкцій з використання, наданих Оператором та забезпечити його збереження</w:t>
      </w:r>
      <w:r>
        <w:rPr>
          <w:bCs/>
          <w:sz w:val="28"/>
          <w:szCs w:val="28"/>
        </w:rPr>
        <w:t>.</w:t>
      </w:r>
    </w:p>
    <w:p>
      <w:pPr>
        <w:pStyle w:val="LOnormal"/>
        <w:widowControl/>
        <w:numPr>
          <w:ilvl w:val="0"/>
          <w:numId w:val="2"/>
        </w:numPr>
        <w:spacing w:before="0" w:after="0"/>
        <w:ind w:left="0" w:right="0" w:firstLine="709"/>
        <w:contextualSpacing/>
        <w:jc w:val="both"/>
        <w:rPr/>
      </w:pPr>
      <w:r>
        <w:rPr>
          <w:sz w:val="28"/>
          <w:szCs w:val="28"/>
        </w:rPr>
        <w:t xml:space="preserve">2.5.2. Не здійснювати будь-які правочини із іншими особами відносно переданого Оператором у користування </w:t>
      </w:r>
      <w:r>
        <w:rPr>
          <w:bCs/>
          <w:sz w:val="28"/>
          <w:szCs w:val="28"/>
        </w:rPr>
        <w:t xml:space="preserve">обладнання АСООП, системи        </w:t>
      </w:r>
      <w:r>
        <w:rPr>
          <w:bCs/>
          <w:sz w:val="28"/>
          <w:szCs w:val="28"/>
          <w:lang w:val="en-US"/>
        </w:rPr>
        <w:t>GPS</w:t>
      </w:r>
      <w:r>
        <w:rPr>
          <w:bCs/>
          <w:sz w:val="28"/>
          <w:szCs w:val="28"/>
          <w:lang w:val="ru-RU"/>
        </w:rPr>
        <w:t>-</w:t>
      </w:r>
      <w:r>
        <w:rPr>
          <w:bCs/>
          <w:sz w:val="28"/>
          <w:szCs w:val="28"/>
        </w:rPr>
        <w:t>моніторингу громадського транспорту, САСП та системи відеоспостереження</w:t>
      </w:r>
      <w:r>
        <w:rPr>
          <w:sz w:val="28"/>
          <w:szCs w:val="28"/>
        </w:rPr>
        <w:t>.</w:t>
      </w:r>
    </w:p>
    <w:p>
      <w:pPr>
        <w:pStyle w:val="Normal"/>
        <w:keepNext w:val="false"/>
        <w:widowControl/>
        <w:numPr>
          <w:ilvl w:val="0"/>
          <w:numId w:val="2"/>
        </w:numPr>
        <w:spacing w:before="0" w:after="0"/>
        <w:ind w:left="0" w:right="0" w:firstLine="709"/>
        <w:contextualSpacing/>
        <w:jc w:val="both"/>
        <w:rPr/>
      </w:pPr>
      <w:r>
        <w:rPr>
          <w:bCs/>
          <w:sz w:val="28"/>
          <w:szCs w:val="28"/>
          <w:u w:val="none"/>
        </w:rPr>
        <w:t>2.5.3. Нести повну матеріальну відповідальність за збереження, знищення чи пошкодження обладнання та складових АСООП, системи     GPS-моніторингу громадського транспорту, САСП та системи відеоспостереження. Факт умислу знищення чи пошкодження обладнання встановлюється відповідно до чинного законодавства.</w:t>
      </w:r>
    </w:p>
    <w:p>
      <w:pPr>
        <w:pStyle w:val="LOnormal"/>
        <w:keepNext w:val="false"/>
        <w:widowControl/>
        <w:numPr>
          <w:ilvl w:val="0"/>
          <w:numId w:val="2"/>
        </w:numPr>
        <w:spacing w:before="0" w:after="0"/>
        <w:ind w:left="0" w:right="0" w:firstLine="709"/>
        <w:contextualSpacing/>
        <w:jc w:val="both"/>
        <w:rPr/>
      </w:pPr>
      <w:r>
        <w:rPr>
          <w:sz w:val="28"/>
          <w:szCs w:val="28"/>
          <w:u w:val="none"/>
        </w:rPr>
        <w:t xml:space="preserve">2.5.4. По закінченню дії цього Договору з будь-яких підстав повернути Оператору обладнання АСООП, системи </w:t>
      </w:r>
      <w:r>
        <w:rPr>
          <w:sz w:val="28"/>
          <w:szCs w:val="28"/>
          <w:u w:val="none"/>
          <w:lang w:val="en-US"/>
        </w:rPr>
        <w:t>GPS</w:t>
      </w:r>
      <w:r>
        <w:rPr>
          <w:sz w:val="28"/>
          <w:szCs w:val="28"/>
          <w:u w:val="none"/>
        </w:rPr>
        <w:t>-моніторингу громадського транспорту, САСП та системи відеоспостереження</w:t>
      </w:r>
      <w:r>
        <w:rPr>
          <w:bCs/>
          <w:sz w:val="28"/>
          <w:szCs w:val="28"/>
          <w:u w:val="none"/>
        </w:rPr>
        <w:t xml:space="preserve"> </w:t>
      </w:r>
      <w:r>
        <w:rPr>
          <w:sz w:val="28"/>
          <w:szCs w:val="28"/>
          <w:u w:val="none"/>
        </w:rPr>
        <w:t xml:space="preserve">у робочому стані, з урахуванням природнього зносу зі складанням акту прийому-передачі, що підписується Сторонами Договору. </w:t>
      </w:r>
    </w:p>
    <w:p>
      <w:pPr>
        <w:pStyle w:val="LOnormal"/>
        <w:keepNext w:val="false"/>
        <w:widowControl/>
        <w:numPr>
          <w:ilvl w:val="0"/>
          <w:numId w:val="2"/>
        </w:numPr>
        <w:spacing w:before="0" w:after="0"/>
        <w:ind w:left="0" w:right="0" w:firstLine="709"/>
        <w:contextualSpacing/>
        <w:jc w:val="both"/>
        <w:rPr>
          <w:rFonts w:ascii="Times New Roman" w:hAnsi="Times New Roman"/>
          <w:sz w:val="28"/>
          <w:szCs w:val="28"/>
        </w:rPr>
      </w:pPr>
      <w:r>
        <w:rPr>
          <w:sz w:val="28"/>
          <w:szCs w:val="28"/>
        </w:rPr>
      </w:r>
    </w:p>
    <w:p>
      <w:pPr>
        <w:pStyle w:val="LOnormal"/>
        <w:keepNext w:val="false"/>
        <w:widowControl/>
        <w:numPr>
          <w:ilvl w:val="0"/>
          <w:numId w:val="2"/>
        </w:numPr>
        <w:shd w:val="clear" w:fill="auto"/>
        <w:tabs>
          <w:tab w:val="clear" w:pos="708"/>
          <w:tab w:val="left" w:pos="510" w:leader="none"/>
          <w:tab w:val="left" w:pos="851" w:leader="none"/>
          <w:tab w:val="left" w:pos="1985" w:leader="none"/>
        </w:tabs>
        <w:suppressAutoHyphens w:val="true"/>
        <w:overflowPunct w:val="true"/>
        <w:bidi w:val="0"/>
        <w:spacing w:before="0" w:after="0"/>
        <w:ind w:left="0" w:right="0" w:hanging="0"/>
        <w:contextualSpacing/>
        <w:jc w:val="center"/>
        <w:rPr/>
      </w:pPr>
      <w:r>
        <w:rPr>
          <w:b/>
          <w:bCs/>
          <w:sz w:val="28"/>
          <w:szCs w:val="28"/>
          <w:u w:val="none"/>
        </w:rPr>
        <w:t>3. Майнові та немайнові права Сторін Договору</w:t>
      </w:r>
    </w:p>
    <w:p>
      <w:pPr>
        <w:pStyle w:val="LOnormal"/>
        <w:widowControl/>
        <w:numPr>
          <w:ilvl w:val="0"/>
          <w:numId w:val="2"/>
        </w:numPr>
        <w:tabs>
          <w:tab w:val="clear" w:pos="708"/>
          <w:tab w:val="left" w:pos="510" w:leader="none"/>
        </w:tabs>
        <w:spacing w:before="0" w:after="0"/>
        <w:ind w:left="0" w:right="0" w:firstLine="709"/>
        <w:contextualSpacing/>
        <w:jc w:val="both"/>
        <w:rPr/>
      </w:pPr>
      <w:r>
        <w:rPr>
          <w:sz w:val="28"/>
          <w:szCs w:val="28"/>
        </w:rPr>
        <w:t xml:space="preserve">3.1. Оператор зобов’язаний за власний рахунок розгорнути АСООП, систему </w:t>
      </w:r>
      <w:r>
        <w:rPr>
          <w:sz w:val="28"/>
          <w:szCs w:val="28"/>
          <w:lang w:val="en-US"/>
        </w:rPr>
        <w:t>GPS</w:t>
      </w:r>
      <w:r>
        <w:rPr>
          <w:sz w:val="28"/>
          <w:szCs w:val="28"/>
          <w:lang w:val="ru-RU"/>
        </w:rPr>
        <w:t>-</w:t>
      </w:r>
      <w:r>
        <w:rPr>
          <w:sz w:val="28"/>
          <w:szCs w:val="28"/>
        </w:rPr>
        <w:t xml:space="preserve">моніторингу громадського транспорту, САСП та систему відеоспостереження на пасажирський транспорт (автобуси) </w:t>
      </w:r>
      <w:r>
        <w:rPr>
          <w:rFonts w:eastAsia="Times New Roman" w:cs="Times New Roman"/>
          <w:color w:val="000000"/>
          <w:kern w:val="2"/>
          <w:sz w:val="28"/>
          <w:szCs w:val="28"/>
          <w:lang w:val="uk-UA" w:eastAsia="zh-CN" w:bidi="ar-SA"/>
        </w:rPr>
        <w:t>Луцької міської  територіальної громади</w:t>
      </w:r>
      <w:r>
        <w:rPr>
          <w:sz w:val="28"/>
          <w:szCs w:val="28"/>
        </w:rPr>
        <w:t>.</w:t>
      </w:r>
    </w:p>
    <w:p>
      <w:pPr>
        <w:pStyle w:val="LOnormal"/>
        <w:widowControl/>
        <w:numPr>
          <w:ilvl w:val="0"/>
          <w:numId w:val="2"/>
        </w:numPr>
        <w:tabs>
          <w:tab w:val="clear" w:pos="708"/>
          <w:tab w:val="left" w:pos="510" w:leader="none"/>
        </w:tabs>
        <w:spacing w:before="0" w:after="0"/>
        <w:ind w:left="0" w:right="0" w:firstLine="709"/>
        <w:contextualSpacing/>
        <w:jc w:val="both"/>
        <w:rPr/>
      </w:pPr>
      <w:r>
        <w:rPr>
          <w:sz w:val="28"/>
          <w:szCs w:val="28"/>
        </w:rPr>
        <w:t xml:space="preserve">3.2. Майнові права на системи, що розгортаються на пасажирський транспорт та придбані Оператором згідно з п. 3.1. Договору, належать Оператору. </w:t>
      </w:r>
    </w:p>
    <w:p>
      <w:pPr>
        <w:pStyle w:val="LOnormal"/>
        <w:widowControl/>
        <w:numPr>
          <w:ilvl w:val="0"/>
          <w:numId w:val="2"/>
        </w:numPr>
        <w:tabs>
          <w:tab w:val="clear" w:pos="708"/>
          <w:tab w:val="left" w:pos="510" w:leader="none"/>
        </w:tabs>
        <w:spacing w:before="0" w:after="0"/>
        <w:ind w:left="0" w:right="0" w:firstLine="709"/>
        <w:contextualSpacing/>
        <w:jc w:val="both"/>
        <w:rPr/>
      </w:pPr>
      <w:r>
        <w:rPr>
          <w:sz w:val="28"/>
          <w:szCs w:val="28"/>
        </w:rPr>
        <w:t>3.3. Інформація Центральної бази даних належить Організатору.</w:t>
      </w:r>
    </w:p>
    <w:p>
      <w:pPr>
        <w:pStyle w:val="LOnormal"/>
        <w:widowControl/>
        <w:numPr>
          <w:ilvl w:val="0"/>
          <w:numId w:val="2"/>
        </w:numPr>
        <w:tabs>
          <w:tab w:val="clear" w:pos="708"/>
          <w:tab w:val="left" w:pos="510" w:leader="none"/>
        </w:tabs>
        <w:spacing w:before="0" w:after="0"/>
        <w:ind w:left="0" w:right="0" w:firstLine="709"/>
        <w:contextualSpacing/>
        <w:jc w:val="both"/>
        <w:rPr/>
      </w:pPr>
      <w:r>
        <w:rPr>
          <w:sz w:val="28"/>
          <w:szCs w:val="28"/>
        </w:rPr>
        <w:t>3.4. Відчуження своїх майнових прав на АСООП Стороною Договору іншій особі, його застава чи будь-яка інша дія, що може призвести до зміни правовласника майна, яке стосується виконання умов цього Договору, потребує письмової згоди всіх Сторін Договору.</w:t>
      </w:r>
    </w:p>
    <w:p>
      <w:pPr>
        <w:pStyle w:val="LOnormal"/>
        <w:keepNext w:val="false"/>
        <w:widowControl/>
        <w:numPr>
          <w:ilvl w:val="0"/>
          <w:numId w:val="2"/>
        </w:numPr>
        <w:tabs>
          <w:tab w:val="clear" w:pos="708"/>
          <w:tab w:val="left" w:pos="510" w:leader="none"/>
        </w:tabs>
        <w:spacing w:before="0" w:after="0"/>
        <w:ind w:left="0" w:right="0" w:firstLine="709"/>
        <w:contextualSpacing/>
        <w:jc w:val="both"/>
        <w:rPr/>
      </w:pPr>
      <w:r>
        <w:rPr>
          <w:sz w:val="28"/>
          <w:szCs w:val="28"/>
          <w:u w:val="none"/>
          <w:shd w:fill="auto" w:val="clear"/>
        </w:rPr>
        <w:t>3.5. Якщо під час побудови АСООП, її використанні, доопрацюванні, модернізації чи інших діях буде створено об’єкт права інтелектуальної власності (комп'ютерні програми; компіляції даних (бази даних); винаходи, корисні моделі, промислові зразки; компонування (топографії) інтегральних мікросхем; раціоналізаторські пропозиції тощо) право власності на такий об’єкт інтелектуальної власності належить особі (особам), визначеним Цивільним кодексом України.</w:t>
      </w:r>
    </w:p>
    <w:p>
      <w:pPr>
        <w:pStyle w:val="LOnormal"/>
        <w:widowControl/>
        <w:numPr>
          <w:ilvl w:val="0"/>
          <w:numId w:val="2"/>
        </w:numPr>
        <w:spacing w:before="0" w:after="0"/>
        <w:ind w:left="0" w:right="0" w:firstLine="709"/>
        <w:contextualSpacing/>
        <w:jc w:val="both"/>
        <w:rPr>
          <w:rFonts w:ascii="Times New Roman" w:hAnsi="Times New Roman"/>
          <w:sz w:val="28"/>
          <w:szCs w:val="28"/>
          <w:u w:val="none"/>
        </w:rPr>
      </w:pPr>
      <w:r>
        <w:rPr>
          <w:sz w:val="28"/>
          <w:szCs w:val="28"/>
          <w:u w:val="none"/>
        </w:rPr>
      </w:r>
    </w:p>
    <w:p>
      <w:pPr>
        <w:pStyle w:val="LOnormal"/>
        <w:keepNext w:val="false"/>
        <w:widowControl/>
        <w:numPr>
          <w:ilvl w:val="0"/>
          <w:numId w:val="2"/>
        </w:numPr>
        <w:shd w:val="clear" w:fill="auto"/>
        <w:tabs>
          <w:tab w:val="clear" w:pos="708"/>
          <w:tab w:val="left" w:pos="450" w:leader="none"/>
          <w:tab w:val="left" w:pos="585" w:leader="none"/>
        </w:tabs>
        <w:suppressAutoHyphens w:val="true"/>
        <w:overflowPunct w:val="true"/>
        <w:bidi w:val="0"/>
        <w:spacing w:before="0" w:after="0"/>
        <w:ind w:left="0" w:right="0" w:hanging="0"/>
        <w:contextualSpacing/>
        <w:jc w:val="center"/>
        <w:rPr/>
      </w:pPr>
      <w:r>
        <w:rPr>
          <w:b/>
          <w:bCs/>
          <w:sz w:val="28"/>
          <w:szCs w:val="28"/>
          <w:u w:val="none"/>
        </w:rPr>
        <w:t>4. Фінансові взаємовідносини між Сторонами Договору</w:t>
      </w:r>
    </w:p>
    <w:p>
      <w:pPr>
        <w:pStyle w:val="Normal"/>
        <w:keepNext w:val="false"/>
        <w:widowControl/>
        <w:numPr>
          <w:ilvl w:val="0"/>
          <w:numId w:val="2"/>
        </w:numPr>
        <w:shd w:val="clear" w:fill="FFFFFF"/>
        <w:spacing w:before="0" w:after="0"/>
        <w:ind w:left="0" w:right="0" w:firstLine="709"/>
        <w:contextualSpacing/>
        <w:jc w:val="both"/>
        <w:rPr/>
      </w:pPr>
      <w:r>
        <w:rPr>
          <w:sz w:val="28"/>
          <w:szCs w:val="28"/>
          <w:u w:val="none"/>
        </w:rPr>
        <w:t>4.1. </w:t>
      </w:r>
      <w:r>
        <w:rPr>
          <w:sz w:val="28"/>
          <w:szCs w:val="28"/>
          <w:u w:val="none"/>
          <w:lang w:eastAsia="uk-UA"/>
        </w:rPr>
        <w:t>Комісійну винагороду Оператор отримує від кожної проведеної у транспортних засобах Перевізника транзакції.</w:t>
      </w:r>
    </w:p>
    <w:p>
      <w:pPr>
        <w:pStyle w:val="Normal"/>
        <w:keepNext w:val="false"/>
        <w:widowControl/>
        <w:numPr>
          <w:ilvl w:val="0"/>
          <w:numId w:val="2"/>
        </w:numPr>
        <w:shd w:val="clear" w:fill="FFFFFF"/>
        <w:spacing w:before="0" w:after="0"/>
        <w:ind w:left="0" w:right="0" w:firstLine="709"/>
        <w:contextualSpacing/>
        <w:jc w:val="both"/>
        <w:rPr/>
      </w:pPr>
      <w:r>
        <w:rPr>
          <w:sz w:val="28"/>
          <w:szCs w:val="28"/>
          <w:u w:val="none"/>
          <w:shd w:fill="auto" w:val="clear"/>
          <w:lang w:eastAsia="uk-UA"/>
        </w:rPr>
        <w:t>4.1.1. Під терміном “транзакція” Сторони розуміють кожен факт оплати проїзду за допомогою електронного квитка, що передбачає безготівковий розрахунок.</w:t>
      </w:r>
    </w:p>
    <w:p>
      <w:pPr>
        <w:pStyle w:val="Normal"/>
        <w:keepNext w:val="false"/>
        <w:widowControl/>
        <w:numPr>
          <w:ilvl w:val="0"/>
          <w:numId w:val="2"/>
        </w:numPr>
        <w:shd w:val="clear" w:fill="FFFFFF"/>
        <w:spacing w:before="0" w:after="0"/>
        <w:ind w:left="0" w:right="0" w:firstLine="709"/>
        <w:contextualSpacing/>
        <w:jc w:val="both"/>
        <w:rPr/>
      </w:pPr>
      <w:r>
        <w:rPr>
          <w:sz w:val="28"/>
          <w:szCs w:val="28"/>
          <w:u w:val="none"/>
          <w:lang w:eastAsia="uk-UA"/>
        </w:rPr>
        <w:t xml:space="preserve">4.1.2. Оператор отримує комісійну винагороду за виконання зобов’язань за цим Договором відповідно до наступних ставок: </w:t>
      </w:r>
    </w:p>
    <w:p>
      <w:pPr>
        <w:pStyle w:val="LOnormal"/>
        <w:keepNext w:val="false"/>
        <w:widowControl/>
        <w:numPr>
          <w:ilvl w:val="0"/>
          <w:numId w:val="2"/>
        </w:numPr>
        <w:tabs>
          <w:tab w:val="clear" w:pos="708"/>
          <w:tab w:val="left" w:pos="15" w:leader="none"/>
        </w:tabs>
        <w:spacing w:before="0" w:after="0"/>
        <w:ind w:left="0" w:right="0" w:firstLine="709"/>
        <w:contextualSpacing/>
        <w:jc w:val="both"/>
        <w:rPr>
          <w:sz w:val="28"/>
          <w:szCs w:val="28"/>
          <w:u w:val="none"/>
        </w:rPr>
      </w:pPr>
      <w:r>
        <w:rPr>
          <w:sz w:val="28"/>
          <w:szCs w:val="28"/>
          <w:u w:val="none"/>
        </w:rPr>
      </w:r>
    </w:p>
    <w:p>
      <w:pPr>
        <w:pStyle w:val="LOnormal"/>
        <w:widowControl/>
        <w:numPr>
          <w:ilvl w:val="0"/>
          <w:numId w:val="2"/>
        </w:numPr>
        <w:tabs>
          <w:tab w:val="clear" w:pos="708"/>
          <w:tab w:val="left" w:pos="15" w:leader="none"/>
        </w:tabs>
        <w:spacing w:before="0" w:after="0"/>
        <w:ind w:left="0" w:right="0" w:firstLine="709"/>
        <w:contextualSpacing/>
        <w:jc w:val="both"/>
        <w:rPr/>
      </w:pPr>
      <w:r>
        <w:rPr>
          <w:sz w:val="28"/>
          <w:szCs w:val="28"/>
          <w:u w:val="none"/>
          <w:shd w:fill="auto" w:val="clear"/>
        </w:rPr>
        <w:t>- комісія за обслуговування системи:</w:t>
      </w:r>
    </w:p>
    <w:p>
      <w:pPr>
        <w:pStyle w:val="LOnormal"/>
        <w:keepNext w:val="false"/>
        <w:widowControl/>
        <w:numPr>
          <w:ilvl w:val="0"/>
          <w:numId w:val="2"/>
        </w:numPr>
        <w:tabs>
          <w:tab w:val="clear" w:pos="708"/>
          <w:tab w:val="left" w:pos="15" w:leader="none"/>
        </w:tabs>
        <w:spacing w:before="0" w:after="0"/>
        <w:ind w:left="0" w:right="0" w:firstLine="709"/>
        <w:contextualSpacing/>
        <w:jc w:val="both"/>
        <w:rPr/>
      </w:pPr>
      <w:r>
        <w:rPr>
          <w:sz w:val="28"/>
          <w:szCs w:val="28"/>
          <w:u w:val="none"/>
        </w:rPr>
        <w:t xml:space="preserve">8 % (вісім відсотків) від суми транзакції за проїзд пасажирів (за виключенням </w:t>
      </w:r>
      <w:r>
        <w:rPr>
          <w:rFonts w:cs="TimesNewRomanPSMT"/>
          <w:sz w:val="28"/>
          <w:szCs w:val="28"/>
          <w:u w:val="none"/>
        </w:rPr>
        <w:t>транзакцій за проїзд пільгових категорій пасажирів, які мають право на повну компенсацію вартості проїзду</w:t>
      </w:r>
      <w:r>
        <w:rPr>
          <w:sz w:val="28"/>
          <w:szCs w:val="28"/>
          <w:u w:val="none"/>
        </w:rPr>
        <w:t xml:space="preserve">), </w:t>
      </w:r>
    </w:p>
    <w:p>
      <w:pPr>
        <w:pStyle w:val="Normal"/>
        <w:keepNext w:val="false"/>
        <w:widowControl/>
        <w:numPr>
          <w:ilvl w:val="0"/>
          <w:numId w:val="2"/>
        </w:numPr>
        <w:tabs>
          <w:tab w:val="clear" w:pos="708"/>
          <w:tab w:val="left" w:pos="15" w:leader="none"/>
        </w:tabs>
        <w:spacing w:before="0" w:after="0"/>
        <w:ind w:left="0" w:right="0" w:firstLine="709"/>
        <w:contextualSpacing/>
        <w:jc w:val="both"/>
        <w:rPr/>
      </w:pPr>
      <w:r>
        <w:rPr>
          <w:sz w:val="28"/>
          <w:szCs w:val="28"/>
          <w:u w:val="none"/>
        </w:rPr>
        <w:t xml:space="preserve">4 % </w:t>
      </w:r>
      <w:r>
        <w:rPr>
          <w:rFonts w:cs="TimesNewRomanPSMT"/>
          <w:sz w:val="28"/>
          <w:szCs w:val="28"/>
          <w:u w:val="none"/>
        </w:rPr>
        <w:t>(чотири відсотки) від суми транзакції за проїзд пільгових категорій пасажирів, що мають право на повну компенсацію вартості проїзду (в разі відшкодування департаментом соціальної політики Перевізнику відповідно до діючого договору про відшкодування за надані послуги з перевезення пільгових категорій пасажирів).</w:t>
      </w:r>
    </w:p>
    <w:p>
      <w:pPr>
        <w:pStyle w:val="Normal"/>
        <w:keepNext w:val="false"/>
        <w:widowControl/>
        <w:numPr>
          <w:ilvl w:val="0"/>
          <w:numId w:val="2"/>
        </w:numPr>
        <w:shd w:val="clear" w:fill="FFFFFF"/>
        <w:spacing w:before="0" w:after="0"/>
        <w:ind w:left="0" w:right="0" w:firstLine="709"/>
        <w:contextualSpacing/>
        <w:jc w:val="both"/>
        <w:rPr/>
      </w:pPr>
      <w:r>
        <w:rPr>
          <w:sz w:val="28"/>
          <w:szCs w:val="28"/>
          <w:u w:val="none"/>
          <w:lang w:eastAsia="uk-UA"/>
        </w:rPr>
        <w:t>- комісія від продажу та поповнення електронних квитків – 2</w:t>
      </w:r>
      <w:r>
        <w:rPr>
          <w:sz w:val="28"/>
          <w:szCs w:val="28"/>
          <w:u w:val="none"/>
          <w:lang w:val="en-US" w:eastAsia="uk-UA"/>
        </w:rPr>
        <w:t> </w:t>
      </w:r>
      <w:r>
        <w:rPr>
          <w:sz w:val="28"/>
          <w:szCs w:val="28"/>
          <w:u w:val="none"/>
          <w:lang w:eastAsia="uk-UA"/>
        </w:rPr>
        <w:t xml:space="preserve">% (два відсотки) від суми транзакції. При поповненні електронних квитків у  автобусах шляхом залучення власних трудових ресурсів </w:t>
      </w:r>
      <w:r>
        <w:rPr>
          <w:b w:val="false"/>
          <w:bCs w:val="false"/>
          <w:sz w:val="28"/>
          <w:szCs w:val="28"/>
          <w:u w:val="none"/>
          <w:lang w:eastAsia="uk-UA"/>
        </w:rPr>
        <w:t>Перевізника</w:t>
      </w:r>
      <w:r>
        <w:rPr>
          <w:sz w:val="28"/>
          <w:szCs w:val="28"/>
          <w:u w:val="none"/>
          <w:lang w:eastAsia="uk-UA"/>
        </w:rPr>
        <w:t xml:space="preserve"> комісія не буде стягуватись.</w:t>
      </w:r>
    </w:p>
    <w:p>
      <w:pPr>
        <w:pStyle w:val="Normal"/>
        <w:widowControl/>
        <w:numPr>
          <w:ilvl w:val="0"/>
          <w:numId w:val="2"/>
        </w:numPr>
        <w:shd w:val="clear" w:fill="FFFFFF"/>
        <w:tabs>
          <w:tab w:val="clear" w:pos="708"/>
          <w:tab w:val="left" w:pos="9355" w:leader="none"/>
        </w:tabs>
        <w:suppressAutoHyphens w:val="true"/>
        <w:bidi w:val="0"/>
        <w:spacing w:before="0" w:after="0"/>
        <w:ind w:left="0" w:right="0" w:firstLine="737"/>
        <w:contextualSpacing/>
        <w:jc w:val="both"/>
        <w:rPr/>
      </w:pPr>
      <w:r>
        <w:rPr>
          <w:sz w:val="28"/>
          <w:szCs w:val="28"/>
          <w:u w:val="none"/>
          <w:lang w:eastAsia="uk-UA"/>
        </w:rPr>
        <w:t>4.1.3. Оператор має право на отримання комісійної винагороди на 11-й день після встановлення та тестування системи АСООП на пасажирському транспорті Перевізника, що підтверджується тристороннім актом прийому-передачі обладнання.</w:t>
      </w:r>
    </w:p>
    <w:p>
      <w:pPr>
        <w:pStyle w:val="Normal"/>
        <w:numPr>
          <w:ilvl w:val="0"/>
          <w:numId w:val="2"/>
        </w:numPr>
        <w:shd w:val="clear" w:fill="FFFFFF"/>
        <w:spacing w:before="0" w:after="0"/>
        <w:ind w:left="0" w:right="0" w:firstLine="709"/>
        <w:contextualSpacing/>
        <w:jc w:val="both"/>
        <w:rPr/>
      </w:pPr>
      <w:r>
        <w:rPr>
          <w:sz w:val="28"/>
          <w:szCs w:val="28"/>
          <w:lang w:eastAsia="uk-UA"/>
        </w:rPr>
        <w:t>4.2. Кошти, отримані Оператором від продажу/поповнення електронних квитків, акумулюються на окремому розрахунковому рахунку, відкритому в банку України на ім’я Оператора.</w:t>
      </w:r>
    </w:p>
    <w:p>
      <w:pPr>
        <w:pStyle w:val="Normal"/>
        <w:numPr>
          <w:ilvl w:val="0"/>
          <w:numId w:val="2"/>
        </w:numPr>
        <w:shd w:val="clear" w:fill="FFFFFF"/>
        <w:spacing w:before="0" w:after="0"/>
        <w:ind w:left="0" w:right="0" w:firstLine="709"/>
        <w:contextualSpacing/>
        <w:jc w:val="both"/>
        <w:rPr/>
      </w:pPr>
      <w:r>
        <w:rPr>
          <w:sz w:val="28"/>
          <w:szCs w:val="28"/>
          <w:lang w:eastAsia="uk-UA"/>
        </w:rPr>
        <w:t xml:space="preserve">Оплата за фактичне перевезення пасажирів </w:t>
      </w:r>
      <w:r>
        <w:rPr>
          <w:sz w:val="28"/>
          <w:szCs w:val="28"/>
          <w:lang w:eastAsia="uk-UA"/>
        </w:rPr>
        <w:t>при</w:t>
      </w:r>
      <w:r>
        <w:rPr>
          <w:sz w:val="28"/>
          <w:szCs w:val="28"/>
          <w:lang w:eastAsia="uk-UA"/>
        </w:rPr>
        <w:t>міським пасажирським транспортом здійснюється Оператором за рахунок цих коштів.</w:t>
      </w:r>
    </w:p>
    <w:p>
      <w:pPr>
        <w:pStyle w:val="Normal"/>
        <w:numPr>
          <w:ilvl w:val="0"/>
          <w:numId w:val="2"/>
        </w:numPr>
        <w:shd w:val="clear" w:fill="FFFFFF"/>
        <w:spacing w:before="0" w:after="0"/>
        <w:ind w:left="0" w:right="0" w:firstLine="709"/>
        <w:contextualSpacing/>
        <w:jc w:val="both"/>
        <w:rPr/>
      </w:pPr>
      <w:r>
        <w:rPr>
          <w:sz w:val="28"/>
          <w:szCs w:val="28"/>
          <w:lang w:eastAsia="uk-UA"/>
        </w:rPr>
        <w:t>4.3. </w:t>
      </w:r>
      <w:r>
        <w:rPr>
          <w:rFonts w:eastAsia="Times New Roman" w:cs="Times New Roman"/>
          <w:color w:val="auto"/>
          <w:kern w:val="0"/>
          <w:sz w:val="28"/>
          <w:szCs w:val="28"/>
          <w:u w:val="none"/>
          <w:lang w:val="uk-UA" w:eastAsia="uk-UA" w:bidi="ar-SA"/>
        </w:rPr>
        <w:t xml:space="preserve">Оператор проводить перерахунок коштів Перевізнику кожного наступного дня після звітного періоду до 12.00 год. Звітним періодом є календарний день. Якщо наступний день після звітного періоду припадає на вихідний, святковий чи неробочий, кошти за такі звітні періоди перераховуються Перевізнику Оператором до 12.00 наступного робочого дня після вихідного, святкового чи неробочого. Оператор проводить перерахунок коштів Перевізнику на основі отриманих даних АСООП в залежності від реально виконаної роботи (кількості перевезених пасажирів) за попередній звітний період (за виключенням транзакцій за проїзд пільгових категорій пасажирів, які мають право на повну компенсацію вартості проїзду), за мінусом: </w:t>
      </w:r>
    </w:p>
    <w:p>
      <w:pPr>
        <w:pStyle w:val="Normal"/>
        <w:numPr>
          <w:ilvl w:val="0"/>
          <w:numId w:val="2"/>
        </w:numPr>
        <w:shd w:val="clear" w:fill="FFFFFF"/>
        <w:spacing w:before="0" w:after="0"/>
        <w:ind w:left="0" w:right="0" w:firstLine="709"/>
        <w:contextualSpacing/>
        <w:jc w:val="both"/>
        <w:rPr/>
      </w:pPr>
      <w:r>
        <w:rPr>
          <w:rFonts w:eastAsia="Times New Roman" w:cs="Times New Roman"/>
          <w:color w:val="auto"/>
          <w:kern w:val="0"/>
          <w:sz w:val="28"/>
          <w:szCs w:val="28"/>
          <w:u w:val="none"/>
          <w:lang w:val="uk-UA" w:eastAsia="uk-UA" w:bidi="ar-SA"/>
        </w:rPr>
        <w:t xml:space="preserve">- суми комісійної винагороди Оператора. </w:t>
      </w:r>
    </w:p>
    <w:p>
      <w:pPr>
        <w:pStyle w:val="Normal"/>
        <w:widowControl/>
        <w:numPr>
          <w:ilvl w:val="0"/>
          <w:numId w:val="2"/>
        </w:numPr>
        <w:shd w:val="clear" w:fill="FFFFFF"/>
        <w:spacing w:before="0" w:after="0"/>
        <w:ind w:left="0" w:right="0" w:firstLine="709"/>
        <w:contextualSpacing/>
        <w:jc w:val="both"/>
        <w:rPr/>
      </w:pPr>
      <w:r>
        <w:rPr>
          <w:sz w:val="28"/>
          <w:szCs w:val="28"/>
          <w:u w:val="none"/>
          <w:lang w:eastAsia="uk-UA"/>
        </w:rPr>
        <w:t>4.4. Розмір плати за користування майном Оператора становить 1 (одна) грн в т.ч. ПДВ в рік. Кошти сплачуються Перевізником щороку до 31 грудня на підставі виставленого Оператором рахунку.</w:t>
      </w:r>
    </w:p>
    <w:p>
      <w:pPr>
        <w:pStyle w:val="Normal"/>
        <w:keepNext w:val="false"/>
        <w:widowControl/>
        <w:numPr>
          <w:ilvl w:val="0"/>
          <w:numId w:val="2"/>
        </w:numPr>
        <w:shd w:val="clear" w:fill="FFFFFF"/>
        <w:spacing w:before="0" w:after="0"/>
        <w:ind w:left="0" w:right="0" w:firstLine="709"/>
        <w:contextualSpacing/>
        <w:jc w:val="both"/>
        <w:rPr>
          <w:rFonts w:ascii="Times New Roman" w:hAnsi="Times New Roman"/>
          <w:sz w:val="28"/>
          <w:szCs w:val="28"/>
        </w:rPr>
      </w:pPr>
      <w:r>
        <w:rPr>
          <w:sz w:val="28"/>
          <w:szCs w:val="28"/>
        </w:rPr>
      </w:r>
    </w:p>
    <w:p>
      <w:pPr>
        <w:pStyle w:val="LOnormal"/>
        <w:keepNext w:val="false"/>
        <w:widowControl/>
        <w:numPr>
          <w:ilvl w:val="0"/>
          <w:numId w:val="2"/>
        </w:numPr>
        <w:shd w:val="clear" w:fill="auto"/>
        <w:tabs>
          <w:tab w:val="clear" w:pos="708"/>
          <w:tab w:val="left" w:pos="510" w:leader="none"/>
          <w:tab w:val="left" w:pos="735" w:leader="none"/>
        </w:tabs>
        <w:suppressAutoHyphens w:val="true"/>
        <w:overflowPunct w:val="true"/>
        <w:bidi w:val="0"/>
        <w:spacing w:before="0" w:after="0"/>
        <w:ind w:left="0" w:right="0" w:hanging="0"/>
        <w:contextualSpacing/>
        <w:jc w:val="center"/>
        <w:rPr/>
      </w:pPr>
      <w:r>
        <w:rPr>
          <w:b/>
          <w:bCs/>
          <w:sz w:val="28"/>
          <w:szCs w:val="28"/>
          <w:u w:val="none"/>
        </w:rPr>
        <w:t>5. Забезпечення бухгалтерського та податкового обліку</w:t>
      </w:r>
    </w:p>
    <w:p>
      <w:pPr>
        <w:pStyle w:val="LOnormal"/>
        <w:widowControl/>
        <w:numPr>
          <w:ilvl w:val="0"/>
          <w:numId w:val="2"/>
        </w:numPr>
        <w:tabs>
          <w:tab w:val="clear" w:pos="708"/>
          <w:tab w:val="left" w:pos="510" w:leader="none"/>
          <w:tab w:val="left" w:pos="735" w:leader="none"/>
        </w:tabs>
        <w:spacing w:before="0" w:after="0"/>
        <w:ind w:left="0" w:right="0" w:firstLine="709"/>
        <w:contextualSpacing/>
        <w:jc w:val="both"/>
        <w:rPr/>
      </w:pPr>
      <w:r>
        <w:rPr>
          <w:sz w:val="28"/>
          <w:szCs w:val="28"/>
        </w:rPr>
        <w:t>5.1. Сторони не ведуть спільної діяльності за цим Договором. Сторони не ведуть спільного бухгалтерського та податкового обліку за результатами виконання цього Договору. Сторони Договору здійснюють податковий та бухгалтерський облік виключно в межах здійснення власної господарської діяльності.</w:t>
      </w:r>
    </w:p>
    <w:p>
      <w:pPr>
        <w:pStyle w:val="LOnormal"/>
        <w:keepNext w:val="false"/>
        <w:widowControl/>
        <w:numPr>
          <w:ilvl w:val="0"/>
          <w:numId w:val="2"/>
        </w:numPr>
        <w:tabs>
          <w:tab w:val="clear" w:pos="708"/>
          <w:tab w:val="left" w:pos="510" w:leader="none"/>
          <w:tab w:val="left" w:pos="735" w:leader="none"/>
        </w:tabs>
        <w:spacing w:before="0" w:after="0"/>
        <w:ind w:left="0" w:right="0" w:firstLine="709"/>
        <w:contextualSpacing/>
        <w:jc w:val="both"/>
        <w:rPr/>
      </w:pPr>
      <w:r>
        <w:rPr>
          <w:sz w:val="28"/>
          <w:szCs w:val="28"/>
          <w:u w:val="none"/>
          <w:shd w:fill="auto" w:val="clear"/>
        </w:rPr>
        <w:t xml:space="preserve">5.2. Комісійна винагорода є доходом Оператора від здійснення діяльності за цим Договором. </w:t>
      </w:r>
    </w:p>
    <w:p>
      <w:pPr>
        <w:pStyle w:val="LOnormal"/>
        <w:keepNext w:val="false"/>
        <w:widowControl/>
        <w:numPr>
          <w:ilvl w:val="0"/>
          <w:numId w:val="2"/>
        </w:numPr>
        <w:tabs>
          <w:tab w:val="clear" w:pos="708"/>
          <w:tab w:val="left" w:pos="510" w:leader="none"/>
          <w:tab w:val="left" w:pos="735" w:leader="none"/>
        </w:tabs>
        <w:spacing w:before="0" w:after="0"/>
        <w:ind w:left="0" w:right="0" w:firstLine="709"/>
        <w:contextualSpacing/>
        <w:jc w:val="both"/>
        <w:rPr>
          <w:rFonts w:ascii="Times New Roman" w:hAnsi="Times New Roman"/>
          <w:sz w:val="28"/>
          <w:szCs w:val="28"/>
          <w:u w:val="none"/>
        </w:rPr>
      </w:pPr>
      <w:r>
        <w:rPr>
          <w:sz w:val="28"/>
          <w:szCs w:val="28"/>
          <w:u w:val="none"/>
        </w:rPr>
      </w:r>
    </w:p>
    <w:p>
      <w:pPr>
        <w:pStyle w:val="LOnormal"/>
        <w:keepNext w:val="false"/>
        <w:widowControl/>
        <w:numPr>
          <w:ilvl w:val="0"/>
          <w:numId w:val="2"/>
        </w:numPr>
        <w:shd w:val="clear" w:fill="auto"/>
        <w:tabs>
          <w:tab w:val="clear" w:pos="708"/>
          <w:tab w:val="left" w:pos="450" w:leader="none"/>
          <w:tab w:val="left" w:pos="585" w:leader="none"/>
        </w:tabs>
        <w:suppressAutoHyphens w:val="true"/>
        <w:overflowPunct w:val="true"/>
        <w:bidi w:val="0"/>
        <w:spacing w:before="0" w:after="0"/>
        <w:ind w:left="0" w:right="0" w:hanging="0"/>
        <w:contextualSpacing/>
        <w:jc w:val="center"/>
        <w:rPr/>
      </w:pPr>
      <w:r>
        <w:rPr>
          <w:b/>
          <w:bCs/>
          <w:sz w:val="28"/>
          <w:szCs w:val="28"/>
          <w:u w:val="none"/>
        </w:rPr>
        <w:t>6. Відповідальність Сторін</w:t>
      </w:r>
    </w:p>
    <w:p>
      <w:pPr>
        <w:pStyle w:val="LOnormal"/>
        <w:widowControl/>
        <w:numPr>
          <w:ilvl w:val="0"/>
          <w:numId w:val="2"/>
        </w:numPr>
        <w:tabs>
          <w:tab w:val="clear" w:pos="708"/>
          <w:tab w:val="left" w:pos="450" w:leader="none"/>
          <w:tab w:val="left" w:pos="585" w:leader="none"/>
        </w:tabs>
        <w:spacing w:before="0" w:after="0"/>
        <w:ind w:left="0" w:right="0" w:firstLine="709"/>
        <w:contextualSpacing/>
        <w:jc w:val="both"/>
        <w:rPr/>
      </w:pPr>
      <w:r>
        <w:rPr>
          <w:sz w:val="28"/>
          <w:szCs w:val="28"/>
        </w:rPr>
        <w:t>6.1. За порушення зобов'язань за Договором винна Сторона несе відповідальність, що визначена умовами цього Договору та законодавством України.</w:t>
      </w:r>
    </w:p>
    <w:p>
      <w:pPr>
        <w:pStyle w:val="LOnormal"/>
        <w:widowControl/>
        <w:numPr>
          <w:ilvl w:val="0"/>
          <w:numId w:val="2"/>
        </w:numPr>
        <w:tabs>
          <w:tab w:val="clear" w:pos="708"/>
          <w:tab w:val="left" w:pos="450" w:leader="none"/>
          <w:tab w:val="left" w:pos="585" w:leader="none"/>
        </w:tabs>
        <w:spacing w:before="0" w:after="0"/>
        <w:ind w:left="0" w:right="0" w:firstLine="709"/>
        <w:contextualSpacing/>
        <w:jc w:val="both"/>
        <w:rPr/>
      </w:pPr>
      <w:r>
        <w:rPr>
          <w:sz w:val="28"/>
          <w:szCs w:val="28"/>
        </w:rPr>
        <w:t xml:space="preserve">6.2. За порушення Оператором п. 4.3 Перевізник вправі застосувати штрафні санкції у розмірі </w:t>
      </w:r>
      <w:r>
        <w:rPr>
          <w:sz w:val="28"/>
          <w:szCs w:val="28"/>
          <w:u w:val="none"/>
        </w:rPr>
        <w:t>подвійної</w:t>
      </w:r>
      <w:r>
        <w:rPr>
          <w:sz w:val="28"/>
          <w:szCs w:val="28"/>
        </w:rPr>
        <w:t xml:space="preserve"> облікової ставки НБУ від суми заборгованості за кожен день прострочки платежів.</w:t>
      </w:r>
    </w:p>
    <w:p>
      <w:pPr>
        <w:pStyle w:val="LOnormal"/>
        <w:widowControl/>
        <w:numPr>
          <w:ilvl w:val="0"/>
          <w:numId w:val="2"/>
        </w:numPr>
        <w:tabs>
          <w:tab w:val="clear" w:pos="708"/>
          <w:tab w:val="left" w:pos="450" w:leader="none"/>
          <w:tab w:val="left" w:pos="585" w:leader="none"/>
        </w:tabs>
        <w:spacing w:before="0" w:after="0"/>
        <w:ind w:left="0" w:right="0" w:firstLine="709"/>
        <w:contextualSpacing/>
        <w:jc w:val="both"/>
        <w:rPr/>
      </w:pPr>
      <w:r>
        <w:rPr>
          <w:sz w:val="28"/>
          <w:szCs w:val="28"/>
        </w:rPr>
        <w:t>6.3. У випадку, якщо Стороні Договору завдано шкоди в результаті невиконання чи неналежного виконання умов цього Договору іншою Стороною, винна Сторона несе відповідальність у розмірі дійсної та документально підтвердженої шкоди.</w:t>
      </w:r>
    </w:p>
    <w:p>
      <w:pPr>
        <w:pStyle w:val="LOnormal"/>
        <w:widowControl/>
        <w:numPr>
          <w:ilvl w:val="0"/>
          <w:numId w:val="2"/>
        </w:numPr>
        <w:tabs>
          <w:tab w:val="clear" w:pos="708"/>
          <w:tab w:val="left" w:pos="450" w:leader="none"/>
          <w:tab w:val="left" w:pos="585" w:leader="none"/>
        </w:tabs>
        <w:spacing w:before="0" w:after="0"/>
        <w:ind w:left="0" w:right="0" w:firstLine="709"/>
        <w:contextualSpacing/>
        <w:jc w:val="both"/>
        <w:rPr/>
      </w:pPr>
      <w:r>
        <w:rPr>
          <w:sz w:val="28"/>
          <w:szCs w:val="28"/>
        </w:rPr>
        <w:t xml:space="preserve">6.4. У випадку надання недостовірних даних Сторони несуть відповідальність відповідно до чинного законодавства України. </w:t>
      </w:r>
    </w:p>
    <w:p>
      <w:pPr>
        <w:pStyle w:val="LOnormal"/>
        <w:keepNext w:val="false"/>
        <w:widowControl/>
        <w:numPr>
          <w:ilvl w:val="0"/>
          <w:numId w:val="2"/>
        </w:numPr>
        <w:tabs>
          <w:tab w:val="clear" w:pos="708"/>
          <w:tab w:val="left" w:pos="450" w:leader="none"/>
          <w:tab w:val="left" w:pos="585" w:leader="none"/>
        </w:tabs>
        <w:spacing w:before="0" w:after="0"/>
        <w:ind w:left="0" w:right="0" w:firstLine="709"/>
        <w:contextualSpacing/>
        <w:jc w:val="both"/>
        <w:rPr/>
      </w:pPr>
      <w:r>
        <w:rPr>
          <w:sz w:val="28"/>
          <w:szCs w:val="28"/>
          <w:u w:val="none"/>
          <w:shd w:fill="auto" w:val="clear"/>
        </w:rPr>
        <w:t>6.5. За безпідставні виклики та/або вчинення будь-яких дій, спрямованих на настання наслідків, виправлення яких проводиться працівниками служби сервісно-технічної підтримки Оператора, Перевізник зобов’язаний відшкодувати усі витрати Оператора на забезпечення такого виїзду. Безпідставним викликом є виклик працівників служби сервісно-технічної підтримки Оператора без необхідності (фальшивий виклик), що фіксується актом, укладеним між Перевізником та Оператором, такий акт затверджується уповноваженою особою Організатора.</w:t>
      </w:r>
    </w:p>
    <w:p>
      <w:pPr>
        <w:pStyle w:val="LOnormal"/>
        <w:keepNext w:val="false"/>
        <w:widowControl/>
        <w:numPr>
          <w:ilvl w:val="0"/>
          <w:numId w:val="2"/>
        </w:numPr>
        <w:tabs>
          <w:tab w:val="clear" w:pos="708"/>
          <w:tab w:val="left" w:pos="450" w:leader="none"/>
          <w:tab w:val="left" w:pos="585" w:leader="none"/>
        </w:tabs>
        <w:spacing w:before="0" w:after="0"/>
        <w:ind w:left="0" w:right="0" w:firstLine="709"/>
        <w:contextualSpacing/>
        <w:jc w:val="both"/>
        <w:rPr>
          <w:rFonts w:ascii="Times New Roman" w:hAnsi="Times New Roman"/>
          <w:sz w:val="28"/>
          <w:szCs w:val="28"/>
          <w:u w:val="none"/>
        </w:rPr>
      </w:pPr>
      <w:r>
        <w:rPr>
          <w:sz w:val="28"/>
          <w:szCs w:val="28"/>
          <w:u w:val="none"/>
        </w:rPr>
      </w:r>
    </w:p>
    <w:p>
      <w:pPr>
        <w:pStyle w:val="LOnormal"/>
        <w:keepNext w:val="false"/>
        <w:widowControl/>
        <w:numPr>
          <w:ilvl w:val="0"/>
          <w:numId w:val="2"/>
        </w:numPr>
        <w:shd w:val="clear" w:fill="auto"/>
        <w:suppressAutoHyphens w:val="true"/>
        <w:overflowPunct w:val="true"/>
        <w:bidi w:val="0"/>
        <w:spacing w:before="0" w:after="0"/>
        <w:ind w:left="0" w:right="0" w:hanging="0"/>
        <w:contextualSpacing/>
        <w:jc w:val="center"/>
        <w:rPr/>
      </w:pPr>
      <w:r>
        <w:rPr>
          <w:b/>
          <w:bCs/>
          <w:sz w:val="28"/>
          <w:szCs w:val="28"/>
          <w:u w:val="none"/>
        </w:rPr>
        <w:t>7. Форс-мажор</w:t>
      </w:r>
    </w:p>
    <w:p>
      <w:pPr>
        <w:pStyle w:val="LOnormal"/>
        <w:widowControl/>
        <w:numPr>
          <w:ilvl w:val="0"/>
          <w:numId w:val="2"/>
        </w:numPr>
        <w:spacing w:before="0" w:after="0"/>
        <w:ind w:left="0" w:right="0" w:firstLine="709"/>
        <w:contextualSpacing/>
        <w:jc w:val="both"/>
        <w:rPr/>
      </w:pPr>
      <w:r>
        <w:rPr>
          <w:sz w:val="28"/>
          <w:szCs w:val="28"/>
        </w:rPr>
        <w:t>7.1. Сторони погодилися, що в разі виникнення форс-мажорних обставин, що не залежать від волевиявлення Сторін, а саме: війни, воєнних дій, блокади, ембарго, міжнародних санкцій, валютних обмежень, інших дій держав, втручання з боку державних органів, що унеможливлюють виконання Сторонами своїх зобов'язань, пожеж, повеней, іншого стихійного лиха або сезонних природних явищ, Сторони звільняються від виконання своїх зобов'язань на період дії зазначених обставин. У випадку, якщо дія зазначених обставин триває більше 90 днів, кожна зі Сторін має право на розірвання Договору і не несе відповідальності за таке розірвання за умови, що вона повідомить про це іншій Стороні не пізніше ніж за 10 днів до розірвання, при цьому жодна зі Сторін не має права вимагати компенсації можливих втрат від іншої Сторони. Документи, видані відповідною Торгово-Промисловою палатою будуть достатнім доказом існування таких непередбачених обставин і їх тривалості.</w:t>
      </w:r>
    </w:p>
    <w:p>
      <w:pPr>
        <w:pStyle w:val="LOnormal"/>
        <w:keepNext w:val="false"/>
        <w:widowControl/>
        <w:numPr>
          <w:ilvl w:val="0"/>
          <w:numId w:val="2"/>
        </w:numPr>
        <w:spacing w:before="0" w:after="0"/>
        <w:ind w:left="0" w:right="0" w:firstLine="709"/>
        <w:contextualSpacing/>
        <w:jc w:val="both"/>
        <w:rPr/>
      </w:pPr>
      <w:r>
        <w:rPr>
          <w:sz w:val="28"/>
          <w:szCs w:val="28"/>
          <w:u w:val="none"/>
          <w:shd w:fill="auto" w:val="clear"/>
        </w:rPr>
        <w:t>7.2. Виникнення зазначених обставин не є підставою для відмови від оплати вже поставлених товарів, наданих послуг чи виконаних робіт.</w:t>
      </w:r>
    </w:p>
    <w:p>
      <w:pPr>
        <w:pStyle w:val="LOnormal"/>
        <w:keepNext w:val="false"/>
        <w:widowControl/>
        <w:numPr>
          <w:ilvl w:val="0"/>
          <w:numId w:val="2"/>
        </w:numPr>
        <w:shd w:val="clear" w:fill="auto"/>
        <w:suppressAutoHyphens w:val="true"/>
        <w:overflowPunct w:val="true"/>
        <w:bidi w:val="0"/>
        <w:spacing w:before="0" w:after="0"/>
        <w:ind w:left="0" w:right="0" w:hanging="0"/>
        <w:contextualSpacing/>
        <w:jc w:val="center"/>
        <w:rPr>
          <w:rFonts w:ascii="Times New Roman" w:hAnsi="Times New Roman"/>
          <w:sz w:val="28"/>
          <w:szCs w:val="28"/>
          <w:u w:val="none"/>
        </w:rPr>
      </w:pPr>
      <w:r>
        <w:rPr>
          <w:sz w:val="28"/>
          <w:szCs w:val="28"/>
          <w:u w:val="none"/>
        </w:rPr>
      </w:r>
    </w:p>
    <w:p>
      <w:pPr>
        <w:pStyle w:val="LOnormal"/>
        <w:widowControl/>
        <w:numPr>
          <w:ilvl w:val="0"/>
          <w:numId w:val="2"/>
        </w:numPr>
        <w:shd w:val="clear" w:fill="auto"/>
        <w:suppressAutoHyphens w:val="true"/>
        <w:overflowPunct w:val="true"/>
        <w:bidi w:val="0"/>
        <w:spacing w:before="0" w:after="0"/>
        <w:ind w:left="0" w:right="0" w:hanging="0"/>
        <w:contextualSpacing/>
        <w:jc w:val="center"/>
        <w:rPr/>
      </w:pPr>
      <w:r>
        <w:rPr>
          <w:b/>
          <w:bCs/>
          <w:sz w:val="28"/>
          <w:szCs w:val="28"/>
          <w:u w:val="none"/>
        </w:rPr>
        <w:t>8. Порядок вирішення спорів</w:t>
      </w:r>
    </w:p>
    <w:p>
      <w:pPr>
        <w:pStyle w:val="LOnormal"/>
        <w:widowControl/>
        <w:numPr>
          <w:ilvl w:val="0"/>
          <w:numId w:val="2"/>
        </w:numPr>
        <w:spacing w:before="0" w:after="0"/>
        <w:ind w:left="0" w:right="0" w:firstLine="709"/>
        <w:contextualSpacing/>
        <w:jc w:val="both"/>
        <w:rPr/>
      </w:pPr>
      <w:r>
        <w:rPr>
          <w:sz w:val="28"/>
          <w:szCs w:val="28"/>
        </w:rPr>
        <w:t>8.1. Будь-які спори, що виникають з цього Договору або в зв'язку з ним, Сторони вирішуватимуть шляхом переговорів за законодавством України.</w:t>
      </w:r>
    </w:p>
    <w:p>
      <w:pPr>
        <w:pStyle w:val="LOnormal"/>
        <w:keepNext w:val="false"/>
        <w:widowControl/>
        <w:numPr>
          <w:ilvl w:val="0"/>
          <w:numId w:val="2"/>
        </w:numPr>
        <w:spacing w:before="0" w:after="0"/>
        <w:ind w:left="0" w:right="0" w:firstLine="709"/>
        <w:contextualSpacing/>
        <w:jc w:val="both"/>
        <w:rPr/>
      </w:pPr>
      <w:r>
        <w:rPr>
          <w:color w:val="000000"/>
          <w:sz w:val="28"/>
          <w:szCs w:val="28"/>
          <w:u w:val="none"/>
          <w:shd w:fill="auto" w:val="clear"/>
        </w:rPr>
        <w:t>8.2. При не досягненні згоди Сторони мають право передати спір на вирішення суду України, рішення якого після набрання юридичної сили є обов'язковим до виконання.</w:t>
      </w:r>
    </w:p>
    <w:p>
      <w:pPr>
        <w:pStyle w:val="LOnormal"/>
        <w:keepNext w:val="false"/>
        <w:widowControl/>
        <w:numPr>
          <w:ilvl w:val="0"/>
          <w:numId w:val="2"/>
        </w:numPr>
        <w:spacing w:before="0" w:after="0"/>
        <w:ind w:left="0" w:right="0" w:firstLine="709"/>
        <w:contextualSpacing/>
        <w:jc w:val="both"/>
        <w:rPr>
          <w:rFonts w:ascii="Times New Roman" w:hAnsi="Times New Roman"/>
          <w:sz w:val="28"/>
          <w:szCs w:val="28"/>
        </w:rPr>
      </w:pPr>
      <w:r>
        <w:rPr>
          <w:sz w:val="28"/>
          <w:szCs w:val="28"/>
        </w:rPr>
      </w:r>
    </w:p>
    <w:p>
      <w:pPr>
        <w:pStyle w:val="Normal"/>
        <w:keepNext w:val="false"/>
        <w:widowControl/>
        <w:numPr>
          <w:ilvl w:val="0"/>
          <w:numId w:val="2"/>
        </w:numPr>
        <w:shd w:val="clear" w:fill="auto"/>
        <w:suppressAutoHyphens w:val="true"/>
        <w:overflowPunct w:val="true"/>
        <w:bidi w:val="0"/>
        <w:spacing w:before="0" w:after="0"/>
        <w:ind w:left="0" w:right="0" w:hanging="0"/>
        <w:contextualSpacing/>
        <w:jc w:val="center"/>
        <w:rPr/>
      </w:pPr>
      <w:r>
        <w:rPr>
          <w:b/>
          <w:sz w:val="28"/>
          <w:szCs w:val="28"/>
          <w:u w:val="none"/>
        </w:rPr>
        <w:t>9. Термін дії Договору</w:t>
      </w:r>
    </w:p>
    <w:p>
      <w:pPr>
        <w:pStyle w:val="LOnormal"/>
        <w:widowControl/>
        <w:numPr>
          <w:ilvl w:val="0"/>
          <w:numId w:val="2"/>
        </w:numPr>
        <w:spacing w:before="0" w:after="0"/>
        <w:ind w:left="0" w:right="0" w:firstLine="709"/>
        <w:contextualSpacing/>
        <w:jc w:val="both"/>
        <w:rPr/>
      </w:pPr>
      <w:r>
        <w:rPr>
          <w:sz w:val="28"/>
          <w:szCs w:val="28"/>
        </w:rPr>
        <w:t xml:space="preserve">9.1. Даний Договір набирає чинності з моменту підписання та діє до  “____” _________ 20____ року, але у будь-якому випадку до повного виконання сторонами своїх зобов’язань. </w:t>
      </w:r>
    </w:p>
    <w:p>
      <w:pPr>
        <w:pStyle w:val="LOnormal"/>
        <w:widowControl/>
        <w:numPr>
          <w:ilvl w:val="0"/>
          <w:numId w:val="2"/>
        </w:numPr>
        <w:spacing w:before="0" w:after="0"/>
        <w:ind w:left="0" w:right="0" w:firstLine="709"/>
        <w:contextualSpacing/>
        <w:jc w:val="both"/>
        <w:rPr/>
      </w:pPr>
      <w:r>
        <w:rPr>
          <w:sz w:val="28"/>
          <w:szCs w:val="28"/>
        </w:rPr>
        <w:t xml:space="preserve">9.2. Даний Договір укладається з Перевізником, який є переможцем конкурсу на автомобільні перевезення, має укладений договір із Організатором на перевезення пасажирів </w:t>
      </w:r>
      <w:r>
        <w:rPr>
          <w:sz w:val="28"/>
          <w:szCs w:val="28"/>
        </w:rPr>
        <w:t>при</w:t>
      </w:r>
      <w:r>
        <w:rPr>
          <w:sz w:val="28"/>
          <w:szCs w:val="28"/>
        </w:rPr>
        <w:t xml:space="preserve">міським пасажирським транспортом. </w:t>
      </w:r>
    </w:p>
    <w:p>
      <w:pPr>
        <w:pStyle w:val="LOnormal"/>
        <w:widowControl/>
        <w:numPr>
          <w:ilvl w:val="0"/>
          <w:numId w:val="2"/>
        </w:numPr>
        <w:tabs>
          <w:tab w:val="clear" w:pos="708"/>
          <w:tab w:val="left" w:pos="720" w:leader="none"/>
        </w:tabs>
        <w:spacing w:before="0" w:after="0"/>
        <w:ind w:left="0" w:right="0" w:firstLine="709"/>
        <w:contextualSpacing/>
        <w:jc w:val="both"/>
        <w:rPr/>
      </w:pPr>
      <w:r>
        <w:rPr>
          <w:sz w:val="28"/>
          <w:szCs w:val="28"/>
        </w:rPr>
        <w:t>9.3. Умови, за яких Договір втрачає свою чинність: закінчення терміну дії, на який його укладено; за згодою Сторін; за рішенням суду України, завершення терміну дії чи розірвання між Організатором і Перевізником Договору на перевезення, завершення терміну повноважень Оператора.</w:t>
      </w:r>
    </w:p>
    <w:p>
      <w:pPr>
        <w:pStyle w:val="LOnormal"/>
        <w:widowControl/>
        <w:numPr>
          <w:ilvl w:val="0"/>
          <w:numId w:val="2"/>
        </w:numPr>
        <w:tabs>
          <w:tab w:val="clear" w:pos="708"/>
          <w:tab w:val="left" w:pos="720" w:leader="none"/>
        </w:tabs>
        <w:spacing w:before="0" w:after="0"/>
        <w:ind w:left="0" w:right="0" w:firstLine="709"/>
        <w:contextualSpacing/>
        <w:jc w:val="both"/>
        <w:rPr/>
      </w:pPr>
      <w:r>
        <w:rPr>
          <w:sz w:val="28"/>
          <w:szCs w:val="28"/>
        </w:rPr>
        <w:t>9.4. Закінчення строку дії Договору не звільняє Сторони від виконання тих зобов’язань, що залишились невиконаними та відшкодування збитків, завданих неналежним виконанням чи невиконанням умов Договору.</w:t>
      </w:r>
    </w:p>
    <w:p>
      <w:pPr>
        <w:pStyle w:val="LOnormal"/>
        <w:widowControl/>
        <w:numPr>
          <w:ilvl w:val="0"/>
          <w:numId w:val="2"/>
        </w:numPr>
        <w:tabs>
          <w:tab w:val="clear" w:pos="708"/>
          <w:tab w:val="left" w:pos="720" w:leader="none"/>
        </w:tabs>
        <w:spacing w:before="0" w:after="0"/>
        <w:ind w:left="0" w:right="0" w:firstLine="709"/>
        <w:contextualSpacing/>
        <w:jc w:val="both"/>
        <w:rPr/>
      </w:pPr>
      <w:r>
        <w:rPr>
          <w:sz w:val="28"/>
          <w:szCs w:val="28"/>
        </w:rPr>
        <w:t>9.5. Одностороння відмова від Договору та/або зміна обсягу зобов’язань не допускається, крім випадків визначених законодавством України та цим Договором.</w:t>
      </w:r>
    </w:p>
    <w:p>
      <w:pPr>
        <w:pStyle w:val="LOnormal"/>
        <w:widowControl/>
        <w:numPr>
          <w:ilvl w:val="0"/>
          <w:numId w:val="2"/>
        </w:numPr>
        <w:tabs>
          <w:tab w:val="clear" w:pos="708"/>
          <w:tab w:val="left" w:pos="720" w:leader="none"/>
        </w:tabs>
        <w:spacing w:before="0" w:after="0"/>
        <w:ind w:left="0" w:right="0" w:firstLine="709"/>
        <w:contextualSpacing/>
        <w:jc w:val="both"/>
        <w:rPr/>
      </w:pPr>
      <w:r>
        <w:rPr>
          <w:sz w:val="28"/>
          <w:szCs w:val="28"/>
        </w:rPr>
        <w:t>9.6. </w:t>
      </w:r>
      <w:r>
        <w:rPr>
          <w:rFonts w:eastAsia="Times New Roman" w:cs="Times New Roman"/>
          <w:color w:val="000000"/>
          <w:kern w:val="2"/>
          <w:sz w:val="28"/>
          <w:szCs w:val="28"/>
          <w:lang w:val="uk-UA" w:eastAsia="zh-CN" w:bidi="ar-SA"/>
        </w:rPr>
        <w:t xml:space="preserve">Про намір розірвання Договору за згодою Сторін задля врегулювання правовідносин Сторона-ініціатор попереджає інші Сторони Договору не пізніше ніж: </w:t>
      </w:r>
    </w:p>
    <w:p>
      <w:pPr>
        <w:pStyle w:val="LOnormal"/>
        <w:widowControl/>
        <w:numPr>
          <w:ilvl w:val="0"/>
          <w:numId w:val="2"/>
        </w:numPr>
        <w:tabs>
          <w:tab w:val="clear" w:pos="708"/>
          <w:tab w:val="left" w:pos="720" w:leader="none"/>
        </w:tabs>
        <w:spacing w:before="0" w:after="0"/>
        <w:ind w:left="0" w:right="0" w:firstLine="709"/>
        <w:contextualSpacing/>
        <w:jc w:val="both"/>
        <w:rPr/>
      </w:pPr>
      <w:r>
        <w:rPr>
          <w:rFonts w:eastAsia="Times New Roman" w:cs="Times New Roman"/>
          <w:color w:val="000000"/>
          <w:kern w:val="2"/>
          <w:sz w:val="28"/>
          <w:szCs w:val="28"/>
          <w:lang w:val="uk-UA" w:eastAsia="zh-CN" w:bidi="ar-SA"/>
        </w:rPr>
        <w:t xml:space="preserve">1) Оператор – за шість місяців до дати такого розірвання; </w:t>
      </w:r>
    </w:p>
    <w:p>
      <w:pPr>
        <w:pStyle w:val="LOnormal"/>
        <w:widowControl/>
        <w:numPr>
          <w:ilvl w:val="0"/>
          <w:numId w:val="2"/>
        </w:numPr>
        <w:tabs>
          <w:tab w:val="clear" w:pos="708"/>
          <w:tab w:val="left" w:pos="720" w:leader="none"/>
        </w:tabs>
        <w:spacing w:before="0" w:after="0"/>
        <w:ind w:left="0" w:right="0" w:firstLine="709"/>
        <w:contextualSpacing/>
        <w:jc w:val="both"/>
        <w:rPr/>
      </w:pPr>
      <w:r>
        <w:rPr>
          <w:rFonts w:eastAsia="Times New Roman" w:cs="Times New Roman"/>
          <w:color w:val="000000"/>
          <w:kern w:val="2"/>
          <w:sz w:val="28"/>
          <w:szCs w:val="28"/>
          <w:lang w:val="uk-UA" w:eastAsia="zh-CN" w:bidi="ar-SA"/>
        </w:rPr>
        <w:t xml:space="preserve">2) Перевізник – за три місяці до дати такого розірвання, окрім випадків, передбачених пунктом 9.9; </w:t>
      </w:r>
    </w:p>
    <w:p>
      <w:pPr>
        <w:pStyle w:val="LOnormal"/>
        <w:widowControl/>
        <w:numPr>
          <w:ilvl w:val="0"/>
          <w:numId w:val="2"/>
        </w:numPr>
        <w:tabs>
          <w:tab w:val="clear" w:pos="708"/>
          <w:tab w:val="left" w:pos="720" w:leader="none"/>
        </w:tabs>
        <w:spacing w:before="0" w:after="0"/>
        <w:ind w:left="0" w:right="0" w:firstLine="709"/>
        <w:contextualSpacing/>
        <w:jc w:val="both"/>
        <w:rPr/>
      </w:pPr>
      <w:r>
        <w:rPr>
          <w:rFonts w:eastAsia="Times New Roman" w:cs="Times New Roman"/>
          <w:color w:val="000000"/>
          <w:kern w:val="2"/>
          <w:sz w:val="28"/>
          <w:szCs w:val="28"/>
          <w:lang w:val="uk-UA" w:eastAsia="zh-CN" w:bidi="ar-SA"/>
        </w:rPr>
        <w:t xml:space="preserve">3) Організатор – за шість місяців до дати такого розірвання, якщо інше не передбачено іншими правовідносинами між Сторонами. </w:t>
      </w:r>
    </w:p>
    <w:p>
      <w:pPr>
        <w:pStyle w:val="LOnormal"/>
        <w:widowControl/>
        <w:numPr>
          <w:ilvl w:val="0"/>
          <w:numId w:val="2"/>
        </w:numPr>
        <w:tabs>
          <w:tab w:val="clear" w:pos="708"/>
          <w:tab w:val="left" w:pos="720" w:leader="none"/>
        </w:tabs>
        <w:spacing w:before="0" w:after="0"/>
        <w:ind w:left="0" w:right="0" w:firstLine="709"/>
        <w:contextualSpacing/>
        <w:jc w:val="both"/>
        <w:rPr/>
      </w:pPr>
      <w:r>
        <w:rPr>
          <w:sz w:val="28"/>
          <w:szCs w:val="28"/>
        </w:rPr>
        <w:t xml:space="preserve">9.7. По закінченню правовідносин між Сторонами Договору, кожна Сторона вправі вилучити те майно, яке є у її власності та задіяне у здійсненні господарської діяльності з перевезення пасажирів </w:t>
      </w:r>
      <w:r>
        <w:rPr>
          <w:sz w:val="28"/>
          <w:szCs w:val="28"/>
        </w:rPr>
        <w:t>при</w:t>
      </w:r>
      <w:r>
        <w:rPr>
          <w:sz w:val="28"/>
          <w:szCs w:val="28"/>
        </w:rPr>
        <w:t>міським пасажирським транспортом, крім майна що не може бути відокремленим без зміни його призначення, пошкодження чи знищення.</w:t>
      </w:r>
    </w:p>
    <w:p>
      <w:pPr>
        <w:pStyle w:val="LOnormal"/>
        <w:keepNext w:val="false"/>
        <w:widowControl/>
        <w:numPr>
          <w:ilvl w:val="0"/>
          <w:numId w:val="2"/>
        </w:numPr>
        <w:tabs>
          <w:tab w:val="clear" w:pos="708"/>
          <w:tab w:val="left" w:pos="720" w:leader="none"/>
        </w:tabs>
        <w:spacing w:before="0" w:after="0"/>
        <w:ind w:left="0" w:right="0" w:firstLine="709"/>
        <w:contextualSpacing/>
        <w:jc w:val="both"/>
        <w:rPr/>
      </w:pPr>
      <w:r>
        <w:rPr>
          <w:strike w:val="false"/>
          <w:dstrike w:val="false"/>
          <w:color w:val="000000"/>
          <w:sz w:val="28"/>
          <w:szCs w:val="28"/>
          <w:u w:val="none"/>
        </w:rPr>
        <w:t>9.8. Сторона Договору, яка має намір використовувати майно іншої Сторони при здійсненні подальшої господарської діяльності після закінчення правовідносин за Договором за згодою власника, зобов’язана компенсувати залишкову вартість такого майна згідно даних бухгалтерського обліку.</w:t>
      </w:r>
    </w:p>
    <w:p>
      <w:pPr>
        <w:pStyle w:val="LOnormal"/>
        <w:widowControl/>
        <w:numPr>
          <w:ilvl w:val="0"/>
          <w:numId w:val="2"/>
        </w:numPr>
        <w:tabs>
          <w:tab w:val="clear" w:pos="708"/>
          <w:tab w:val="left" w:pos="720" w:leader="none"/>
        </w:tabs>
        <w:spacing w:before="0" w:after="0"/>
        <w:ind w:left="0" w:right="0" w:firstLine="709"/>
        <w:contextualSpacing/>
        <w:jc w:val="both"/>
        <w:rPr/>
      </w:pPr>
      <w:r>
        <w:rPr>
          <w:strike w:val="false"/>
          <w:dstrike w:val="false"/>
          <w:color w:val="000000"/>
          <w:sz w:val="28"/>
          <w:szCs w:val="28"/>
          <w:u w:val="none"/>
        </w:rPr>
        <w:t>9.9. Перевізник має право в односторонньому порядку відмовитись від Договору у випадку, якщо Оператор порушує виконання п. 4.3. даного договору більше трьох разів протягом календарного місяця, або допустив заборгованість по платежах більше як три банківських дні з вини Оператора. Про односторонню відмову Перевізник попереджає Оператора та Організатора за три робочих дні.</w:t>
      </w:r>
    </w:p>
    <w:p>
      <w:pPr>
        <w:pStyle w:val="LOnormal"/>
        <w:keepNext w:val="false"/>
        <w:widowControl/>
        <w:numPr>
          <w:ilvl w:val="0"/>
          <w:numId w:val="2"/>
        </w:numPr>
        <w:tabs>
          <w:tab w:val="clear" w:pos="708"/>
          <w:tab w:val="left" w:pos="720" w:leader="none"/>
        </w:tabs>
        <w:spacing w:before="0" w:after="0"/>
        <w:ind w:left="0" w:right="0" w:firstLine="709"/>
        <w:contextualSpacing/>
        <w:jc w:val="both"/>
        <w:rPr>
          <w:rFonts w:ascii="Times New Roman" w:hAnsi="Times New Roman"/>
          <w:sz w:val="28"/>
          <w:szCs w:val="28"/>
        </w:rPr>
      </w:pPr>
      <w:r>
        <w:rPr>
          <w:sz w:val="28"/>
          <w:szCs w:val="28"/>
        </w:rPr>
      </w:r>
    </w:p>
    <w:p>
      <w:pPr>
        <w:pStyle w:val="LOnormal"/>
        <w:widowControl/>
        <w:numPr>
          <w:ilvl w:val="0"/>
          <w:numId w:val="2"/>
        </w:numPr>
        <w:shd w:val="clear" w:fill="auto"/>
        <w:suppressAutoHyphens w:val="true"/>
        <w:overflowPunct w:val="true"/>
        <w:bidi w:val="0"/>
        <w:spacing w:before="0" w:after="0"/>
        <w:ind w:left="0" w:right="0" w:hanging="0"/>
        <w:contextualSpacing/>
        <w:jc w:val="center"/>
        <w:rPr/>
      </w:pPr>
      <w:r>
        <w:rPr>
          <w:b/>
          <w:bCs/>
          <w:strike w:val="false"/>
          <w:dstrike w:val="false"/>
          <w:sz w:val="28"/>
          <w:szCs w:val="28"/>
          <w:u w:val="none"/>
        </w:rPr>
        <w:t>10. Зміна умов Договору та інші положення</w:t>
      </w:r>
    </w:p>
    <w:p>
      <w:pPr>
        <w:pStyle w:val="LOnormal"/>
        <w:widowControl/>
        <w:numPr>
          <w:ilvl w:val="0"/>
          <w:numId w:val="2"/>
        </w:numPr>
        <w:spacing w:before="0" w:after="0"/>
        <w:ind w:left="0" w:right="0" w:firstLine="709"/>
        <w:contextualSpacing/>
        <w:jc w:val="both"/>
        <w:rPr/>
      </w:pPr>
      <w:r>
        <w:rPr>
          <w:sz w:val="28"/>
          <w:szCs w:val="28"/>
        </w:rPr>
        <w:t>10.1. Умови цього Договору можуть бути змінені за взаємною згодою Сторін у спосіб визначений законодавством України.</w:t>
      </w:r>
    </w:p>
    <w:p>
      <w:pPr>
        <w:pStyle w:val="LOnormal"/>
        <w:widowControl/>
        <w:numPr>
          <w:ilvl w:val="0"/>
          <w:numId w:val="2"/>
        </w:numPr>
        <w:spacing w:before="0" w:after="0"/>
        <w:ind w:left="0" w:right="0" w:firstLine="709"/>
        <w:contextualSpacing/>
        <w:jc w:val="both"/>
        <w:rPr/>
      </w:pPr>
      <w:r>
        <w:rPr>
          <w:sz w:val="28"/>
          <w:szCs w:val="28"/>
        </w:rPr>
        <w:t>10.2. Договір укладено у трьох оригінальних примірниках, по одному для кожної із Сторін.</w:t>
      </w:r>
    </w:p>
    <w:p>
      <w:pPr>
        <w:pStyle w:val="LOnormal"/>
        <w:widowControl/>
        <w:numPr>
          <w:ilvl w:val="0"/>
          <w:numId w:val="2"/>
        </w:numPr>
        <w:spacing w:before="0" w:after="0"/>
        <w:ind w:left="0" w:right="0" w:firstLine="709"/>
        <w:contextualSpacing/>
        <w:jc w:val="both"/>
        <w:rPr/>
      </w:pPr>
      <w:r>
        <w:rPr>
          <w:sz w:val="28"/>
          <w:szCs w:val="28"/>
        </w:rPr>
        <w:t>10.3. У випадках, які не врегульовані цим Договором, Сторони керуються нормами чинного законодавства України.</w:t>
      </w:r>
    </w:p>
    <w:p>
      <w:pPr>
        <w:pStyle w:val="LOnormal"/>
        <w:widowControl/>
        <w:numPr>
          <w:ilvl w:val="0"/>
          <w:numId w:val="2"/>
        </w:numPr>
        <w:spacing w:before="0" w:after="0"/>
        <w:ind w:left="0" w:right="0" w:firstLine="709"/>
        <w:contextualSpacing/>
        <w:jc w:val="both"/>
        <w:rPr/>
      </w:pPr>
      <w:r>
        <w:rPr>
          <w:sz w:val="28"/>
          <w:szCs w:val="28"/>
        </w:rPr>
        <w:t>10.4. Додатки до Договору та акти прийому-передачі обладнання є невід’ємною частиною цього Договору.</w:t>
      </w:r>
    </w:p>
    <w:p>
      <w:pPr>
        <w:pStyle w:val="LOnormal"/>
        <w:keepNext w:val="false"/>
        <w:widowControl/>
        <w:numPr>
          <w:ilvl w:val="0"/>
          <w:numId w:val="2"/>
        </w:numPr>
        <w:tabs>
          <w:tab w:val="clear" w:pos="708"/>
          <w:tab w:val="left" w:pos="630" w:leader="none"/>
        </w:tabs>
        <w:spacing w:before="0" w:after="0"/>
        <w:ind w:left="0" w:right="0" w:firstLine="709"/>
        <w:contextualSpacing/>
        <w:jc w:val="both"/>
        <w:rPr/>
      </w:pPr>
      <w:r>
        <w:rPr>
          <w:strike w:val="false"/>
          <w:dstrike w:val="false"/>
          <w:sz w:val="28"/>
          <w:szCs w:val="28"/>
          <w:u w:val="none"/>
          <w:shd w:fill="auto" w:val="clear"/>
        </w:rPr>
        <w:t>10.5. Уповноважені на підписання цього Договору представники підписанням цього Договору підтверджують надання згоди на збір, обробку та використання їх персональних даних з метою виконання цього Договору, подання різного роду звітності. Кожна Сторона цього Договору зобов'язана дотримуватись вимог Закону України “Про захист персональних даних” при зборі використанні чи обробці персональних даних іншої Сторони.</w:t>
      </w:r>
    </w:p>
    <w:p>
      <w:pPr>
        <w:pStyle w:val="LOnormal"/>
        <w:widowControl/>
        <w:numPr>
          <w:ilvl w:val="0"/>
          <w:numId w:val="2"/>
        </w:numPr>
        <w:tabs>
          <w:tab w:val="clear" w:pos="708"/>
          <w:tab w:val="left" w:pos="630" w:leader="none"/>
        </w:tabs>
        <w:spacing w:before="0" w:after="0"/>
        <w:ind w:left="0" w:right="0" w:firstLine="709"/>
        <w:contextualSpacing/>
        <w:jc w:val="both"/>
        <w:rPr>
          <w:strike w:val="false"/>
          <w:dstrike w:val="false"/>
          <w:sz w:val="28"/>
          <w:szCs w:val="28"/>
          <w:u w:val="none"/>
        </w:rPr>
      </w:pPr>
      <w:r>
        <w:rPr>
          <w:strike w:val="false"/>
          <w:dstrike w:val="false"/>
          <w:sz w:val="28"/>
          <w:szCs w:val="28"/>
          <w:u w:val="none"/>
        </w:rPr>
      </w:r>
    </w:p>
    <w:p>
      <w:pPr>
        <w:pStyle w:val="LOnormal"/>
        <w:keepNext w:val="false"/>
        <w:widowControl/>
        <w:numPr>
          <w:ilvl w:val="0"/>
          <w:numId w:val="2"/>
        </w:numPr>
        <w:shd w:val="clear" w:fill="auto"/>
        <w:suppressAutoHyphens w:val="true"/>
        <w:overflowPunct w:val="true"/>
        <w:bidi w:val="0"/>
        <w:spacing w:before="0" w:after="0"/>
        <w:ind w:left="0" w:right="0" w:hanging="0"/>
        <w:contextualSpacing/>
        <w:jc w:val="center"/>
        <w:rPr/>
      </w:pPr>
      <w:r>
        <w:rPr>
          <w:b/>
          <w:bCs/>
          <w:sz w:val="28"/>
          <w:szCs w:val="28"/>
          <w:u w:val="none"/>
        </w:rPr>
        <w:t>11. Юридичні адреси та реквізити сторін</w:t>
      </w:r>
    </w:p>
    <w:p>
      <w:pPr>
        <w:pStyle w:val="LOnormal"/>
        <w:keepNext w:val="false"/>
        <w:widowControl/>
        <w:numPr>
          <w:ilvl w:val="0"/>
          <w:numId w:val="2"/>
        </w:numPr>
        <w:shd w:val="clear" w:fill="auto"/>
        <w:suppressAutoHyphens w:val="true"/>
        <w:overflowPunct w:val="true"/>
        <w:bidi w:val="0"/>
        <w:spacing w:before="0" w:after="0"/>
        <w:ind w:left="0" w:right="0" w:hanging="0"/>
        <w:contextualSpacing/>
        <w:jc w:val="center"/>
        <w:rPr>
          <w:sz w:val="20"/>
          <w:szCs w:val="20"/>
          <w:u w:val="none"/>
        </w:rPr>
      </w:pPr>
      <w:r>
        <w:rPr>
          <w:sz w:val="20"/>
          <w:szCs w:val="20"/>
          <w:u w:val="none"/>
        </w:rPr>
      </w:r>
    </w:p>
    <w:tbl>
      <w:tblPr>
        <w:tblW w:w="9750" w:type="dxa"/>
        <w:jc w:val="left"/>
        <w:tblInd w:w="-55" w:type="dxa"/>
        <w:tblLayout w:type="fixed"/>
        <w:tblCellMar>
          <w:top w:w="55" w:type="dxa"/>
          <w:left w:w="55" w:type="dxa"/>
          <w:bottom w:w="55" w:type="dxa"/>
          <w:right w:w="55" w:type="dxa"/>
        </w:tblCellMar>
      </w:tblPr>
      <w:tblGrid>
        <w:gridCol w:w="5220"/>
        <w:gridCol w:w="4529"/>
      </w:tblGrid>
      <w:tr>
        <w:trPr/>
        <w:tc>
          <w:tcPr>
            <w:tcW w:w="5220" w:type="dxa"/>
            <w:tcBorders/>
            <w:shd w:fill="FFFFFF" w:val="clear"/>
          </w:tcPr>
          <w:p>
            <w:pPr>
              <w:pStyle w:val="Heading31"/>
              <w:keepNext w:val="false"/>
              <w:widowControl w:val="false"/>
              <w:numPr>
                <w:ilvl w:val="0"/>
                <w:numId w:val="2"/>
              </w:numPr>
              <w:spacing w:before="0" w:after="0"/>
              <w:ind w:left="0" w:right="0" w:hanging="0"/>
              <w:contextualSpacing/>
              <w:jc w:val="left"/>
              <w:rPr/>
            </w:pPr>
            <w:r>
              <w:rPr>
                <w:rFonts w:cs="Times New Roman" w:ascii="Times New Roman" w:hAnsi="Times New Roman"/>
                <w:b w:val="false"/>
                <w:bCs w:val="false"/>
                <w:sz w:val="24"/>
                <w:szCs w:val="24"/>
                <w:u w:val="none"/>
                <w:shd w:fill="auto" w:val="clear"/>
              </w:rPr>
              <w:t>Організатор:</w:t>
            </w:r>
          </w:p>
          <w:p>
            <w:pPr>
              <w:pStyle w:val="Normal"/>
              <w:widowControl w:val="false"/>
              <w:numPr>
                <w:ilvl w:val="0"/>
                <w:numId w:val="2"/>
              </w:numPr>
              <w:spacing w:before="0" w:after="0"/>
              <w:contextualSpacing/>
              <w:rPr>
                <w:rFonts w:ascii="Times New Roman" w:hAnsi="Times New Roman"/>
                <w:b w:val="false"/>
                <w:b w:val="false"/>
                <w:bCs w:val="false"/>
                <w:sz w:val="24"/>
                <w:szCs w:val="24"/>
                <w:u w:val="none"/>
                <w:lang w:val="uk-UA"/>
              </w:rPr>
            </w:pPr>
            <w:r>
              <w:rPr>
                <w:b w:val="false"/>
                <w:bCs w:val="false"/>
                <w:sz w:val="24"/>
                <w:szCs w:val="24"/>
                <w:u w:val="none"/>
                <w:lang w:val="uk-UA"/>
              </w:rPr>
            </w:r>
          </w:p>
          <w:p>
            <w:pPr>
              <w:pStyle w:val="Normal"/>
              <w:keepNext w:val="false"/>
              <w:widowControl w:val="false"/>
              <w:numPr>
                <w:ilvl w:val="0"/>
                <w:numId w:val="2"/>
              </w:numPr>
              <w:spacing w:before="0" w:after="0"/>
              <w:ind w:left="0" w:right="0" w:hanging="0"/>
              <w:contextualSpacing/>
              <w:jc w:val="left"/>
              <w:rPr/>
            </w:pPr>
            <w:r>
              <w:rPr>
                <w:b w:val="false"/>
                <w:bCs w:val="false"/>
                <w:sz w:val="24"/>
                <w:szCs w:val="24"/>
                <w:u w:val="none"/>
              </w:rPr>
              <w:t>_____________20____</w:t>
            </w:r>
          </w:p>
          <w:p>
            <w:pPr>
              <w:pStyle w:val="Normal"/>
              <w:keepNext w:val="false"/>
              <w:widowControl w:val="false"/>
              <w:spacing w:before="0" w:after="0"/>
              <w:ind w:left="0" w:right="0" w:hanging="0"/>
              <w:contextualSpacing/>
              <w:jc w:val="left"/>
              <w:rPr>
                <w:b w:val="false"/>
                <w:b w:val="false"/>
                <w:bCs w:val="false"/>
                <w:sz w:val="24"/>
                <w:szCs w:val="24"/>
              </w:rPr>
            </w:pPr>
            <w:r>
              <w:rPr>
                <w:b w:val="false"/>
                <w:bCs w:val="false"/>
                <w:sz w:val="24"/>
                <w:szCs w:val="24"/>
              </w:rPr>
            </w:r>
          </w:p>
          <w:p>
            <w:pPr>
              <w:pStyle w:val="Normal"/>
              <w:widowControl w:val="false"/>
              <w:spacing w:before="0" w:after="0"/>
              <w:ind w:left="0" w:right="0" w:hanging="0"/>
              <w:contextualSpacing/>
              <w:jc w:val="left"/>
              <w:rPr>
                <w:b w:val="false"/>
                <w:b w:val="false"/>
                <w:bCs w:val="false"/>
                <w:sz w:val="24"/>
                <w:szCs w:val="24"/>
              </w:rPr>
            </w:pPr>
            <w:r>
              <w:rPr>
                <w:b w:val="false"/>
                <w:bCs w:val="false"/>
                <w:sz w:val="24"/>
                <w:szCs w:val="24"/>
              </w:rPr>
            </w:r>
          </w:p>
          <w:p>
            <w:pPr>
              <w:pStyle w:val="Normal"/>
              <w:widowControl w:val="false"/>
              <w:spacing w:before="0" w:after="0"/>
              <w:ind w:left="0" w:right="0" w:hanging="0"/>
              <w:contextualSpacing/>
              <w:jc w:val="left"/>
              <w:rPr>
                <w:b w:val="false"/>
                <w:b w:val="false"/>
                <w:bCs w:val="false"/>
                <w:sz w:val="24"/>
                <w:szCs w:val="24"/>
              </w:rPr>
            </w:pPr>
            <w:r>
              <w:rPr>
                <w:b w:val="false"/>
                <w:bCs w:val="false"/>
                <w:sz w:val="24"/>
                <w:szCs w:val="24"/>
              </w:rPr>
            </w:r>
          </w:p>
        </w:tc>
        <w:tc>
          <w:tcPr>
            <w:tcW w:w="4529" w:type="dxa"/>
            <w:tcBorders/>
            <w:shd w:fill="FFFFFF" w:val="clear"/>
          </w:tcPr>
          <w:p>
            <w:pPr>
              <w:pStyle w:val="Heading31"/>
              <w:keepNext w:val="false"/>
              <w:widowControl w:val="false"/>
              <w:numPr>
                <w:ilvl w:val="0"/>
                <w:numId w:val="2"/>
              </w:numPr>
              <w:spacing w:before="0" w:after="0"/>
              <w:ind w:left="0" w:right="0" w:hanging="0"/>
              <w:contextualSpacing/>
              <w:jc w:val="left"/>
              <w:rPr/>
            </w:pPr>
            <w:r>
              <w:rPr>
                <w:rFonts w:cs="Times New Roman" w:ascii="Times New Roman" w:hAnsi="Times New Roman"/>
                <w:b w:val="false"/>
                <w:bCs w:val="false"/>
                <w:sz w:val="24"/>
                <w:szCs w:val="24"/>
                <w:u w:val="none"/>
                <w:shd w:fill="auto" w:val="clear"/>
              </w:rPr>
              <w:t>Перевізник:</w:t>
            </w:r>
          </w:p>
          <w:p>
            <w:pPr>
              <w:pStyle w:val="Heading31"/>
              <w:widowControl w:val="false"/>
              <w:numPr>
                <w:ilvl w:val="0"/>
                <w:numId w:val="2"/>
              </w:numPr>
              <w:spacing w:before="0" w:after="0"/>
              <w:ind w:left="0" w:right="0" w:hanging="0"/>
              <w:contextualSpacing/>
              <w:jc w:val="left"/>
              <w:rPr>
                <w:rFonts w:ascii="Times New Roman" w:hAnsi="Times New Roman"/>
                <w:b w:val="false"/>
                <w:b w:val="false"/>
                <w:bCs w:val="false"/>
                <w:color w:val="000000"/>
                <w:sz w:val="24"/>
                <w:szCs w:val="24"/>
                <w:u w:val="none"/>
                <w:lang w:val="uk-UA"/>
              </w:rPr>
            </w:pPr>
            <w:r>
              <w:rPr>
                <w:rFonts w:ascii="Times New Roman" w:hAnsi="Times New Roman"/>
                <w:b w:val="false"/>
                <w:bCs w:val="false"/>
                <w:color w:val="000000"/>
                <w:sz w:val="24"/>
                <w:szCs w:val="24"/>
                <w:u w:val="none"/>
                <w:lang w:val="uk-UA"/>
              </w:rPr>
            </w:r>
          </w:p>
          <w:p>
            <w:pPr>
              <w:pStyle w:val="Normal"/>
              <w:keepNext w:val="false"/>
              <w:widowControl w:val="false"/>
              <w:numPr>
                <w:ilvl w:val="0"/>
                <w:numId w:val="2"/>
              </w:numPr>
              <w:spacing w:before="0" w:after="0"/>
              <w:ind w:left="0" w:right="0" w:hanging="0"/>
              <w:contextualSpacing/>
              <w:jc w:val="left"/>
              <w:rPr/>
            </w:pPr>
            <w:r>
              <w:rPr>
                <w:b w:val="false"/>
                <w:bCs w:val="false"/>
                <w:sz w:val="24"/>
                <w:szCs w:val="24"/>
                <w:u w:val="none"/>
              </w:rPr>
              <w:t>_____________20____</w:t>
            </w:r>
          </w:p>
          <w:p>
            <w:pPr>
              <w:pStyle w:val="Normal"/>
              <w:keepNext w:val="false"/>
              <w:widowControl w:val="false"/>
              <w:numPr>
                <w:ilvl w:val="0"/>
                <w:numId w:val="2"/>
              </w:numPr>
              <w:spacing w:before="0" w:after="0"/>
              <w:ind w:left="0" w:right="0" w:hanging="0"/>
              <w:contextualSpacing/>
              <w:jc w:val="left"/>
              <w:rPr>
                <w:b w:val="false"/>
                <w:b w:val="false"/>
                <w:bCs w:val="false"/>
                <w:color w:val="000000"/>
                <w:sz w:val="24"/>
                <w:szCs w:val="24"/>
                <w:u w:val="none"/>
              </w:rPr>
            </w:pPr>
            <w:r>
              <w:rPr>
                <w:b w:val="false"/>
                <w:bCs w:val="false"/>
                <w:color w:val="000000"/>
                <w:sz w:val="24"/>
                <w:szCs w:val="24"/>
                <w:u w:val="none"/>
              </w:rPr>
            </w:r>
          </w:p>
        </w:tc>
      </w:tr>
      <w:tr>
        <w:trPr/>
        <w:tc>
          <w:tcPr>
            <w:tcW w:w="5220" w:type="dxa"/>
            <w:tcBorders/>
            <w:shd w:fill="FFFFFF" w:val="clear"/>
          </w:tcPr>
          <w:p>
            <w:pPr>
              <w:pStyle w:val="Heading31"/>
              <w:keepNext w:val="false"/>
              <w:widowControl w:val="false"/>
              <w:numPr>
                <w:ilvl w:val="0"/>
                <w:numId w:val="2"/>
              </w:numPr>
              <w:spacing w:before="0" w:after="0"/>
              <w:ind w:left="0" w:right="0" w:hanging="0"/>
              <w:contextualSpacing/>
              <w:jc w:val="left"/>
              <w:rPr/>
            </w:pPr>
            <w:r>
              <w:rPr>
                <w:rFonts w:cs="Times New Roman" w:ascii="Times New Roman" w:hAnsi="Times New Roman"/>
                <w:b w:val="false"/>
                <w:bCs w:val="false"/>
                <w:sz w:val="24"/>
                <w:szCs w:val="24"/>
                <w:u w:val="none"/>
              </w:rPr>
              <w:t>Оператор:</w:t>
            </w:r>
          </w:p>
          <w:p>
            <w:pPr>
              <w:pStyle w:val="Normal"/>
              <w:keepNext w:val="false"/>
              <w:widowControl w:val="false"/>
              <w:numPr>
                <w:ilvl w:val="0"/>
                <w:numId w:val="2"/>
              </w:numPr>
              <w:spacing w:before="0" w:after="0"/>
              <w:ind w:left="0" w:right="0" w:hanging="0"/>
              <w:contextualSpacing/>
              <w:jc w:val="left"/>
              <w:rPr>
                <w:b w:val="false"/>
                <w:b w:val="false"/>
                <w:bCs w:val="false"/>
                <w:sz w:val="24"/>
                <w:szCs w:val="24"/>
                <w:u w:val="none"/>
                <w:lang w:val="uk-UA"/>
              </w:rPr>
            </w:pPr>
            <w:r>
              <w:rPr>
                <w:b w:val="false"/>
                <w:bCs w:val="false"/>
                <w:sz w:val="24"/>
                <w:szCs w:val="24"/>
                <w:u w:val="none"/>
                <w:lang w:val="uk-UA"/>
              </w:rPr>
            </w:r>
          </w:p>
          <w:p>
            <w:pPr>
              <w:pStyle w:val="Normal"/>
              <w:widowControl w:val="false"/>
              <w:numPr>
                <w:ilvl w:val="0"/>
                <w:numId w:val="2"/>
              </w:numPr>
              <w:spacing w:before="0" w:after="0"/>
              <w:ind w:left="0" w:right="0" w:hanging="0"/>
              <w:contextualSpacing/>
              <w:jc w:val="left"/>
              <w:rPr>
                <w:b w:val="false"/>
                <w:b w:val="false"/>
                <w:bCs w:val="false"/>
                <w:sz w:val="24"/>
                <w:szCs w:val="24"/>
                <w:u w:val="none"/>
                <w:lang w:val="uk-UA"/>
              </w:rPr>
            </w:pPr>
            <w:r>
              <w:rPr>
                <w:b w:val="false"/>
                <w:bCs w:val="false"/>
                <w:sz w:val="24"/>
                <w:szCs w:val="24"/>
                <w:u w:val="none"/>
                <w:lang w:val="uk-UA"/>
              </w:rPr>
            </w:r>
          </w:p>
          <w:p>
            <w:pPr>
              <w:pStyle w:val="Normal"/>
              <w:widowControl w:val="false"/>
              <w:numPr>
                <w:ilvl w:val="0"/>
                <w:numId w:val="2"/>
              </w:numPr>
              <w:spacing w:before="0" w:after="0"/>
              <w:ind w:left="0" w:right="0" w:hanging="0"/>
              <w:contextualSpacing/>
              <w:jc w:val="left"/>
              <w:rPr>
                <w:b w:val="false"/>
                <w:b w:val="false"/>
                <w:bCs w:val="false"/>
                <w:sz w:val="24"/>
                <w:szCs w:val="24"/>
                <w:u w:val="none"/>
                <w:lang w:val="uk-UA"/>
              </w:rPr>
            </w:pPr>
            <w:r>
              <w:rPr>
                <w:b w:val="false"/>
                <w:bCs w:val="false"/>
                <w:sz w:val="24"/>
                <w:szCs w:val="24"/>
                <w:u w:val="none"/>
                <w:lang w:val="uk-UA"/>
              </w:rPr>
            </w:r>
          </w:p>
          <w:p>
            <w:pPr>
              <w:pStyle w:val="Normal"/>
              <w:keepNext w:val="false"/>
              <w:widowControl w:val="false"/>
              <w:numPr>
                <w:ilvl w:val="0"/>
                <w:numId w:val="2"/>
              </w:numPr>
              <w:spacing w:before="0" w:after="0"/>
              <w:ind w:left="0" w:right="0" w:hanging="0"/>
              <w:contextualSpacing/>
              <w:jc w:val="left"/>
              <w:rPr/>
            </w:pPr>
            <w:r>
              <w:rPr>
                <w:b w:val="false"/>
                <w:bCs w:val="false"/>
                <w:sz w:val="24"/>
                <w:szCs w:val="24"/>
                <w:u w:val="none"/>
              </w:rPr>
              <w:t>______________20____</w:t>
            </w:r>
          </w:p>
        </w:tc>
        <w:tc>
          <w:tcPr>
            <w:tcW w:w="4529" w:type="dxa"/>
            <w:tcBorders/>
            <w:shd w:fill="FFFFFF" w:val="clear"/>
          </w:tcPr>
          <w:p>
            <w:pPr>
              <w:pStyle w:val="Heading31"/>
              <w:keepNext w:val="false"/>
              <w:widowControl w:val="false"/>
              <w:numPr>
                <w:ilvl w:val="0"/>
                <w:numId w:val="2"/>
              </w:numPr>
              <w:snapToGrid w:val="false"/>
              <w:spacing w:before="0" w:after="0"/>
              <w:ind w:left="0" w:right="0" w:hanging="0"/>
              <w:contextualSpacing/>
              <w:jc w:val="left"/>
              <w:rPr>
                <w:b w:val="false"/>
                <w:b w:val="false"/>
                <w:bCs w:val="false"/>
                <w:sz w:val="24"/>
                <w:szCs w:val="24"/>
                <w:u w:val="none"/>
              </w:rPr>
            </w:pPr>
            <w:r>
              <w:rPr>
                <w:b w:val="false"/>
                <w:bCs w:val="false"/>
                <w:sz w:val="24"/>
                <w:szCs w:val="24"/>
                <w:u w:val="none"/>
              </w:rPr>
            </w:r>
          </w:p>
        </w:tc>
      </w:tr>
    </w:tbl>
    <w:p>
      <w:pPr>
        <w:pStyle w:val="Normal"/>
        <w:keepNext w:val="false"/>
        <w:widowControl/>
        <w:numPr>
          <w:ilvl w:val="0"/>
          <w:numId w:val="2"/>
        </w:numPr>
        <w:suppressAutoHyphens w:val="true"/>
        <w:spacing w:before="0" w:after="0"/>
        <w:ind w:left="0" w:right="0" w:firstLine="709"/>
        <w:contextualSpacing/>
        <w:jc w:val="both"/>
        <w:rPr/>
      </w:pPr>
      <w:r>
        <w:rPr/>
      </w:r>
    </w:p>
    <w:sectPr>
      <w:headerReference w:type="default" r:id="rId2"/>
      <w:type w:val="nextPage"/>
      <w:pgSz w:w="11906" w:h="16838"/>
      <w:pgMar w:left="1979" w:right="567" w:header="425" w:top="482" w:footer="0" w:bottom="62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erif">
    <w:altName w:val="Times New Roman"/>
    <w:charset w:val="cc"/>
    <w:family w:val="swiss"/>
    <w:pitch w:val="variable"/>
  </w:font>
  <w:font w:name="Verdana">
    <w:charset w:val="cc"/>
    <w:family w:val="roman"/>
    <w:pitch w:val="variable"/>
  </w:font>
  <w:font w:name="Tahoma">
    <w:charset w:val="cc"/>
    <w:family w:val="roman"/>
    <w:pitch w:val="variable"/>
  </w:font>
  <w:font w:name="Liberation Mono">
    <w:altName w:val="Courier New"/>
    <w:charset w:val="cc"/>
    <w:family w:val="roman"/>
    <w:pitch w:val="variable"/>
  </w:font>
  <w:font w:name="Arial">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957926456"/>
    </w:sdtPr>
    <w:sdtContent>
      <w:p>
        <w:pPr>
          <w:pStyle w:val="Style26"/>
          <w:jc w:val="center"/>
          <w:rPr/>
        </w:pPr>
        <w:r>
          <w:rPr>
            <w:sz w:val="28"/>
            <w:szCs w:val="28"/>
          </w:rPr>
          <w:fldChar w:fldCharType="begin"/>
        </w:r>
        <w:r>
          <w:rPr>
            <w:sz w:val="28"/>
            <w:szCs w:val="28"/>
          </w:rPr>
          <w:instrText> PAGE </w:instrText>
        </w:r>
        <w:r>
          <w:rPr>
            <w:sz w:val="28"/>
            <w:szCs w:val="28"/>
          </w:rPr>
          <w:fldChar w:fldCharType="separate"/>
        </w:r>
        <w:r>
          <w:rPr>
            <w:sz w:val="28"/>
            <w:szCs w:val="28"/>
          </w:rPr>
          <w:t>12</w:t>
        </w:r>
        <w:r>
          <w:rPr>
            <w:sz w:val="28"/>
            <w:szCs w:val="28"/>
          </w:rPr>
          <w:fldChar w:fldCharType="end"/>
        </w:r>
      </w:p>
    </w:sdtContent>
  </w:sdt>
  <w:p>
    <w:pPr>
      <w:pStyle w:val="Style26"/>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jc w:val="center"/>
      <w:outlineLvl w:val="1"/>
    </w:pPr>
    <w:rPr>
      <w:b/>
      <w:bCs/>
      <w:sz w:val="36"/>
    </w:rPr>
  </w:style>
  <w:style w:type="paragraph" w:styleId="6">
    <w:name w:val="Heading 6"/>
    <w:basedOn w:val="Style14"/>
    <w:next w:val="Style15"/>
    <w:qFormat/>
    <w:pPr>
      <w:spacing w:before="60" w:after="60"/>
      <w:outlineLvl w:val="5"/>
    </w:pPr>
    <w:rPr>
      <w:rFonts w:ascii="Liberation Serif" w:hAnsi="Liberation Serif" w:eastAsia="NSimSun" w:cs="Arial"/>
      <w:b/>
      <w:bCs/>
      <w:sz w:val="14"/>
      <w:szCs w:val="14"/>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11" w:customStyle="1">
    <w:name w:val="Основной шрифт абзаца1"/>
    <w:qFormat/>
    <w:rPr/>
  </w:style>
  <w:style w:type="character" w:styleId="Style11" w:customStyle="1">
    <w:name w:val="Гіперпосилання"/>
    <w:rPr>
      <w:color w:val="0000FF"/>
      <w:u w:val="single"/>
    </w:rPr>
  </w:style>
  <w:style w:type="character" w:styleId="Style12" w:customStyle="1">
    <w:name w:val="Верхний колонтитул Знак"/>
    <w:basedOn w:val="DefaultParagraphFont"/>
    <w:link w:val="af1"/>
    <w:uiPriority w:val="99"/>
    <w:qFormat/>
    <w:rsid w:val="00da1924"/>
    <w:rPr>
      <w:rFonts w:ascii="Times New Roman" w:hAnsi="Times New Roman" w:eastAsia="Times New Roman" w:cs="Times New Roman"/>
      <w:sz w:val="24"/>
      <w:lang w:bidi="ar-SA"/>
    </w:rPr>
  </w:style>
  <w:style w:type="character" w:styleId="Style13" w:customStyle="1">
    <w:name w:val="Нижний колонтитул Знак"/>
    <w:basedOn w:val="DefaultParagraphFont"/>
    <w:link w:val="af3"/>
    <w:uiPriority w:val="99"/>
    <w:qFormat/>
    <w:rsid w:val="00da1924"/>
    <w:rPr>
      <w:rFonts w:ascii="Times New Roman" w:hAnsi="Times New Roman" w:eastAsia="Times New Roman" w:cs="Times New Roman"/>
      <w:sz w:val="24"/>
      <w:lang w:bidi="ar-SA"/>
    </w:rPr>
  </w:style>
  <w:style w:type="paragraph" w:styleId="Style14" w:customStyle="1">
    <w:name w:val="Заголовок"/>
    <w:basedOn w:val="Normal"/>
    <w:next w:val="Style15"/>
    <w:qFormat/>
    <w:pPr>
      <w:keepNext w:val="true"/>
      <w:spacing w:before="240" w:after="120"/>
    </w:pPr>
    <w:rPr>
      <w:rFonts w:eastAsia="Lucida Sans Unicode"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8"/>
    </w:rPr>
  </w:style>
  <w:style w:type="paragraph" w:styleId="Style19">
    <w:name w:val="Title"/>
    <w:basedOn w:val="Normal"/>
    <w:qFormat/>
    <w:pPr>
      <w:suppressLineNumbers/>
      <w:spacing w:before="120" w:after="120"/>
    </w:pPr>
    <w:rPr>
      <w:rFonts w:cs="Mangal"/>
      <w:i/>
      <w:iCs/>
      <w:sz w:val="28"/>
    </w:rPr>
  </w:style>
  <w:style w:type="paragraph" w:styleId="Indexheading">
    <w:name w:val="index heading"/>
    <w:basedOn w:val="Normal"/>
    <w:qFormat/>
    <w:pPr>
      <w:suppressLineNumbers/>
    </w:pPr>
    <w:rPr>
      <w:rFonts w:cs="Mangal"/>
    </w:rPr>
  </w:style>
  <w:style w:type="paragraph" w:styleId="12" w:customStyle="1">
    <w:name w:val="Указатель1"/>
    <w:basedOn w:val="Normal"/>
    <w:qFormat/>
    <w:pPr>
      <w:suppressLineNumbers/>
    </w:pPr>
    <w:rPr>
      <w:rFonts w:cs="Mangal"/>
    </w:rPr>
  </w:style>
  <w:style w:type="paragraph" w:styleId="Style20" w:customStyle="1">
    <w:name w:val="Знак"/>
    <w:basedOn w:val="Normal"/>
    <w:qFormat/>
    <w:pPr/>
    <w:rPr>
      <w:rFonts w:ascii="Verdana" w:hAnsi="Verdana" w:cs="Verdana"/>
      <w:sz w:val="20"/>
      <w:szCs w:val="20"/>
      <w:lang w:val="en-US"/>
    </w:rPr>
  </w:style>
  <w:style w:type="paragraph" w:styleId="BalloonText">
    <w:name w:val="Balloon Text"/>
    <w:basedOn w:val="Normal"/>
    <w:qFormat/>
    <w:pPr/>
    <w:rPr>
      <w:rFonts w:ascii="Tahoma" w:hAnsi="Tahoma" w:cs="Tahoma"/>
      <w:sz w:val="16"/>
      <w:szCs w:val="16"/>
    </w:rPr>
  </w:style>
  <w:style w:type="paragraph" w:styleId="Style21" w:customStyle="1">
    <w:name w:val="Знак Знак Знак Знак"/>
    <w:basedOn w:val="Normal"/>
    <w:qFormat/>
    <w:pPr/>
    <w:rPr>
      <w:rFonts w:ascii="Verdana" w:hAnsi="Verdana" w:cs="Verdana"/>
      <w:sz w:val="20"/>
      <w:szCs w:val="20"/>
      <w:lang w:val="en-US"/>
    </w:rPr>
  </w:style>
  <w:style w:type="paragraph" w:styleId="Style22" w:customStyle="1">
    <w:name w:val="Вміст таблиці"/>
    <w:basedOn w:val="Normal"/>
    <w:qFormat/>
    <w:pPr>
      <w:suppressLineNumbers/>
    </w:pPr>
    <w:rPr/>
  </w:style>
  <w:style w:type="paragraph" w:styleId="Style23" w:customStyle="1">
    <w:name w:val="Заголовок таблиці"/>
    <w:basedOn w:val="Style22"/>
    <w:qFormat/>
    <w:pPr>
      <w:jc w:val="center"/>
    </w:pPr>
    <w:rPr>
      <w:b/>
      <w:bCs/>
    </w:rPr>
  </w:style>
  <w:style w:type="paragraph" w:styleId="Style24" w:customStyle="1">
    <w:name w:val="Текст у вказаному форматі"/>
    <w:basedOn w:val="Normal"/>
    <w:qFormat/>
    <w:pPr/>
    <w:rPr>
      <w:rFonts w:ascii="Liberation Mono" w:hAnsi="Liberation Mono" w:eastAsia="NSimSun" w:cs="Liberation Mono"/>
      <w:sz w:val="20"/>
      <w:szCs w:val="20"/>
    </w:rPr>
  </w:style>
  <w:style w:type="paragraph" w:styleId="LOnormal" w:customStyle="1">
    <w:name w:val="LO-normal"/>
    <w:qFormat/>
    <w:pPr>
      <w:widowControl w:val="false"/>
      <w:suppressAutoHyphens w:val="true"/>
      <w:bidi w:val="0"/>
      <w:spacing w:before="0" w:after="0"/>
      <w:jc w:val="left"/>
    </w:pPr>
    <w:rPr>
      <w:rFonts w:ascii="Times New Roman" w:hAnsi="Times New Roman" w:eastAsia="Times New Roman" w:cs="Times New Roman"/>
      <w:color w:val="000000"/>
      <w:kern w:val="2"/>
      <w:sz w:val="24"/>
      <w:szCs w:val="20"/>
      <w:lang w:val="uk-UA" w:eastAsia="zh-CN" w:bidi="ar-SA"/>
    </w:rPr>
  </w:style>
  <w:style w:type="paragraph" w:styleId="Lonormalcxspmiddle" w:customStyle="1">
    <w:name w:val="lo-normalcxspmiddle"/>
    <w:basedOn w:val="Normal"/>
    <w:qFormat/>
    <w:pPr>
      <w:spacing w:before="280" w:after="280"/>
    </w:pPr>
    <w:rPr>
      <w:lang w:val="ru-RU"/>
    </w:rPr>
  </w:style>
  <w:style w:type="paragraph" w:styleId="Style25">
    <w:name w:val="Верхній і нижній колонтитули"/>
    <w:basedOn w:val="Normal"/>
    <w:qFormat/>
    <w:pPr/>
    <w:rPr/>
  </w:style>
  <w:style w:type="paragraph" w:styleId="Style26">
    <w:name w:val="Header"/>
    <w:basedOn w:val="Normal"/>
    <w:link w:val="af2"/>
    <w:uiPriority w:val="99"/>
    <w:unhideWhenUsed/>
    <w:rsid w:val="00da1924"/>
    <w:pPr>
      <w:tabs>
        <w:tab w:val="clear" w:pos="708"/>
        <w:tab w:val="center" w:pos="4819" w:leader="none"/>
        <w:tab w:val="right" w:pos="9639" w:leader="none"/>
      </w:tabs>
    </w:pPr>
    <w:rPr/>
  </w:style>
  <w:style w:type="paragraph" w:styleId="Style27">
    <w:name w:val="Footer"/>
    <w:basedOn w:val="Normal"/>
    <w:link w:val="af4"/>
    <w:uiPriority w:val="99"/>
    <w:unhideWhenUsed/>
    <w:rsid w:val="00da1924"/>
    <w:pPr>
      <w:tabs>
        <w:tab w:val="clear" w:pos="708"/>
        <w:tab w:val="center" w:pos="4819" w:leader="none"/>
        <w:tab w:val="right" w:pos="9639" w:leader="none"/>
      </w:tabs>
    </w:pPr>
    <w:rPr/>
  </w:style>
  <w:style w:type="paragraph" w:styleId="NoSpacing">
    <w:name w:val="No Spacing"/>
    <w:qFormat/>
    <w:pPr>
      <w:widowControl w:val="false"/>
      <w:suppressAutoHyphens w:val="true"/>
      <w:overflowPunct w:val="true"/>
      <w:bidi w:val="0"/>
      <w:spacing w:before="0" w:after="0"/>
      <w:jc w:val="left"/>
    </w:pPr>
    <w:rPr>
      <w:rFonts w:ascii="Times New Roman" w:hAnsi="Times New Roman" w:eastAsia="Times New Roman" w:cs="Times New Roman"/>
      <w:color w:val="000000"/>
      <w:kern w:val="2"/>
      <w:sz w:val="20"/>
      <w:szCs w:val="20"/>
      <w:lang w:val="uk-UA" w:eastAsia="zh-CN" w:bidi="ar-SA"/>
    </w:rPr>
  </w:style>
  <w:style w:type="paragraph" w:styleId="NormalWeb">
    <w:name w:val="Normal (Web)"/>
    <w:basedOn w:val="Normal"/>
    <w:qFormat/>
    <w:pPr>
      <w:spacing w:before="280" w:after="280"/>
    </w:pPr>
    <w:rPr>
      <w:bCs w:val="false"/>
      <w:sz w:val="24"/>
      <w:lang w:val="ru-RU"/>
    </w:rPr>
  </w:style>
  <w:style w:type="paragraph" w:styleId="Heading31">
    <w:name w:val="Heading 31"/>
    <w:basedOn w:val="Normal"/>
    <w:qFormat/>
    <w:pPr>
      <w:keepNext w:val="true"/>
      <w:spacing w:before="240" w:after="60"/>
    </w:pPr>
    <w:rPr>
      <w:rFonts w:ascii="Arial" w:hAnsi="Arial" w:cs="Arial"/>
      <w:b/>
      <w:sz w:val="26"/>
      <w:szCs w:val="26"/>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1964</TotalTime>
  <Application>LibreOffice/7.0.3.1$Windows_X86_64 LibreOffice_project/d7547858d014d4cf69878db179d326fc3483e082</Application>
  <Pages>12</Pages>
  <Words>3685</Words>
  <Characters>26293</Characters>
  <CharactersWithSpaces>30133</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2011-12-21T16:40:00Z</dcterms:created>
  <dc:creator>sereda</dc:creator>
  <dc:description/>
  <dc:language>uk-UA</dc:language>
  <cp:lastModifiedBy/>
  <dcterms:modified xsi:type="dcterms:W3CDTF">2021-02-25T08:28:58Z</dcterms:modified>
  <cp:revision>103</cp:revision>
  <dc:subject/>
  <dc:title>Про припинення дії тимчасових</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