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application/x-msmetafil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979A" w14:textId="77777777" w:rsidR="00C520EC" w:rsidRDefault="009E16F2">
      <w:pPr>
        <w:suppressAutoHyphens w:val="0"/>
        <w:jc w:val="center"/>
        <w:rPr>
          <w:bCs/>
          <w:sz w:val="28"/>
        </w:rPr>
      </w:pPr>
      <w:r>
        <w:rPr>
          <w:noProof/>
          <w:lang w:eastAsia="uk-UA"/>
        </w:rPr>
        <w:drawing>
          <wp:inline distT="0" distB="0" distL="0" distR="0" wp14:anchorId="095DEB8C" wp14:editId="732211D4">
            <wp:extent cx="74295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7847AE08" w14:textId="77777777" w:rsidR="00C520EC" w:rsidRDefault="00C520EC">
      <w:pPr>
        <w:suppressAutoHyphens w:val="0"/>
        <w:jc w:val="center"/>
        <w:rPr>
          <w:bCs/>
          <w:sz w:val="16"/>
          <w:szCs w:val="16"/>
        </w:rPr>
      </w:pPr>
    </w:p>
    <w:p w14:paraId="70EC66DC" w14:textId="77777777" w:rsidR="00C520EC" w:rsidRDefault="009E16F2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14:paraId="3832ECCD" w14:textId="77777777" w:rsidR="00C520EC" w:rsidRDefault="00C520EC">
      <w:pPr>
        <w:suppressAutoHyphens w:val="0"/>
        <w:rPr>
          <w:bCs/>
          <w:sz w:val="20"/>
          <w:szCs w:val="20"/>
        </w:rPr>
      </w:pPr>
    </w:p>
    <w:p w14:paraId="14B33716" w14:textId="77777777" w:rsidR="00C520EC" w:rsidRDefault="009E16F2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3A550CD3" w14:textId="77777777" w:rsidR="00C520EC" w:rsidRDefault="00C520EC">
      <w:pPr>
        <w:suppressAutoHyphens w:val="0"/>
        <w:jc w:val="center"/>
        <w:rPr>
          <w:b/>
          <w:sz w:val="40"/>
          <w:szCs w:val="40"/>
        </w:rPr>
      </w:pPr>
    </w:p>
    <w:p w14:paraId="6BD9DF94" w14:textId="77777777" w:rsidR="00C520EC" w:rsidRDefault="009E16F2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14:paraId="2063244F" w14:textId="77777777" w:rsidR="00C520EC" w:rsidRDefault="00C520EC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14:paraId="1674A1C6" w14:textId="77777777" w:rsidR="00C520EC" w:rsidRDefault="00C520EC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14:paraId="136EEFD1" w14:textId="77777777" w:rsidR="00C520EC" w:rsidRDefault="009E16F2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переліків</w:t>
      </w:r>
    </w:p>
    <w:p w14:paraId="21F2D1F6" w14:textId="77777777" w:rsidR="00C520EC" w:rsidRDefault="009E16F2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14:paraId="7B6D8435" w14:textId="77777777" w:rsidR="00C520EC" w:rsidRDefault="00C520EC">
      <w:pPr>
        <w:suppressAutoHyphens w:val="0"/>
        <w:ind w:firstLine="708"/>
        <w:jc w:val="both"/>
        <w:rPr>
          <w:sz w:val="28"/>
          <w:szCs w:val="28"/>
        </w:rPr>
      </w:pPr>
    </w:p>
    <w:p w14:paraId="3375EE26" w14:textId="77777777" w:rsidR="00C520EC" w:rsidRDefault="009E16F2">
      <w:pPr>
        <w:suppressAutoHyphens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sz w:val="28"/>
          <w:szCs w:val="28"/>
          <w:shd w:val="clear" w:color="auto" w:fill="FFFFFF"/>
        </w:rPr>
        <w:t>відповідно до статті 327 Цивільного кодексу України, Закону України «Про правовий режим воєнного стану», Указу Президента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р</w:t>
      </w:r>
      <w:r w:rsidR="0068550F">
        <w:rPr>
          <w:iCs/>
          <w:sz w:val="28"/>
          <w:szCs w:val="28"/>
        </w:rPr>
        <w:t>ішень Луцької міської ради: від </w:t>
      </w:r>
      <w:r>
        <w:rPr>
          <w:iCs/>
          <w:sz w:val="28"/>
          <w:szCs w:val="28"/>
        </w:rPr>
        <w:t xml:space="preserve">23.02.2022 </w:t>
      </w:r>
      <w:r>
        <w:rPr>
          <w:sz w:val="28"/>
          <w:szCs w:val="28"/>
        </w:rPr>
        <w:t>№</w:t>
      </w:r>
      <w:r>
        <w:rPr>
          <w:iCs/>
          <w:sz w:val="28"/>
          <w:szCs w:val="28"/>
        </w:rPr>
        <w:t xml:space="preserve"> 26/79 «Про 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2022-2024 роки» зі змінами, </w:t>
      </w:r>
      <w:r w:rsidR="0068550F">
        <w:rPr>
          <w:sz w:val="28"/>
          <w:szCs w:val="28"/>
          <w:lang w:eastAsia="uk-UA"/>
        </w:rPr>
        <w:t>від 18.12.2024 № </w:t>
      </w:r>
      <w:r>
        <w:rPr>
          <w:sz w:val="28"/>
          <w:szCs w:val="28"/>
          <w:lang w:eastAsia="uk-UA"/>
        </w:rPr>
        <w:t>66/87</w:t>
      </w:r>
      <w:r>
        <w:rPr>
          <w:iCs/>
          <w:sz w:val="28"/>
          <w:szCs w:val="28"/>
        </w:rPr>
        <w:t xml:space="preserve"> «Про </w:t>
      </w:r>
      <w:r>
        <w:rPr>
          <w:sz w:val="28"/>
          <w:szCs w:val="28"/>
          <w:lang w:eastAsia="uk-UA"/>
        </w:rPr>
        <w:t xml:space="preserve">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</w:r>
      <w:r>
        <w:rPr>
          <w:iCs/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  <w:lang w:eastAsia="uk-UA"/>
        </w:rPr>
        <w:t xml:space="preserve"> на 2025</w:t>
      </w:r>
      <w:r w:rsidR="0068550F">
        <w:rPr>
          <w:sz w:val="28"/>
          <w:szCs w:val="28"/>
          <w:lang w:eastAsia="uk-UA"/>
        </w:rPr>
        <w:t>–</w:t>
      </w:r>
      <w:r>
        <w:rPr>
          <w:sz w:val="28"/>
          <w:szCs w:val="28"/>
          <w:lang w:eastAsia="uk-UA"/>
        </w:rPr>
        <w:t>2027 роки»</w:t>
      </w:r>
      <w:r>
        <w:rPr>
          <w:iCs/>
          <w:sz w:val="28"/>
          <w:szCs w:val="28"/>
        </w:rPr>
        <w:t xml:space="preserve">, від 24.02.2021 № 7/75 «Про затвердження Програми виконання доручень виборців та здійснення депутатських повноважень депутатами Луцької міської ради </w:t>
      </w:r>
      <w:r>
        <w:rPr>
          <w:iCs/>
          <w:sz w:val="28"/>
          <w:szCs w:val="28"/>
          <w:lang w:val="en-US"/>
        </w:rPr>
        <w:t>VIII</w:t>
      </w:r>
      <w:r>
        <w:rPr>
          <w:iCs/>
          <w:sz w:val="28"/>
          <w:szCs w:val="28"/>
        </w:rPr>
        <w:t xml:space="preserve"> скликання на 2021</w:t>
      </w:r>
      <w:r w:rsidR="0068550F">
        <w:rPr>
          <w:sz w:val="28"/>
          <w:szCs w:val="28"/>
          <w:lang w:eastAsia="uk-UA"/>
        </w:rPr>
        <w:t>–</w:t>
      </w:r>
      <w:r>
        <w:rPr>
          <w:iCs/>
          <w:sz w:val="28"/>
          <w:szCs w:val="28"/>
        </w:rPr>
        <w:t xml:space="preserve">2025 роки» зі змінами, з метою сприяння обороноздатності, покращення матеріально-технічного забезпечення військових частин, добровольчого формування територіальної громади, налагодження ефективного цивільно-військового співробітництва, міська рада </w:t>
      </w:r>
    </w:p>
    <w:p w14:paraId="4E3DFC40" w14:textId="77777777" w:rsidR="00C520EC" w:rsidRDefault="00C520E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14:paraId="3B02F1ED" w14:textId="77777777" w:rsidR="00C520EC" w:rsidRDefault="009E16F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14:paraId="7B07E04B" w14:textId="77777777" w:rsidR="00C520EC" w:rsidRDefault="00C520E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14:paraId="78349D38" w14:textId="744C73AE" w:rsidR="00C520EC" w:rsidRDefault="009E16F2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Затвердити переліки переданих матеріальних цінностей у першому кварталі 2025 року з балансу Виконавчого комітету Луцької міської ради військовим частинам, </w:t>
      </w:r>
      <w:bookmarkStart w:id="0" w:name="__DdeLink__69_2960645601"/>
      <w:r>
        <w:rPr>
          <w:sz w:val="28"/>
          <w:szCs w:val="28"/>
        </w:rPr>
        <w:t xml:space="preserve">добровольчому формуванню Луцької міської </w:t>
      </w:r>
      <w:r>
        <w:rPr>
          <w:sz w:val="28"/>
          <w:szCs w:val="28"/>
        </w:rPr>
        <w:lastRenderedPageBreak/>
        <w:t xml:space="preserve">територіальної громади №1, </w:t>
      </w:r>
      <w:r>
        <w:rPr>
          <w:iCs/>
          <w:sz w:val="28"/>
          <w:szCs w:val="28"/>
        </w:rPr>
        <w:t>Волинському обласному ТЦК та СП</w:t>
      </w:r>
      <w:bookmarkEnd w:id="0"/>
      <w:r w:rsidR="0068550F">
        <w:rPr>
          <w:iCs/>
          <w:sz w:val="28"/>
          <w:szCs w:val="28"/>
        </w:rPr>
        <w:t>, 1</w:t>
      </w:r>
      <w:r w:rsidR="0068550F">
        <w:rPr>
          <w:iCs/>
          <w:sz w:val="28"/>
          <w:szCs w:val="28"/>
          <w:lang w:val="en-US"/>
        </w:rPr>
        <w:t> </w:t>
      </w:r>
      <w:r>
        <w:rPr>
          <w:iCs/>
          <w:sz w:val="28"/>
          <w:szCs w:val="28"/>
        </w:rPr>
        <w:t xml:space="preserve">державному </w:t>
      </w:r>
      <w:proofErr w:type="spellStart"/>
      <w:r>
        <w:rPr>
          <w:iCs/>
          <w:sz w:val="28"/>
          <w:szCs w:val="28"/>
        </w:rPr>
        <w:t>пожежно</w:t>
      </w:r>
      <w:proofErr w:type="spellEnd"/>
      <w:r>
        <w:rPr>
          <w:iCs/>
          <w:sz w:val="28"/>
          <w:szCs w:val="28"/>
        </w:rPr>
        <w:t>-рятувальному загону Головного управління ДСНС</w:t>
      </w:r>
      <w:r>
        <w:rPr>
          <w:sz w:val="28"/>
          <w:szCs w:val="22"/>
        </w:rPr>
        <w:t xml:space="preserve"> </w:t>
      </w:r>
      <w:r w:rsidR="0068550F">
        <w:rPr>
          <w:sz w:val="28"/>
          <w:szCs w:val="22"/>
          <w:lang w:val="en-US"/>
        </w:rPr>
        <w:t xml:space="preserve">  </w:t>
      </w:r>
      <w:r>
        <w:rPr>
          <w:sz w:val="28"/>
          <w:szCs w:val="22"/>
        </w:rPr>
        <w:t>у Волинській області</w:t>
      </w:r>
      <w:r>
        <w:rPr>
          <w:iCs/>
          <w:sz w:val="28"/>
          <w:szCs w:val="28"/>
        </w:rPr>
        <w:t>.</w:t>
      </w:r>
    </w:p>
    <w:p w14:paraId="158076D7" w14:textId="77777777" w:rsidR="00C520EC" w:rsidRDefault="00C520E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</w:p>
    <w:p w14:paraId="7C5BD591" w14:textId="77777777" w:rsidR="00C520EC" w:rsidRDefault="009E16F2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14:paraId="6A1D161B" w14:textId="77777777" w:rsidR="00C520EC" w:rsidRDefault="00C520E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78E60284" w14:textId="77777777" w:rsidR="00C520EC" w:rsidRDefault="00C520E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2AFB73B2" w14:textId="77777777" w:rsidR="00C520EC" w:rsidRDefault="00C520E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0B924351" w14:textId="77777777" w:rsidR="00C520EC" w:rsidRDefault="009E16F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52D3121" w14:textId="77777777" w:rsidR="00C520EC" w:rsidRDefault="00C520EC">
      <w:pPr>
        <w:jc w:val="both"/>
        <w:rPr>
          <w:sz w:val="28"/>
          <w:szCs w:val="28"/>
        </w:rPr>
      </w:pPr>
    </w:p>
    <w:p w14:paraId="31C26308" w14:textId="77777777" w:rsidR="00C520EC" w:rsidRDefault="009E16F2">
      <w:pPr>
        <w:widowControl w:val="0"/>
        <w:shd w:val="clear" w:color="auto" w:fill="FFFFFF"/>
        <w:tabs>
          <w:tab w:val="left" w:pos="4661"/>
          <w:tab w:val="left" w:pos="9354"/>
        </w:tabs>
        <w:spacing w:before="280"/>
        <w:ind w:right="-2"/>
        <w:jc w:val="both"/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sectPr w:rsidR="00C520EC">
      <w:headerReference w:type="default" r:id="rId7"/>
      <w:footerReference w:type="default" r:id="rId8"/>
      <w:footerReference w:type="first" r:id="rId9"/>
      <w:pgSz w:w="11906" w:h="16838"/>
      <w:pgMar w:top="766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FD97" w14:textId="77777777" w:rsidR="009E16F2" w:rsidRDefault="009E16F2"/>
  </w:endnote>
  <w:endnote w:type="continuationSeparator" w:id="0">
    <w:p w14:paraId="1989F714" w14:textId="77777777" w:rsidR="009E16F2" w:rsidRDefault="009E1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C938" w14:textId="77777777" w:rsidR="00C520EC" w:rsidRDefault="00C520E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71E1" w14:textId="77777777" w:rsidR="00C520EC" w:rsidRDefault="00C520EC">
    <w:pPr>
      <w:pStyle w:val="aa"/>
    </w:pPr>
  </w:p>
  <w:p w14:paraId="2BB99F41" w14:textId="77777777" w:rsidR="00C520EC" w:rsidRDefault="00C520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54FC" w14:textId="77777777" w:rsidR="009E16F2" w:rsidRDefault="009E16F2"/>
  </w:footnote>
  <w:footnote w:type="continuationSeparator" w:id="0">
    <w:p w14:paraId="2280F9B4" w14:textId="77777777" w:rsidR="009E16F2" w:rsidRDefault="009E1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A9B3" w14:textId="77777777" w:rsidR="00C520EC" w:rsidRDefault="00C520EC">
    <w:pPr>
      <w:pStyle w:val="a9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EC"/>
    <w:rsid w:val="0042348C"/>
    <w:rsid w:val="0068550F"/>
    <w:rsid w:val="009E16F2"/>
    <w:rsid w:val="00A1016E"/>
    <w:rsid w:val="00C5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E3D9"/>
  <w15:docId w15:val="{29E6E3D6-0DB9-4384-8CA8-6EFDF153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11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link w:val="12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13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styleId="ab">
    <w:name w:val="Body Text Indent"/>
    <w:basedOn w:val="a"/>
    <w:link w:val="15"/>
    <w:pPr>
      <w:ind w:firstLine="545"/>
      <w:jc w:val="both"/>
    </w:pPr>
    <w:rPr>
      <w:color w:val="00000A"/>
      <w:sz w:val="28"/>
      <w:lang w:eastAsia="zh-CN"/>
    </w:rPr>
  </w:style>
  <w:style w:type="paragraph" w:styleId="ac">
    <w:name w:val="List Paragraph"/>
    <w:basedOn w:val="a"/>
    <w:qFormat/>
    <w:pPr>
      <w:ind w:left="720"/>
      <w:contextualSpacing/>
    </w:pPr>
    <w:rPr>
      <w:sz w:val="28"/>
      <w:szCs w:val="28"/>
      <w:lang w:val="ru-RU" w:eastAsia="en-US"/>
    </w:rPr>
  </w:style>
  <w:style w:type="paragraph" w:styleId="ad">
    <w:name w:val="Balloon Text"/>
    <w:basedOn w:val="a"/>
    <w:link w:val="16"/>
    <w:semiHidden/>
    <w:qFormat/>
    <w:rPr>
      <w:rFonts w:ascii="Tahoma" w:hAnsi="Tahoma"/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Autospacing="1" w:after="142" w:line="276" w:lineRule="auto"/>
    </w:pPr>
    <w:rPr>
      <w:lang w:eastAsia="uk-UA"/>
    </w:rPr>
  </w:style>
  <w:style w:type="paragraph" w:customStyle="1" w:styleId="DocumentMap">
    <w:name w:val="DocumentMap"/>
    <w:qFormat/>
    <w:rPr>
      <w:rFonts w:ascii="Times New Roman" w:hAnsi="Times New Roman"/>
      <w:szCs w:val="20"/>
    </w:rPr>
  </w:style>
  <w:style w:type="paragraph" w:styleId="ae">
    <w:name w:val="footnote text"/>
    <w:link w:val="af"/>
    <w:semiHidden/>
    <w:rPr>
      <w:szCs w:val="20"/>
    </w:rPr>
  </w:style>
  <w:style w:type="paragraph" w:styleId="af0">
    <w:name w:val="endnote text"/>
    <w:link w:val="af1"/>
    <w:semiHidden/>
    <w:rPr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af4">
    <w:name w:val="Верхний колонтитул Знак"/>
    <w:basedOn w:val="a0"/>
    <w:qFormat/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qFormat/>
    <w:rPr>
      <w:rFonts w:ascii="Times New Roman" w:hAnsi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17">
    <w:name w:val="Гіперпосилання1"/>
    <w:qFormat/>
    <w:rPr>
      <w:color w:val="000080"/>
      <w:u w:val="single"/>
    </w:rPr>
  </w:style>
  <w:style w:type="character" w:customStyle="1" w:styleId="af6">
    <w:name w:val="Основной текст с отступом Знак"/>
    <w:basedOn w:val="a0"/>
    <w:qFormat/>
    <w:rPr>
      <w:rFonts w:ascii="Times New Roman" w:hAnsi="Times New Roman"/>
      <w:color w:val="00000A"/>
      <w:sz w:val="24"/>
      <w:szCs w:val="24"/>
      <w:lang w:eastAsia="zh-CN"/>
    </w:rPr>
  </w:style>
  <w:style w:type="character" w:customStyle="1" w:styleId="af7">
    <w:name w:val="Основной текст Знак"/>
    <w:basedOn w:val="a0"/>
    <w:qFormat/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semiHidden/>
    <w:qFormat/>
    <w:rPr>
      <w:rFonts w:ascii="Tahoma" w:hAnsi="Tahoma"/>
      <w:sz w:val="16"/>
      <w:szCs w:val="16"/>
      <w:lang w:eastAsia="ru-RU"/>
    </w:rPr>
  </w:style>
  <w:style w:type="character" w:customStyle="1" w:styleId="af9">
    <w:name w:val="Основний текст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a">
    <w:name w:val="Верхній колонтитул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b">
    <w:name w:val="Нижній колонтитул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c">
    <w:name w:val="Основний текст з відступом Знак"/>
    <w:basedOn w:val="a0"/>
    <w:semiHidden/>
    <w:qFormat/>
    <w:rPr>
      <w:rFonts w:ascii="Times New Roman" w:hAnsi="Times New Roman"/>
      <w:sz w:val="24"/>
      <w:szCs w:val="24"/>
      <w:lang w:val="uk-UA" w:eastAsia="ru-RU"/>
    </w:rPr>
  </w:style>
  <w:style w:type="character" w:customStyle="1" w:styleId="afd">
    <w:name w:val="Текст у виносці Знак"/>
    <w:basedOn w:val="a0"/>
    <w:semiHidden/>
    <w:qFormat/>
    <w:rPr>
      <w:rFonts w:ascii="Times New Roman" w:hAnsi="Times New Roman"/>
      <w:sz w:val="2"/>
      <w:lang w:val="uk-UA" w:eastAsia="ru-RU"/>
    </w:rPr>
  </w:style>
  <w:style w:type="character" w:customStyle="1" w:styleId="11">
    <w:name w:val="Основний текст Знак1"/>
    <w:basedOn w:val="a0"/>
    <w:link w:val="a4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Верхній колонтитул Знак1"/>
    <w:basedOn w:val="a0"/>
    <w:link w:val="a9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3">
    <w:name w:val="Нижній колонтитул Знак1"/>
    <w:basedOn w:val="a0"/>
    <w:link w:val="aa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Основний текст з відступом Знак1"/>
    <w:basedOn w:val="a0"/>
    <w:link w:val="ab"/>
    <w:semiHidden/>
    <w:qFormat/>
    <w:rPr>
      <w:rFonts w:ascii="Times New Roman" w:hAnsi="Times New Roman"/>
      <w:sz w:val="24"/>
      <w:szCs w:val="24"/>
      <w:lang w:eastAsia="ru-RU"/>
    </w:rPr>
  </w:style>
  <w:style w:type="character" w:customStyle="1" w:styleId="16">
    <w:name w:val="Текст у виносці Знак1"/>
    <w:basedOn w:val="a0"/>
    <w:link w:val="ad"/>
    <w:semiHidden/>
    <w:qFormat/>
    <w:rPr>
      <w:rFonts w:ascii="Times New Roman" w:hAnsi="Times New Roman"/>
      <w:lang w:eastAsia="ru-RU"/>
    </w:rPr>
  </w:style>
  <w:style w:type="character" w:styleId="afe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f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8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1597</Words>
  <Characters>911</Characters>
  <Application>Microsoft Office Word</Application>
  <DocSecurity>0</DocSecurity>
  <Lines>7</Lines>
  <Paragraphs>5</Paragraphs>
  <ScaleCrop>false</ScaleCrop>
  <Company>*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Серватович Оксана</cp:lastModifiedBy>
  <cp:revision>2</cp:revision>
  <cp:lastPrinted>2025-05-12T11:49:00Z</cp:lastPrinted>
  <dcterms:created xsi:type="dcterms:W3CDTF">2025-05-30T07:46:00Z</dcterms:created>
  <dcterms:modified xsi:type="dcterms:W3CDTF">2025-05-30T07:46:00Z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