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28"/>
          <w:szCs w:val="28"/>
        </w:rPr>
      </w:pPr>
      <w:r>
        <w:rPr/>
        <w:object>
          <v:shape id="ole_rId2" style="width:57pt;height:58.5pt" o:ole="">
            <v:imagedata r:id="rId3" o:title=""/>
          </v:shape>
          <o:OLEObject Type="Embed" ProgID="PBrush" ShapeID="ole_rId2" DrawAspect="Content" ObjectID="_710930705" r:id="rId2"/>
        </w:object>
      </w:r>
    </w:p>
    <w:p>
      <w:pPr>
        <w:pStyle w:val="1"/>
        <w:rPr/>
      </w:pPr>
      <w:r>
        <w:rPr>
          <w:sz w:val="28"/>
          <w:szCs w:val="28"/>
        </w:rPr>
        <w:t>ЛУЦЬКА  МІСЬКА  РАДА</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2"/>
        <w:tabs>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tabs>
          <w:tab w:val="left" w:pos="4687" w:leader="none"/>
        </w:tabs>
        <w:jc w:val="both"/>
        <w:rPr/>
      </w:pPr>
      <w:r>
        <w:rPr>
          <w:rFonts w:cs="Times New Roman" w:ascii="Times New Roman" w:hAnsi="Times New Roman"/>
          <w:sz w:val="24"/>
        </w:rPr>
        <w:t>________________                                        Луцьк                                         №______________</w:t>
      </w:r>
    </w:p>
    <w:tbl>
      <w:tblPr>
        <w:tblW w:w="9571" w:type="dxa"/>
        <w:jc w:val="left"/>
        <w:tblInd w:w="0" w:type="dxa"/>
        <w:tblBorders/>
        <w:tblCellMar>
          <w:top w:w="0" w:type="dxa"/>
          <w:left w:w="108" w:type="dxa"/>
          <w:bottom w:w="0" w:type="dxa"/>
          <w:right w:w="108" w:type="dxa"/>
        </w:tblCellMar>
        <w:tblLook w:firstRow="0" w:noVBand="0" w:lastRow="0" w:firstColumn="0" w:lastColumn="0" w:noHBand="0" w:val="0000"/>
      </w:tblPr>
      <w:tblGrid>
        <w:gridCol w:w="4928"/>
        <w:gridCol w:w="283"/>
        <w:gridCol w:w="4360"/>
      </w:tblGrid>
      <w:tr>
        <w:trPr/>
        <w:tc>
          <w:tcPr>
            <w:tcW w:w="4928" w:type="dxa"/>
            <w:tcBorders/>
            <w:shd w:color="auto" w:fill="auto" w:val="clear"/>
          </w:tcPr>
          <w:p>
            <w:pPr>
              <w:pStyle w:val="Normal"/>
              <w:spacing w:lineRule="auto" w:line="240" w:before="0" w:after="0"/>
              <w:jc w:val="both"/>
              <w:rPr/>
            </w:pPr>
            <w:r>
              <w:rPr>
                <w:rFonts w:cs="Times New Roman" w:ascii="Times New Roman" w:hAnsi="Times New Roman"/>
                <w:sz w:val="28"/>
                <w:szCs w:val="28"/>
                <w:lang w:val="uk-UA"/>
              </w:rPr>
              <w:t xml:space="preserve">Про звернення до Президента України та Голови Верховної Ради України щодо </w:t>
            </w:r>
            <w:r>
              <w:rPr>
                <w:rFonts w:cs="Times New Roman" w:ascii="Times New Roman" w:hAnsi="Times New Roman"/>
                <w:bCs/>
                <w:sz w:val="28"/>
                <w:szCs w:val="28"/>
              </w:rPr>
              <w:t>неприйнятн</w:t>
            </w:r>
            <w:r>
              <w:rPr>
                <w:rFonts w:cs="Times New Roman" w:ascii="Times New Roman" w:hAnsi="Times New Roman"/>
                <w:bCs/>
                <w:sz w:val="28"/>
                <w:szCs w:val="28"/>
                <w:lang w:val="uk-UA"/>
              </w:rPr>
              <w:t>ості</w:t>
            </w:r>
            <w:r>
              <w:rPr>
                <w:rFonts w:cs="Times New Roman" w:ascii="Times New Roman" w:hAnsi="Times New Roman"/>
                <w:bCs/>
                <w:sz w:val="28"/>
                <w:szCs w:val="28"/>
              </w:rPr>
              <w:t xml:space="preserve"> великого розміру грошової застави</w:t>
            </w:r>
            <w:r>
              <w:rPr>
                <w:rFonts w:cs="Times New Roman" w:ascii="Times New Roman" w:hAnsi="Times New Roman"/>
                <w:bCs/>
                <w:sz w:val="28"/>
                <w:szCs w:val="28"/>
                <w:lang w:val="uk-UA"/>
              </w:rPr>
              <w:t xml:space="preserve"> </w:t>
            </w:r>
            <w:r>
              <w:rPr>
                <w:rFonts w:cs="Times New Roman" w:ascii="Times New Roman" w:hAnsi="Times New Roman"/>
                <w:bCs/>
                <w:sz w:val="28"/>
                <w:szCs w:val="28"/>
              </w:rPr>
              <w:t>на місцевих виборах</w:t>
            </w:r>
          </w:p>
        </w:tc>
        <w:tc>
          <w:tcPr>
            <w:tcW w:w="283" w:type="dxa"/>
            <w:tcBorders/>
            <w:shd w:color="auto" w:fill="auto" w:val="clear"/>
          </w:tcPr>
          <w:p>
            <w:pPr>
              <w:pStyle w:val="Normal"/>
              <w:spacing w:lineRule="auto" w:line="240" w:before="0" w:after="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4360" w:type="dxa"/>
            <w:tcBorders/>
            <w:shd w:color="auto" w:fill="auto" w:val="clear"/>
          </w:tcPr>
          <w:p>
            <w:pPr>
              <w:pStyle w:val="Normal"/>
              <w:spacing w:lineRule="auto" w:line="240" w:before="0" w:after="0"/>
              <w:jc w:val="right"/>
              <w:rPr>
                <w:rStyle w:val="Fieldcontent"/>
                <w:rFonts w:ascii="Times New Roman" w:hAnsi="Times New Roman" w:eastAsia="Times New Roman" w:cs="Times New Roman"/>
                <w:sz w:val="24"/>
                <w:szCs w:val="24"/>
                <w:lang w:val="uk-UA" w:eastAsia="ru-RU"/>
              </w:rPr>
            </w:pPr>
            <w:r>
              <w:rPr/>
            </w:r>
          </w:p>
        </w:tc>
      </w:tr>
    </w:tbl>
    <w:p>
      <w:pPr>
        <w:pStyle w:val="Normal"/>
        <w:spacing w:lineRule="auto" w:line="240" w:before="0" w:after="0"/>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31"/>
        <w:shd w:fill="FFFFFF" w:val="clear"/>
        <w:spacing w:before="0" w:after="200"/>
        <w:ind w:left="23" w:right="181" w:firstLine="686"/>
        <w:rPr/>
      </w:pPr>
      <w:r>
        <w:rPr>
          <w:lang w:val="uk-UA"/>
        </w:rPr>
        <w:t>Розглянувши пропозицію п</w:t>
      </w:r>
      <w:r>
        <w:rPr>
          <w:rStyle w:val="Fieldcontent"/>
          <w:lang w:val="uk-UA"/>
        </w:rPr>
        <w:t>остійної комісії міської ради з питань дотримання прав людини, законності, боротьби зі злочинністю та корупцією, депутатської діяльності, етики та регламенту</w:t>
      </w:r>
      <w:r>
        <w:rPr>
          <w:lang w:val="uk-UA"/>
        </w:rPr>
        <w:t xml:space="preserve">, керуючись статтею 26 Закону України «Про місцеве самоврядування в Україні», </w:t>
      </w:r>
      <w:r>
        <w:rPr>
          <w:rFonts w:eastAsia="Times New Roman"/>
          <w:lang w:val="uk-UA" w:eastAsia="ru-RU"/>
        </w:rPr>
        <w:t>міська рада</w:t>
      </w:r>
    </w:p>
    <w:p>
      <w:pPr>
        <w:pStyle w:val="31"/>
        <w:shd w:fill="FFFFFF" w:val="clear"/>
        <w:spacing w:before="0" w:after="200"/>
        <w:ind w:left="23" w:right="181" w:hanging="0"/>
        <w:rPr/>
      </w:pPr>
      <w:r>
        <w:rPr>
          <w:rFonts w:eastAsia="Times New Roman"/>
          <w:lang w:val="uk-UA" w:eastAsia="ru-RU"/>
        </w:rPr>
        <w:t>ВИРІШИЛА:</w:t>
      </w:r>
    </w:p>
    <w:p>
      <w:pPr>
        <w:pStyle w:val="Normal"/>
        <w:shd w:val="clear" w:color="auto" w:fill="FFFFFF"/>
        <w:spacing w:lineRule="auto" w:line="240" w:before="0" w:after="0"/>
        <w:ind w:firstLine="709"/>
        <w:jc w:val="both"/>
        <w:rPr/>
      </w:pPr>
      <w:r>
        <w:rPr>
          <w:rFonts w:cs="Times New Roman" w:ascii="Times New Roman" w:hAnsi="Times New Roman"/>
          <w:sz w:val="28"/>
          <w:szCs w:val="28"/>
          <w:lang w:val="uk-UA" w:eastAsia="uk-UA"/>
        </w:rPr>
        <w:t xml:space="preserve">1. </w:t>
      </w:r>
      <w:r>
        <w:rPr>
          <w:rFonts w:cs="Times New Roman" w:ascii="Times New Roman" w:hAnsi="Times New Roman"/>
          <w:sz w:val="28"/>
          <w:szCs w:val="28"/>
          <w:lang w:val="uk-UA"/>
        </w:rPr>
        <w:t xml:space="preserve">Схвалити звернення </w:t>
      </w:r>
      <w:r>
        <w:rPr>
          <w:rFonts w:cs="Times New Roman" w:ascii="Times New Roman" w:hAnsi="Times New Roman"/>
          <w:sz w:val="28"/>
          <w:szCs w:val="28"/>
          <w:shd w:fill="FFFFFF" w:val="clear"/>
          <w:lang w:val="uk-UA"/>
        </w:rPr>
        <w:t xml:space="preserve">Луцької міської ради до Президента України Зеленського В.О., Голови Верховної Ради України Разумкову Д.О. </w:t>
      </w:r>
      <w:r>
        <w:rPr>
          <w:rFonts w:cs="Times New Roman" w:ascii="Times New Roman" w:hAnsi="Times New Roman"/>
          <w:sz w:val="28"/>
          <w:szCs w:val="28"/>
          <w:lang w:val="uk-UA"/>
        </w:rPr>
        <w:t>(текст звернення додається).</w:t>
      </w:r>
    </w:p>
    <w:p>
      <w:pPr>
        <w:pStyle w:val="Normal"/>
        <w:shd w:val="clear" w:color="auto" w:fill="FFFFFF"/>
        <w:spacing w:lineRule="auto" w:line="240"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2. Надіслати це звернення </w:t>
      </w:r>
      <w:r>
        <w:rPr>
          <w:rFonts w:cs="Times New Roman" w:ascii="Times New Roman" w:hAnsi="Times New Roman"/>
          <w:sz w:val="28"/>
          <w:szCs w:val="28"/>
          <w:shd w:fill="FFFFFF" w:val="clear"/>
          <w:lang w:val="uk-UA"/>
        </w:rPr>
        <w:t>Президенту України Зеленському В.О., Голові Верховної Ради України Разумкову Д.О.</w:t>
      </w:r>
    </w:p>
    <w:p>
      <w:pPr>
        <w:pStyle w:val="Normal"/>
        <w:shd w:val="clear" w:color="auto" w:fill="FFFFFF"/>
        <w:spacing w:lineRule="auto" w:line="240"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3. Оприлюднити дане рішення </w:t>
      </w:r>
      <w:r>
        <w:rPr>
          <w:rFonts w:cs="Times New Roman" w:ascii="Times New Roman" w:hAnsi="Times New Roman"/>
          <w:sz w:val="28"/>
          <w:szCs w:val="28"/>
        </w:rPr>
        <w:t xml:space="preserve">на сайті </w:t>
      </w:r>
      <w:r>
        <w:rPr>
          <w:rFonts w:cs="Times New Roman" w:ascii="Times New Roman" w:hAnsi="Times New Roman"/>
          <w:sz w:val="28"/>
          <w:szCs w:val="28"/>
          <w:lang w:val="uk-UA"/>
        </w:rPr>
        <w:t>Луцької міської</w:t>
      </w:r>
      <w:r>
        <w:rPr>
          <w:rFonts w:cs="Times New Roman" w:ascii="Times New Roman" w:hAnsi="Times New Roman"/>
          <w:sz w:val="28"/>
          <w:szCs w:val="28"/>
        </w:rPr>
        <w:t xml:space="preserve"> ради та в газеті </w:t>
      </w:r>
      <w:r>
        <w:rPr>
          <w:rFonts w:cs="Times New Roman" w:ascii="Times New Roman" w:hAnsi="Times New Roman"/>
          <w:sz w:val="28"/>
          <w:szCs w:val="28"/>
          <w:lang w:val="uk-UA"/>
        </w:rPr>
        <w:t>«Луцький замок».</w:t>
      </w:r>
    </w:p>
    <w:p>
      <w:pPr>
        <w:pStyle w:val="Normal"/>
        <w:shd w:val="clear" w:color="auto" w:fill="FFFFFF"/>
        <w:spacing w:lineRule="auto" w:line="240" w:before="0" w:after="0"/>
        <w:ind w:firstLine="709"/>
        <w:jc w:val="both"/>
        <w:rPr>
          <w:lang w:val="uk-UA"/>
        </w:rPr>
      </w:pPr>
      <w:r>
        <w:rPr>
          <w:rFonts w:cs="Times New Roman" w:ascii="Times New Roman" w:hAnsi="Times New Roman"/>
          <w:sz w:val="28"/>
          <w:szCs w:val="28"/>
          <w:lang w:val="uk-UA"/>
        </w:rPr>
        <w:t>4. Контроль за виконанням цього рішення покласти на постійну комісію міської ради з питань дотримання прав людини, законності, боротьби зі злочинністю, депутатської діяльності, етики та регламенту (М. Федік)</w:t>
      </w:r>
      <w:r>
        <w:rPr>
          <w:rFonts w:eastAsia="Times New Roman" w:cs="Times New Roman" w:ascii="Times New Roman" w:hAnsi="Times New Roman"/>
          <w:sz w:val="28"/>
          <w:szCs w:val="28"/>
          <w:lang w:val="uk-UA" w:eastAsia="ru-RU"/>
        </w:rPr>
        <w:t>.</w:t>
      </w:r>
    </w:p>
    <w:p>
      <w:pPr>
        <w:pStyle w:val="Normal"/>
        <w:shd w:val="clear" w:color="auto" w:fill="FFFFFF"/>
        <w:spacing w:lineRule="atLeast" w:line="256" w:before="0" w:after="0"/>
        <w:ind w:firstLine="35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12"/>
        <w:spacing w:before="0" w:after="0"/>
        <w:ind w:left="426" w:hanging="0"/>
        <w:rPr>
          <w:sz w:val="28"/>
          <w:szCs w:val="28"/>
          <w:lang w:val="uk-UA"/>
        </w:rPr>
      </w:pPr>
      <w:r>
        <w:rPr>
          <w:sz w:val="28"/>
          <w:szCs w:val="28"/>
          <w:lang w:val="uk-UA"/>
        </w:rPr>
      </w:r>
    </w:p>
    <w:p>
      <w:pPr>
        <w:pStyle w:val="12"/>
        <w:spacing w:before="0" w:after="0"/>
        <w:ind w:left="426" w:hanging="0"/>
        <w:rPr>
          <w:sz w:val="28"/>
          <w:szCs w:val="28"/>
          <w:lang w:val="uk-UA"/>
        </w:rPr>
      </w:pPr>
      <w:r>
        <w:rPr>
          <w:sz w:val="28"/>
          <w:szCs w:val="28"/>
          <w:lang w:val="uk-UA"/>
        </w:rPr>
      </w:r>
    </w:p>
    <w:p>
      <w:pPr>
        <w:pStyle w:val="Normal"/>
        <w:spacing w:before="0" w:after="0"/>
        <w:rPr/>
      </w:pPr>
      <w:r>
        <w:rPr>
          <w:rFonts w:cs="Times New Roman" w:ascii="Times New Roman" w:hAnsi="Times New Roman"/>
          <w:sz w:val="28"/>
          <w:szCs w:val="28"/>
          <w:lang w:val="uk-UA"/>
        </w:rPr>
        <w:t>Секретар міської ради</w:t>
        <w:tab/>
        <w:tab/>
        <w:tab/>
        <w:tab/>
        <w:t xml:space="preserve">                      Григорій   </w:t>
      </w:r>
      <w:r>
        <w:rPr>
          <w:rFonts w:cs="Times New Roman" w:ascii="Times New Roman" w:hAnsi="Times New Roman"/>
          <w:sz w:val="28"/>
          <w:szCs w:val="28"/>
          <w:lang w:val="uk-UA"/>
        </w:rPr>
        <w:t>ПУСТОВІТ</w:t>
      </w:r>
    </w:p>
    <w:p>
      <w:pPr>
        <w:pStyle w:val="Normal"/>
        <w:spacing w:before="0" w:after="0"/>
        <w:rPr>
          <w:rFonts w:ascii="Times New Roman" w:hAnsi="Times New Roman" w:cs="Times New Roman"/>
          <w:sz w:val="28"/>
          <w:szCs w:val="28"/>
          <w:lang w:val="uk-UA"/>
        </w:rPr>
      </w:pPr>
      <w:r>
        <w:rPr/>
      </w:r>
    </w:p>
    <w:p>
      <w:pPr>
        <w:pStyle w:val="Normal"/>
        <w:spacing w:before="0" w:after="0"/>
        <w:rPr>
          <w:rFonts w:ascii="Times New Roman" w:hAnsi="Times New Roman" w:cs="Times New Roman"/>
          <w:sz w:val="28"/>
          <w:szCs w:val="28"/>
          <w:lang w:val="uk-UA"/>
        </w:rPr>
      </w:pPr>
      <w:r>
        <w:rPr/>
      </w:r>
    </w:p>
    <w:p>
      <w:pPr>
        <w:pStyle w:val="Normal"/>
        <w:spacing w:before="0" w:after="0"/>
        <w:rPr>
          <w:rFonts w:ascii="Times New Roman" w:hAnsi="Times New Roman" w:cs="Times New Roman"/>
          <w:sz w:val="28"/>
          <w:szCs w:val="28"/>
          <w:lang w:val="uk-UA"/>
        </w:rPr>
      </w:pPr>
      <w:r>
        <w:rPr/>
      </w:r>
    </w:p>
    <w:p>
      <w:pPr>
        <w:pStyle w:val="Normal"/>
        <w:spacing w:before="0" w:after="0"/>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Федік М.</w:t>
      </w:r>
      <w:r>
        <w:br w:type="page"/>
      </w:r>
    </w:p>
    <w:p>
      <w:pPr>
        <w:pStyle w:val="Normal"/>
        <w:spacing w:lineRule="auto" w:line="240" w:before="0" w:after="0"/>
        <w:ind w:left="5928" w:hanging="0"/>
        <w:rPr/>
      </w:pPr>
      <w:r>
        <w:rPr>
          <w:rFonts w:ascii="Times New Roman" w:hAnsi="Times New Roman"/>
          <w:sz w:val="28"/>
          <w:szCs w:val="28"/>
        </w:rPr>
        <w:t>Додаток</w:t>
      </w:r>
    </w:p>
    <w:p>
      <w:pPr>
        <w:pStyle w:val="Normal"/>
        <w:spacing w:lineRule="auto" w:line="240" w:before="0" w:after="0"/>
        <w:ind w:left="5928" w:hanging="0"/>
        <w:rPr/>
      </w:pPr>
      <w:r>
        <w:rPr>
          <w:rFonts w:ascii="Times New Roman" w:hAnsi="Times New Roman"/>
          <w:sz w:val="28"/>
          <w:szCs w:val="28"/>
        </w:rPr>
        <w:t>до рішення міської ради</w:t>
      </w:r>
    </w:p>
    <w:p>
      <w:pPr>
        <w:pStyle w:val="Normal"/>
        <w:spacing w:lineRule="auto" w:line="240" w:before="0" w:after="0"/>
        <w:ind w:left="5928" w:hanging="0"/>
        <w:rPr>
          <w:lang w:val="uk-UA"/>
        </w:rPr>
      </w:pPr>
      <w:r>
        <w:rPr>
          <w:rFonts w:ascii="Times New Roman" w:hAnsi="Times New Roman"/>
          <w:sz w:val="28"/>
          <w:szCs w:val="28"/>
        </w:rPr>
        <w:t>від _________</w:t>
      </w:r>
      <w:r>
        <w:rPr>
          <w:rFonts w:ascii="Times New Roman" w:hAnsi="Times New Roman"/>
          <w:sz w:val="28"/>
          <w:szCs w:val="28"/>
          <w:lang w:val="uk-UA"/>
        </w:rPr>
        <w:t xml:space="preserve"> </w:t>
      </w:r>
      <w:r>
        <w:rPr>
          <w:rFonts w:ascii="Times New Roman" w:hAnsi="Times New Roman"/>
          <w:sz w:val="28"/>
          <w:szCs w:val="28"/>
        </w:rPr>
        <w:t>№ ___</w:t>
      </w:r>
      <w:r>
        <w:rPr>
          <w:rFonts w:ascii="Times New Roman" w:hAnsi="Times New Roman"/>
          <w:sz w:val="28"/>
          <w:szCs w:val="28"/>
          <w:lang w:val="uk-UA"/>
        </w:rPr>
        <w:t>__</w:t>
      </w:r>
    </w:p>
    <w:p>
      <w:pPr>
        <w:pStyle w:val="Normal"/>
        <w:spacing w:lineRule="auto" w:line="240" w:before="0" w:after="0"/>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b/>
          <w:b/>
          <w:bCs/>
          <w:sz w:val="28"/>
          <w:szCs w:val="28"/>
          <w:lang w:val="uk-UA"/>
        </w:rPr>
      </w:pPr>
      <w:r>
        <w:rPr>
          <w:rFonts w:cs="Times New Roman" w:ascii="Times New Roman" w:hAnsi="Times New Roman"/>
          <w:b/>
          <w:bCs/>
          <w:sz w:val="28"/>
          <w:szCs w:val="28"/>
        </w:rPr>
        <w:t xml:space="preserve">Звернення </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sz w:val="28"/>
          <w:szCs w:val="28"/>
          <w:lang w:val="uk-UA"/>
        </w:rPr>
        <w:t xml:space="preserve">до Президента України та Голови Верховної Ради України щодо </w:t>
      </w:r>
      <w:r>
        <w:rPr>
          <w:rFonts w:cs="Times New Roman" w:ascii="Times New Roman" w:hAnsi="Times New Roman"/>
          <w:b/>
          <w:bCs/>
          <w:sz w:val="28"/>
          <w:szCs w:val="28"/>
        </w:rPr>
        <w:t>неприйнятн</w:t>
      </w:r>
      <w:r>
        <w:rPr>
          <w:rFonts w:cs="Times New Roman" w:ascii="Times New Roman" w:hAnsi="Times New Roman"/>
          <w:b/>
          <w:bCs/>
          <w:sz w:val="28"/>
          <w:szCs w:val="28"/>
          <w:lang w:val="uk-UA"/>
        </w:rPr>
        <w:t>ості</w:t>
      </w:r>
      <w:r>
        <w:rPr>
          <w:rFonts w:cs="Times New Roman" w:ascii="Times New Roman" w:hAnsi="Times New Roman"/>
          <w:b/>
          <w:bCs/>
          <w:sz w:val="28"/>
          <w:szCs w:val="28"/>
        </w:rPr>
        <w:t xml:space="preserve"> великого розміру грошової застави</w:t>
      </w:r>
      <w:r>
        <w:rPr>
          <w:rFonts w:cs="Times New Roman" w:ascii="Times New Roman" w:hAnsi="Times New Roman"/>
          <w:b/>
          <w:bCs/>
          <w:sz w:val="28"/>
          <w:szCs w:val="28"/>
          <w:lang w:val="uk-UA"/>
        </w:rPr>
        <w:t xml:space="preserve"> </w:t>
      </w:r>
      <w:r>
        <w:rPr>
          <w:rFonts w:cs="Times New Roman" w:ascii="Times New Roman" w:hAnsi="Times New Roman"/>
          <w:b/>
          <w:bCs/>
          <w:sz w:val="28"/>
          <w:szCs w:val="28"/>
        </w:rPr>
        <w:t>на місцевих виборах</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У 2019 році Верховна Рада України ухвалила Виборчий кодекс України </w:t>
      </w:r>
      <w:r>
        <w:rPr>
          <w:rFonts w:eastAsia="Times New Roman" w:cs="Times New Roman" w:ascii="Times New Roman" w:hAnsi="Times New Roman"/>
          <w:sz w:val="28"/>
          <w:szCs w:val="28"/>
          <w:lang w:val="uk-UA" w:eastAsia="uk-UA"/>
        </w:rPr>
        <w:t>і</w:t>
      </w:r>
      <w:r>
        <w:rPr>
          <w:rFonts w:eastAsia="Times New Roman" w:cs="Times New Roman" w:ascii="Times New Roman" w:hAnsi="Times New Roman"/>
          <w:sz w:val="28"/>
          <w:szCs w:val="28"/>
          <w:lang w:eastAsia="uk-UA"/>
        </w:rPr>
        <w:t>з зауваженнями Президента України</w:t>
      </w:r>
      <w:r>
        <w:rPr>
          <w:rFonts w:eastAsia="Times New Roman" w:cs="Times New Roman" w:ascii="Times New Roman" w:hAnsi="Times New Roman"/>
          <w:sz w:val="28"/>
          <w:szCs w:val="28"/>
          <w:lang w:val="uk-UA" w:eastAsia="uk-UA"/>
        </w:rPr>
        <w:t>. Цей Кодекс</w:t>
      </w:r>
      <w:r>
        <w:rPr>
          <w:rFonts w:eastAsia="Times New Roman" w:cs="Times New Roman" w:ascii="Times New Roman" w:hAnsi="Times New Roman"/>
          <w:sz w:val="28"/>
          <w:szCs w:val="28"/>
          <w:lang w:eastAsia="uk-UA"/>
        </w:rPr>
        <w:t xml:space="preserve"> набрав чинності 1 січня 2020 року.</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Конституція України гарантує право громадян України бути обраними до органів державної влади та місцевого самоврядування.</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Грошова застава на виборах є своєрідним підтвердженням серйозності намірів учасників виборчого процесу, обмеженням чи усуненням зловживання громадянином України виборчим правом, передусім за рахунок платників податків, та є превентивним механізмом, який має зменшити вплив на вибори технічних кандидатів, яких реєструють, щоб «відтягнути» голоси чи взяти участь у розподілі місць у виборчих комісіях.</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Розцінюємо, як цілком позитивну новацію, скасування грошової застави для кандидатів у місцеві ради та на посади сільських, селищних та міських голів (з кількістю виборців до 90 тисяч виборців). Проте неприйнятним є збільшення грошової застави для кандидатів </w:t>
      </w:r>
      <w:r>
        <w:rPr>
          <w:rFonts w:eastAsia="Times New Roman" w:cs="Times New Roman" w:ascii="Times New Roman" w:hAnsi="Times New Roman"/>
          <w:sz w:val="28"/>
          <w:szCs w:val="28"/>
          <w:lang w:val="uk-UA" w:eastAsia="uk-UA"/>
        </w:rPr>
        <w:t>на посаду</w:t>
      </w:r>
      <w:r>
        <w:rPr>
          <w:rFonts w:eastAsia="Times New Roman" w:cs="Times New Roman" w:ascii="Times New Roman" w:hAnsi="Times New Roman"/>
          <w:sz w:val="28"/>
          <w:szCs w:val="28"/>
          <w:lang w:eastAsia="uk-UA"/>
        </w:rPr>
        <w:t xml:space="preserve"> міськ</w:t>
      </w:r>
      <w:r>
        <w:rPr>
          <w:rFonts w:eastAsia="Times New Roman" w:cs="Times New Roman" w:ascii="Times New Roman" w:hAnsi="Times New Roman"/>
          <w:sz w:val="28"/>
          <w:szCs w:val="28"/>
          <w:lang w:val="uk-UA" w:eastAsia="uk-UA"/>
        </w:rPr>
        <w:t>ого</w:t>
      </w:r>
      <w:r>
        <w:rPr>
          <w:rFonts w:eastAsia="Times New Roman" w:cs="Times New Roman" w:ascii="Times New Roman" w:hAnsi="Times New Roman"/>
          <w:sz w:val="28"/>
          <w:szCs w:val="28"/>
          <w:lang w:eastAsia="uk-UA"/>
        </w:rPr>
        <w:t xml:space="preserve"> голови у містах з кількістю виборців понад 90 тисяч та виборчих списків партій до обласних та міських</w:t>
      </w:r>
      <w:r>
        <w:rPr>
          <w:rFonts w:eastAsia="Times New Roman" w:cs="Times New Roman" w:ascii="Times New Roman" w:hAnsi="Times New Roman"/>
          <w:sz w:val="28"/>
          <w:szCs w:val="28"/>
          <w:lang w:val="uk-UA" w:eastAsia="uk-UA"/>
        </w:rPr>
        <w:t xml:space="preserve"> рад</w:t>
      </w:r>
      <w:r>
        <w:rPr>
          <w:rFonts w:eastAsia="Times New Roman" w:cs="Times New Roman" w:ascii="Times New Roman" w:hAnsi="Times New Roman"/>
          <w:sz w:val="28"/>
          <w:szCs w:val="28"/>
          <w:lang w:eastAsia="uk-UA"/>
        </w:rPr>
        <w:t xml:space="preserve"> з кількістю виборців більше 90 тисяч</w:t>
      </w:r>
      <w:r>
        <w:rPr>
          <w:rFonts w:eastAsia="Times New Roman" w:cs="Times New Roman" w:ascii="Times New Roman" w:hAnsi="Times New Roman"/>
          <w:sz w:val="28"/>
          <w:szCs w:val="28"/>
          <w:lang w:val="uk-UA" w:eastAsia="uk-UA"/>
        </w:rPr>
        <w:t>,</w:t>
      </w:r>
      <w:r>
        <w:rPr>
          <w:rFonts w:eastAsia="Times New Roman" w:cs="Times New Roman" w:ascii="Times New Roman" w:hAnsi="Times New Roman"/>
          <w:sz w:val="28"/>
          <w:szCs w:val="28"/>
          <w:lang w:eastAsia="uk-UA"/>
        </w:rPr>
        <w:t xml:space="preserve"> майже у 40 разів порівняно з місцевою виборчою кампанією 2015 року. Це особливо обурливо, оскільки не відбулося суттєвих змін у розмірах грошових застав для кандидатів </w:t>
      </w:r>
      <w:r>
        <w:rPr>
          <w:rFonts w:eastAsia="Times New Roman" w:cs="Times New Roman" w:ascii="Times New Roman" w:hAnsi="Times New Roman"/>
          <w:sz w:val="28"/>
          <w:szCs w:val="28"/>
          <w:lang w:val="uk-UA" w:eastAsia="uk-UA"/>
        </w:rPr>
        <w:t>на пост</w:t>
      </w:r>
      <w:r>
        <w:rPr>
          <w:rFonts w:eastAsia="Times New Roman" w:cs="Times New Roman" w:ascii="Times New Roman" w:hAnsi="Times New Roman"/>
          <w:sz w:val="28"/>
          <w:szCs w:val="28"/>
          <w:lang w:eastAsia="uk-UA"/>
        </w:rPr>
        <w:t xml:space="preserve"> Президент</w:t>
      </w:r>
      <w:r>
        <w:rPr>
          <w:rFonts w:eastAsia="Times New Roman" w:cs="Times New Roman" w:ascii="Times New Roman" w:hAnsi="Times New Roman"/>
          <w:sz w:val="28"/>
          <w:szCs w:val="28"/>
          <w:lang w:val="uk-UA" w:eastAsia="uk-UA"/>
        </w:rPr>
        <w:t>а</w:t>
      </w:r>
      <w:r>
        <w:rPr>
          <w:rFonts w:eastAsia="Times New Roman" w:cs="Times New Roman" w:ascii="Times New Roman" w:hAnsi="Times New Roman"/>
          <w:sz w:val="28"/>
          <w:szCs w:val="28"/>
          <w:lang w:eastAsia="uk-UA"/>
        </w:rPr>
        <w:t xml:space="preserve"> України та виборчих списків партій до Верховної Ради України порівняно з розмірами, які були встановлені чинними до ухвалення Виборчого кодексу законами.</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Часткове збільшення грошової застави можна пояснити зростанням з 2015 року мінімальної заробітної плати, до розміру якої прив’язана формула розрахунку розміру грошової застави, але нічим необґрунтоване збільшення грошової застави у 10 разів (4 мінімальні заробітні плати на кожні 10 тисяч виборців порівняно з попередньою формулою 4 мінімальні заробітні плати на кожні 100 тисяч виборців) є надмірно високим, як наслідок, брати участь у виборах можуть </w:t>
      </w:r>
      <w:r>
        <w:rPr>
          <w:rFonts w:eastAsia="Times New Roman" w:cs="Times New Roman" w:ascii="Times New Roman" w:hAnsi="Times New Roman"/>
          <w:sz w:val="28"/>
          <w:szCs w:val="28"/>
          <w:lang w:val="uk-UA" w:eastAsia="uk-UA"/>
        </w:rPr>
        <w:t>лише</w:t>
      </w:r>
      <w:r>
        <w:rPr>
          <w:rFonts w:eastAsia="Times New Roman" w:cs="Times New Roman" w:ascii="Times New Roman" w:hAnsi="Times New Roman"/>
          <w:sz w:val="28"/>
          <w:szCs w:val="28"/>
          <w:lang w:eastAsia="uk-UA"/>
        </w:rPr>
        <w:t xml:space="preserve"> ті партії та громадяни, які володіють достатньо великими грошовими коштами.</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Так, розмір застави для кандидатів на посаду міського голови м. Києва становить 4005807 грн, що перевищує навіть розмір грошової застави для кандидатів на </w:t>
      </w:r>
      <w:r>
        <w:rPr>
          <w:rFonts w:eastAsia="Times New Roman" w:cs="Times New Roman" w:ascii="Times New Roman" w:hAnsi="Times New Roman"/>
          <w:sz w:val="28"/>
          <w:szCs w:val="28"/>
          <w:lang w:val="uk-UA" w:eastAsia="uk-UA"/>
        </w:rPr>
        <w:t>пост</w:t>
      </w:r>
      <w:r>
        <w:rPr>
          <w:rFonts w:eastAsia="Times New Roman" w:cs="Times New Roman" w:ascii="Times New Roman" w:hAnsi="Times New Roman"/>
          <w:sz w:val="28"/>
          <w:szCs w:val="28"/>
          <w:lang w:eastAsia="uk-UA"/>
        </w:rPr>
        <w:t xml:space="preserve"> Президента України та у 375 разів – середньомісячну заробітну плату. </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Відповідно до норм Виборчого кодексу України розмір грошової застави для реєстрації громадянина України кандидатом на </w:t>
      </w:r>
      <w:r>
        <w:rPr>
          <w:rFonts w:eastAsia="Times New Roman" w:cs="Times New Roman" w:ascii="Times New Roman" w:hAnsi="Times New Roman"/>
          <w:sz w:val="28"/>
          <w:szCs w:val="28"/>
          <w:lang w:val="uk-UA" w:eastAsia="uk-UA"/>
        </w:rPr>
        <w:t>пост</w:t>
      </w:r>
      <w:r>
        <w:rPr>
          <w:rFonts w:eastAsia="Times New Roman" w:cs="Times New Roman" w:ascii="Times New Roman" w:hAnsi="Times New Roman"/>
          <w:sz w:val="28"/>
          <w:szCs w:val="28"/>
          <w:lang w:eastAsia="uk-UA"/>
        </w:rPr>
        <w:t xml:space="preserve"> Президента України становить 3069950 грн, для реєстрації виборчого списку політичної партії – 4723000 грн.</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Розмір грошової застави для реєстрації партійного списку в обласні ради (млн. грн):</w:t>
      </w:r>
    </w:p>
    <w:tbl>
      <w:tblPr>
        <w:tblStyle w:val="a5"/>
        <w:tblW w:w="7677" w:type="dxa"/>
        <w:jc w:val="center"/>
        <w:tblInd w:w="0" w:type="dxa"/>
        <w:tblCellMar>
          <w:top w:w="0" w:type="dxa"/>
          <w:left w:w="108" w:type="dxa"/>
          <w:bottom w:w="0" w:type="dxa"/>
          <w:right w:w="108" w:type="dxa"/>
        </w:tblCellMar>
        <w:tblLook w:firstRow="1" w:noVBand="1" w:lastRow="0" w:firstColumn="1" w:lastColumn="0" w:noHBand="0" w:val="04a0"/>
      </w:tblPr>
      <w:tblGrid>
        <w:gridCol w:w="1295"/>
        <w:gridCol w:w="3190"/>
        <w:gridCol w:w="3192"/>
      </w:tblGrid>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Дніпропетровська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 xml:space="preserve">4,67 </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Харківська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3,84</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 xml:space="preserve">Львівська </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3,59</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Одеська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3,31</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Київська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2,76</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Запорізька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2,53</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Вінницька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2,30</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Полтавська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2,08</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Івано-Франківська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1,96</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 xml:space="preserve">Хмельницька </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1,87</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Черкаська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1,81</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Житомирська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1,79</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Закарпатська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1,76</w:t>
            </w:r>
          </w:p>
        </w:tc>
      </w:tr>
      <w:tr>
        <w:trPr/>
        <w:tc>
          <w:tcPr>
            <w:tcW w:w="1295" w:type="dxa"/>
            <w:tcBorders>
              <w:top w:val="nil"/>
              <w:left w:val="nil"/>
              <w:bottom w:val="nil"/>
              <w:right w:val="nil"/>
              <w:insideH w:val="nil"/>
              <w:insideV w:val="nil"/>
            </w:tcBorders>
            <w:shd w:fill="auto" w:val="clear"/>
          </w:tcPr>
          <w:p>
            <w:pPr>
              <w:pStyle w:val="ListParagraph"/>
              <w:numPr>
                <w:ilvl w:val="0"/>
                <w:numId w:val="1"/>
              </w:numPr>
              <w:spacing w:lineRule="auto" w:line="240" w:before="0" w:after="0"/>
              <w:contextualSpacing/>
              <w:jc w:val="both"/>
              <w:rPr>
                <w:rFonts w:ascii="Times New Roman" w:hAnsi="Times New Roman"/>
                <w:sz w:val="28"/>
                <w:szCs w:val="28"/>
                <w:lang w:val="uk-UA"/>
              </w:rPr>
            </w:pPr>
            <w:r>
              <w:rPr>
                <w:rFonts w:eastAsia="Times New Roman" w:cs="Times New Roman" w:ascii="Times New Roman" w:hAnsi="Times New Roman"/>
                <w:sz w:val="28"/>
                <w:szCs w:val="28"/>
                <w:lang w:val="uk-UA" w:eastAsia="uk-UA"/>
              </w:rPr>
              <w:t xml:space="preserve"> </w:t>
            </w:r>
          </w:p>
          <w:p>
            <w:pPr>
              <w:pStyle w:val="ListParagraph"/>
              <w:numPr>
                <w:ilvl w:val="0"/>
                <w:numId w:val="1"/>
              </w:numPr>
              <w:spacing w:lineRule="auto" w:line="240" w:before="0" w:after="0"/>
              <w:contextualSpacing/>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lang w:val="uk-UA"/>
              </w:rPr>
            </w:pPr>
            <w:r>
              <w:rPr>
                <w:rFonts w:eastAsia="Times New Roman" w:cs="Times New Roman" w:ascii="Times New Roman" w:hAnsi="Times New Roman"/>
                <w:sz w:val="28"/>
                <w:szCs w:val="28"/>
                <w:lang w:val="uk-UA" w:eastAsia="uk-UA"/>
              </w:rPr>
              <w:t>Донецька</w:t>
            </w:r>
          </w:p>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Чернігівська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lang w:val="uk-UA"/>
              </w:rPr>
            </w:pPr>
            <w:r>
              <w:rPr>
                <w:rFonts w:eastAsia="Times New Roman" w:cs="Times New Roman" w:ascii="Times New Roman" w:hAnsi="Times New Roman"/>
                <w:sz w:val="28"/>
                <w:szCs w:val="28"/>
                <w:lang w:val="uk-UA" w:eastAsia="uk-UA"/>
              </w:rPr>
              <w:t>1,70</w:t>
            </w:r>
          </w:p>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1,70</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Миколаївська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1,62</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Сумська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1,61</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Рівненська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1,59</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Херсонська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1,53</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Тернопільська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1,51</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Волинська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1,42</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Кіровоградська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1,36</w:t>
            </w:r>
          </w:p>
        </w:tc>
      </w:tr>
      <w:tr>
        <w:trPr/>
        <w:tc>
          <w:tcPr>
            <w:tcW w:w="1295" w:type="dxa"/>
            <w:tcBorders>
              <w:top w:val="nil"/>
              <w:left w:val="nil"/>
              <w:bottom w:val="nil"/>
              <w:right w:val="nil"/>
              <w:insideH w:val="nil"/>
              <w:insideV w:val="nil"/>
            </w:tcBorders>
            <w:shd w:fill="auto" w:val="clear"/>
          </w:tcPr>
          <w:p>
            <w:pPr>
              <w:pStyle w:val="Normal"/>
              <w:numPr>
                <w:ilvl w:val="0"/>
                <w:numId w:val="1"/>
              </w:numPr>
              <w:suppressAutoHyphens w:val="false"/>
              <w:spacing w:lineRule="auto" w:line="240" w:before="0" w:after="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Чернівецька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1,28</w:t>
            </w:r>
          </w:p>
        </w:tc>
      </w:tr>
    </w:tbl>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Розмір грошової застави для реєстрації партійного списку в містах з кількістю виборців 90 тисяч і більше (тис. грн):</w:t>
      </w:r>
    </w:p>
    <w:tbl>
      <w:tblPr>
        <w:tblStyle w:val="a5"/>
        <w:tblW w:w="8049" w:type="dxa"/>
        <w:jc w:val="center"/>
        <w:tblInd w:w="0" w:type="dxa"/>
        <w:tblCellMar>
          <w:top w:w="0" w:type="dxa"/>
          <w:left w:w="108" w:type="dxa"/>
          <w:bottom w:w="0" w:type="dxa"/>
          <w:right w:w="108" w:type="dxa"/>
        </w:tblCellMar>
        <w:tblLook w:firstRow="1" w:noVBand="1" w:lastRow="0" w:firstColumn="1" w:lastColumn="0" w:noHBand="0" w:val="04a0"/>
      </w:tblPr>
      <w:tblGrid>
        <w:gridCol w:w="1667"/>
        <w:gridCol w:w="3190"/>
        <w:gridCol w:w="3192"/>
      </w:tblGrid>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Київ</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4005</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Харків</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1965</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3.</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Дніпро</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1398</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4.</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Одеса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1304</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5.</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Запоріжжя</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1077</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6.</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Львів</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1077</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7.</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Кривий Ріг</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926</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8.</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Миколаїв</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661</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9.</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Маріуполь</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586</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10.</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Вінниця</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529</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11.</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Херсон</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472</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12.</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 xml:space="preserve">Полтава </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416</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13.</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Суми</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416</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14.</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Черкаси</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397</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15.</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Чернігів</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397</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16.</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Житомир</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378</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17.</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Хмельницький</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378</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18.</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Кам</w:t>
            </w:r>
            <w:r>
              <w:rPr>
                <w:rFonts w:eastAsia="Times New Roman" w:cs="Times New Roman" w:ascii="Times New Roman" w:hAnsi="Times New Roman"/>
                <w:sz w:val="28"/>
                <w:szCs w:val="28"/>
                <w:lang w:val="en-US" w:eastAsia="uk-UA"/>
              </w:rPr>
              <w:t>’</w:t>
            </w:r>
            <w:r>
              <w:rPr>
                <w:rFonts w:eastAsia="Times New Roman" w:cs="Times New Roman" w:ascii="Times New Roman" w:hAnsi="Times New Roman"/>
                <w:sz w:val="28"/>
                <w:szCs w:val="28"/>
                <w:lang w:eastAsia="uk-UA"/>
              </w:rPr>
              <w:t xml:space="preserve">янське </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340</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19.</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Івано-Франківськ</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340</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20.</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Кропивницький</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340</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21.</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Чернівці</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340</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22.</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Рівне</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321</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23.</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Тернопіль</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321</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24.</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 xml:space="preserve">Кременчук </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302</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25.</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Луцьк</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283</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26.</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Краматорськ</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264</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27.</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Біла Церква</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264</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28.</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Мелітополь</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208</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29.</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Нікополь</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170</w:t>
            </w:r>
          </w:p>
        </w:tc>
      </w:tr>
      <w:tr>
        <w:trPr/>
        <w:tc>
          <w:tcPr>
            <w:tcW w:w="1667"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eastAsia="Times New Roman" w:cs="Times New Roman" w:ascii="Times New Roman" w:hAnsi="Times New Roman"/>
                <w:sz w:val="28"/>
                <w:szCs w:val="28"/>
                <w:lang w:eastAsia="uk-UA"/>
              </w:rPr>
              <w:t>30.</w:t>
            </w:r>
          </w:p>
        </w:tc>
        <w:tc>
          <w:tcPr>
            <w:tcW w:w="3190"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Ужгород</w:t>
            </w:r>
          </w:p>
        </w:tc>
        <w:tc>
          <w:tcPr>
            <w:tcW w:w="3192"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lang w:eastAsia="uk-UA"/>
              </w:rPr>
              <w:t>170</w:t>
            </w:r>
          </w:p>
        </w:tc>
      </w:tr>
    </w:tbl>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Відповідно до норм Виборчого кодексу України розмір грошової застави для кандидатів на посаду міського голови є ідентичною розміру грошової застави для реєстрації партійного списку в містах </w:t>
      </w:r>
      <w:r>
        <w:rPr>
          <w:rFonts w:eastAsia="Times New Roman" w:cs="Times New Roman" w:ascii="Times New Roman" w:hAnsi="Times New Roman"/>
          <w:sz w:val="28"/>
          <w:szCs w:val="28"/>
          <w:lang w:val="uk-UA" w:eastAsia="uk-UA"/>
        </w:rPr>
        <w:t xml:space="preserve">з </w:t>
      </w:r>
      <w:r>
        <w:rPr>
          <w:rFonts w:eastAsia="Times New Roman" w:cs="Times New Roman" w:ascii="Times New Roman" w:hAnsi="Times New Roman"/>
          <w:sz w:val="28"/>
          <w:szCs w:val="28"/>
          <w:lang w:eastAsia="uk-UA"/>
        </w:rPr>
        <w:t>кількістю виборців 90 тисяч і більше.</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Враховуючи вказаний механізм грошової застави витрати на одного виборця для виборів Президента України ставлять 0,09 грн, для виборів народних депутатів України – 0,13 грн, а для виборів Київського міського голови – 1,88 грн, Львівського міського голови – 1,89 грн.</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Неприйнятним є те, що для загальнонаціональних та місцевих виборів (з кількістю виборців більше 90 тисяч) застосовуються різні принципи для розрахунку розміру грошової застави. І ці принципи дискримінаційні щодо зазначених місцевих рад, в яких розмір грошової застави у розрахунку на одного виборця майже в п'ятнадцять разів більше, ніж на парламентських, і в понад 20 разів більше, ніж на президентських виборах.</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Так, сума застави є непомірною і перевищує в рази середній річний дохід в Україні, який становив у 2019 році близько 125 тисяч гривень.</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Конституційний суд України у своєму </w:t>
      </w:r>
      <w:r>
        <w:rPr>
          <w:rFonts w:eastAsia="Times New Roman" w:cs="Times New Roman" w:ascii="Times New Roman" w:hAnsi="Times New Roman"/>
          <w:sz w:val="28"/>
          <w:szCs w:val="28"/>
          <w:lang w:val="uk-UA" w:eastAsia="uk-UA"/>
        </w:rPr>
        <w:t>р</w:t>
      </w:r>
      <w:r>
        <w:rPr>
          <w:rFonts w:eastAsia="Times New Roman" w:cs="Times New Roman" w:ascii="Times New Roman" w:hAnsi="Times New Roman"/>
          <w:sz w:val="28"/>
          <w:szCs w:val="28"/>
          <w:lang w:eastAsia="uk-UA"/>
        </w:rPr>
        <w:t>ішенн</w:t>
      </w:r>
      <w:r>
        <w:rPr>
          <w:rFonts w:eastAsia="Times New Roman" w:cs="Times New Roman" w:ascii="Times New Roman" w:hAnsi="Times New Roman"/>
          <w:sz w:val="28"/>
          <w:szCs w:val="28"/>
          <w:lang w:val="uk-UA" w:eastAsia="uk-UA"/>
        </w:rPr>
        <w:t>і</w:t>
      </w:r>
      <w:r>
        <w:rPr>
          <w:rFonts w:eastAsia="Times New Roman" w:cs="Times New Roman" w:ascii="Times New Roman" w:hAnsi="Times New Roman"/>
          <w:sz w:val="28"/>
          <w:szCs w:val="28"/>
          <w:lang w:eastAsia="uk-UA"/>
        </w:rPr>
        <w:t xml:space="preserve"> від 30 січня 2002 року № 2</w:t>
        <w:noBreakHyphen/>
        <w:t xml:space="preserve">рп/2002 констатував, що розмір майнової застави встановлюється залежно від майнової спроможності більшості населення країни. Порушення цієї вимоги може суттєво обмежити кількість претендентів на представницькі мандати, особливо від фінансово малозабезпечених партій та кандидатів у депутати. </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Відповідно до міжнародних та європейських стандартів надмірно висока сума виборчої застави є проблемою. Усталеним принципом є те, що незаконна дискримінація включає дискримінацію особи на підставі її соціального або майнового статусу. Відповідно сума виборчої застави повинна визначатися дуже обережно, щоб не спричинити перепон для висунення кандидатури серйозного кандидата, який на даний момент знаходиться в несприятливому економічному становищі.</w:t>
      </w:r>
    </w:p>
    <w:p>
      <w:pPr>
        <w:pStyle w:val="Normal"/>
        <w:spacing w:lineRule="auto" w:line="240" w:before="0" w:after="0"/>
        <w:ind w:firstLine="720"/>
        <w:jc w:val="both"/>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Європейський суд з прав людини у справі «Суховецький проти України» відзначив необхідність «встановлення делікатного балансу між конфліктуючими інтересами: з одного боку, утримання від участі у виборах легковажних кандидатів; а з іншого – можливість реєстрації серйозних кандидатів, включаючи тих, хто може знаходитись у скрутному економічному становищі», тим самим привернувши увагу до неприпустимості дискримінації за майновим критерієм через встановлення надмірно високого розміру застави.</w:t>
      </w:r>
    </w:p>
    <w:p>
      <w:pPr>
        <w:pStyle w:val="Normal"/>
        <w:spacing w:lineRule="auto" w:line="240" w:before="0" w:after="0"/>
        <w:ind w:firstLine="720"/>
        <w:jc w:val="both"/>
        <w:rPr/>
      </w:pPr>
      <w:r>
        <w:rPr>
          <w:rFonts w:eastAsia="Times New Roman" w:cs="Times New Roman" w:ascii="Times New Roman" w:hAnsi="Times New Roman"/>
          <w:sz w:val="28"/>
          <w:szCs w:val="28"/>
          <w:lang w:eastAsia="uk-UA"/>
        </w:rPr>
        <w:t>Таким чином, механізм грошової застави, встановлений новим Виборчим кодексом України для кандидатів у міські голови у містах з кількістю виборців понад 90 тисяч та виборчих списків партій до місцевих рад (обласних та міських з кількістю виборців більше 90 тисяч), є дискримінаційним, та таким, що порушує основоположні права громадян України – право бути кандидатом на виборах. З метою усунення дискримінації щодо обласних та міських рад з кількістю виборців більше 90 тисяч</w:t>
      </w:r>
      <w:r>
        <w:rPr>
          <w:rFonts w:eastAsia="Times New Roman" w:cs="Times New Roman" w:ascii="Times New Roman" w:hAnsi="Times New Roman"/>
          <w:sz w:val="28"/>
          <w:szCs w:val="28"/>
          <w:lang w:val="uk-UA" w:eastAsia="uk-UA"/>
        </w:rPr>
        <w:t>,</w:t>
      </w:r>
      <w:r>
        <w:rPr>
          <w:rFonts w:eastAsia="Times New Roman" w:cs="Times New Roman" w:ascii="Times New Roman" w:hAnsi="Times New Roman"/>
          <w:sz w:val="28"/>
          <w:szCs w:val="28"/>
          <w:lang w:eastAsia="uk-UA"/>
        </w:rPr>
        <w:t xml:space="preserve"> просимо</w:t>
      </w:r>
      <w:r>
        <w:rPr>
          <w:rFonts w:eastAsia="Times New Roman" w:cs="Times New Roman" w:ascii="Times New Roman" w:hAnsi="Times New Roman"/>
          <w:sz w:val="28"/>
          <w:szCs w:val="28"/>
          <w:lang w:val="uk-UA" w:eastAsia="uk-UA"/>
        </w:rPr>
        <w:t xml:space="preserve"> в найкоротші строки розглянути проект Закону № </w:t>
      </w:r>
      <w:hyperlink r:id="rId4">
        <w:r>
          <w:rPr>
            <w:rStyle w:val="Style12"/>
            <w:rFonts w:eastAsia="Times New Roman" w:cs="Times New Roman" w:ascii="Times New Roman" w:hAnsi="Times New Roman"/>
            <w:sz w:val="28"/>
            <w:szCs w:val="28"/>
            <w:lang w:val="uk-UA" w:eastAsia="uk-UA"/>
          </w:rPr>
          <w:t>2769</w:t>
        </w:r>
      </w:hyperlink>
      <w:r>
        <w:rPr>
          <w:rFonts w:eastAsia="Times New Roman" w:cs="Times New Roman" w:ascii="Times New Roman" w:hAnsi="Times New Roman"/>
          <w:sz w:val="28"/>
          <w:szCs w:val="28"/>
          <w:lang w:val="uk-UA" w:eastAsia="uk-UA"/>
        </w:rPr>
        <w:t xml:space="preserve"> «Про внесення змін до статті 225 Виборчого кодексу України (щодо розміру грошової застави)», зареєстрований у Верховній раді України 17.01.2020 року групою народних депутатів України на чолі з </w:t>
      </w:r>
      <w:r>
        <w:rPr>
          <w:rFonts w:eastAsia="Times New Roman" w:cs="Times New Roman" w:ascii="Times New Roman" w:hAnsi="Times New Roman"/>
          <w:sz w:val="28"/>
          <w:szCs w:val="28"/>
          <w:lang w:val="uk-UA" w:eastAsia="uk-UA"/>
        </w:rPr>
        <w:t>н</w:t>
      </w:r>
      <w:r>
        <w:rPr>
          <w:rFonts w:eastAsia="Times New Roman" w:cs="Times New Roman" w:ascii="Times New Roman" w:hAnsi="Times New Roman"/>
          <w:sz w:val="28"/>
          <w:szCs w:val="28"/>
          <w:lang w:val="uk-UA" w:eastAsia="uk-UA"/>
        </w:rPr>
        <w:t>ародним депутатом України Савчук О.В. та підтримати внесення змін у Виборчий кодекс України, якими уніфікувати підхід до грошової застави, зменшивши її для зазначених місцевих рад з розрахунку 4 мінімальні заробітні плати за кожних 90 тисяч виборців.</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rPr/>
      </w:pPr>
      <w:r>
        <w:rPr>
          <w:rFonts w:cs="Times New Roman" w:ascii="Times New Roman" w:hAnsi="Times New Roman"/>
          <w:sz w:val="28"/>
          <w:szCs w:val="28"/>
          <w:lang w:val="uk-UA"/>
        </w:rPr>
        <w:t>Секретар міської ради</w:t>
        <w:tab/>
        <w:tab/>
        <w:tab/>
        <w:tab/>
        <w:t xml:space="preserve">                      Григор</w:t>
      </w:r>
      <w:r>
        <w:rPr>
          <w:rFonts w:cs="Times New Roman" w:ascii="Times New Roman" w:hAnsi="Times New Roman"/>
          <w:sz w:val="28"/>
          <w:szCs w:val="28"/>
          <w:lang w:val="uk-UA"/>
        </w:rPr>
        <w:t>ій  ПУСТОВІТ</w:t>
      </w:r>
    </w:p>
    <w:p>
      <w:pPr>
        <w:pStyle w:val="Normal"/>
        <w:rPr/>
      </w:pPr>
      <w:r>
        <w:rPr/>
      </w:r>
    </w:p>
    <w:p>
      <w:pPr>
        <w:pStyle w:val="Normal"/>
        <w:tabs>
          <w:tab w:val="left" w:pos="3435" w:leader="none"/>
        </w:tabs>
        <w:spacing w:before="0" w:after="200"/>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3b36"/>
    <w:pPr>
      <w:widowControl/>
      <w:suppressAutoHyphens w:val="true"/>
      <w:bidi w:val="0"/>
      <w:spacing w:lineRule="auto" w:line="276" w:before="0" w:after="200"/>
      <w:jc w:val="left"/>
    </w:pPr>
    <w:rPr>
      <w:rFonts w:ascii="Calibri" w:hAnsi="Calibri" w:eastAsia="Calibri" w:cs="font185" w:asciiTheme="minorHAnsi" w:eastAsiaTheme="minorHAnsi" w:hAnsiTheme="minorHAnsi"/>
      <w:color w:val="auto"/>
      <w:sz w:val="22"/>
      <w:szCs w:val="22"/>
      <w:lang w:val="ru-RU" w:eastAsia="en-US" w:bidi="ar-SA"/>
    </w:rPr>
  </w:style>
  <w:style w:type="paragraph" w:styleId="1">
    <w:name w:val="Heading 1"/>
    <w:basedOn w:val="Normal"/>
    <w:link w:val="10"/>
    <w:qFormat/>
    <w:rsid w:val="00fc3b36"/>
    <w:pPr>
      <w:keepNext/>
      <w:spacing w:lineRule="auto" w:line="240" w:before="0" w:after="0"/>
      <w:jc w:val="center"/>
      <w:outlineLvl w:val="0"/>
    </w:pPr>
    <w:rPr>
      <w:rFonts w:ascii="Times New Roman" w:hAnsi="Times New Roman" w:eastAsia="Times New Roman" w:cs="Times New Roman"/>
      <w:b/>
      <w:bCs/>
      <w:sz w:val="32"/>
      <w:szCs w:val="24"/>
      <w:lang w:val="uk-UA" w:eastAsia="ru-RU"/>
    </w:rPr>
  </w:style>
  <w:style w:type="paragraph" w:styleId="2">
    <w:name w:val="Heading 2"/>
    <w:basedOn w:val="Normal"/>
    <w:link w:val="20"/>
    <w:qFormat/>
    <w:rsid w:val="00fc3b36"/>
    <w:pPr>
      <w:keepNext/>
      <w:spacing w:lineRule="auto" w:line="240" w:before="240" w:after="60"/>
      <w:outlineLvl w:val="1"/>
    </w:pPr>
    <w:rPr>
      <w:rFonts w:ascii="Arial" w:hAnsi="Arial" w:eastAsia="Times New Roman" w:cs="Arial"/>
      <w:b/>
      <w:bCs/>
      <w:i/>
      <w:iCs/>
      <w:sz w:val="28"/>
      <w:szCs w:val="28"/>
      <w:lang w:val="uk-UA"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fc3b36"/>
    <w:rPr>
      <w:rFonts w:ascii="Times New Roman" w:hAnsi="Times New Roman" w:eastAsia="Times New Roman" w:cs="Times New Roman"/>
      <w:b/>
      <w:bCs/>
      <w:sz w:val="32"/>
      <w:szCs w:val="24"/>
      <w:lang w:eastAsia="ru-RU"/>
    </w:rPr>
  </w:style>
  <w:style w:type="character" w:styleId="21" w:customStyle="1">
    <w:name w:val="Заголовок 2 Знак"/>
    <w:basedOn w:val="DefaultParagraphFont"/>
    <w:link w:val="2"/>
    <w:qFormat/>
    <w:rsid w:val="00fc3b36"/>
    <w:rPr>
      <w:rFonts w:ascii="Arial" w:hAnsi="Arial" w:eastAsia="Times New Roman" w:cs="Arial"/>
      <w:b/>
      <w:bCs/>
      <w:i/>
      <w:iCs/>
      <w:sz w:val="28"/>
      <w:szCs w:val="28"/>
      <w:lang w:eastAsia="ru-RU"/>
    </w:rPr>
  </w:style>
  <w:style w:type="character" w:styleId="3" w:customStyle="1">
    <w:name w:val="Основной текст (3)_"/>
    <w:qFormat/>
    <w:rsid w:val="00fc3b36"/>
    <w:rPr>
      <w:rFonts w:ascii="Times New Roman" w:hAnsi="Times New Roman" w:cs="Times New Roman"/>
      <w:spacing w:val="-10"/>
      <w:sz w:val="28"/>
      <w:szCs w:val="28"/>
      <w:shd w:fill="FFFFFF" w:val="clear"/>
    </w:rPr>
  </w:style>
  <w:style w:type="character" w:styleId="Fieldcontent" w:customStyle="1">
    <w:name w:val="field-content"/>
    <w:basedOn w:val="DefaultParagraphFont"/>
    <w:qFormat/>
    <w:rsid w:val="00fc3b36"/>
    <w:rPr/>
  </w:style>
  <w:style w:type="character" w:styleId="Style12">
    <w:name w:val="Интернет-ссылка"/>
    <w:basedOn w:val="DefaultParagraphFont"/>
    <w:uiPriority w:val="99"/>
    <w:semiHidden/>
    <w:unhideWhenUsed/>
    <w:rsid w:val="00b85a8d"/>
    <w:rPr>
      <w:color w:val="0000FF"/>
      <w:u w:val="single"/>
    </w:rPr>
  </w:style>
  <w:style w:type="character" w:styleId="ListLabel1">
    <w:name w:val="ListLabel 1"/>
    <w:qFormat/>
    <w:rPr>
      <w:rFonts w:eastAsia="Calibri" w:cs="Times New Roman"/>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Times New Roman" w:cs="Times New Roman"/>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12" w:customStyle="1">
    <w:name w:val="Обычный (веб)1"/>
    <w:basedOn w:val="Normal"/>
    <w:qFormat/>
    <w:rsid w:val="00fc3b36"/>
    <w:pPr>
      <w:spacing w:lineRule="auto" w:line="240" w:before="280" w:after="280"/>
    </w:pPr>
    <w:rPr>
      <w:rFonts w:ascii="Times New Roman" w:hAnsi="Times New Roman" w:eastAsia="Times New Roman" w:cs="Times New Roman"/>
      <w:sz w:val="24"/>
      <w:szCs w:val="24"/>
      <w:lang w:eastAsia="ru-RU"/>
    </w:rPr>
  </w:style>
  <w:style w:type="paragraph" w:styleId="31" w:customStyle="1">
    <w:name w:val="Основной текст (3)"/>
    <w:basedOn w:val="Normal"/>
    <w:qFormat/>
    <w:rsid w:val="00fc3b36"/>
    <w:pPr>
      <w:widowControl w:val="false"/>
      <w:shd w:val="clear" w:color="auto" w:fill="FFFFFF"/>
      <w:spacing w:lineRule="exact" w:line="317" w:before="660" w:after="0"/>
      <w:ind w:hanging="340"/>
      <w:jc w:val="both"/>
    </w:pPr>
    <w:rPr>
      <w:rFonts w:ascii="Times New Roman" w:hAnsi="Times New Roman" w:cs="Times New Roman"/>
      <w:spacing w:val="-10"/>
      <w:sz w:val="28"/>
      <w:szCs w:val="28"/>
    </w:rPr>
  </w:style>
  <w:style w:type="paragraph" w:styleId="22" w:customStyle="1">
    <w:name w:val="Основной текст2"/>
    <w:basedOn w:val="Normal"/>
    <w:qFormat/>
    <w:rsid w:val="00fc3b36"/>
    <w:pPr>
      <w:widowControl w:val="false"/>
      <w:shd w:val="clear" w:color="auto" w:fill="FFFFFF"/>
      <w:spacing w:lineRule="atLeast" w:line="240" w:before="120" w:after="120"/>
      <w:ind w:hanging="2020"/>
      <w:jc w:val="right"/>
    </w:pPr>
    <w:rPr>
      <w:rFonts w:ascii="Times New Roman" w:hAnsi="Times New Roman"/>
      <w:sz w:val="28"/>
    </w:rPr>
  </w:style>
  <w:style w:type="paragraph" w:styleId="ListParagraph">
    <w:name w:val="List Paragraph"/>
    <w:basedOn w:val="Normal"/>
    <w:uiPriority w:val="34"/>
    <w:qFormat/>
    <w:rsid w:val="00fc3b36"/>
    <w:pPr>
      <w:suppressAutoHyphens w:val="false"/>
      <w:spacing w:before="0" w:after="200"/>
      <w:ind w:left="720" w:hanging="0"/>
      <w:contextualSpacing/>
    </w:pPr>
    <w:rPr>
      <w:rFonts w:cs="Times New Roman"/>
    </w:rPr>
  </w:style>
  <w:style w:type="paragraph" w:styleId="NoSpacing">
    <w:name w:val="No Spacing"/>
    <w:uiPriority w:val="1"/>
    <w:qFormat/>
    <w:rsid w:val="00fc3b36"/>
    <w:pPr>
      <w:widowControl/>
      <w:suppressAutoHyphens w:val="true"/>
      <w:bidi w:val="0"/>
      <w:spacing w:lineRule="auto" w:line="240" w:before="0" w:after="0"/>
      <w:jc w:val="left"/>
    </w:pPr>
    <w:rPr>
      <w:rFonts w:ascii="Calibri" w:hAnsi="Calibri" w:eastAsia="Calibri" w:cs="font185" w:asciiTheme="minorHAnsi" w:eastAsiaTheme="minorHAnsi" w:hAnsiTheme="minorHAnsi"/>
      <w:color w:val="auto"/>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5">
    <w:name w:val="Table Grid"/>
    <w:basedOn w:val="a1"/>
    <w:rsid w:val="00d93771"/>
    <w:pPr>
      <w:spacing w:after="0" w:line="240" w:lineRule="auto"/>
    </w:pPr>
    <w:rPr>
      <w:lang w:eastAsia="uk-U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hyperlink" Target="http://w1.c1.rada.gov.ua/pls/zweb2/webproc4_1?pf3511=67933"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Application>LibreOffice/5.1.3.2$Windows_x86 LibreOffice_project/644e4637d1d8544fd9f56425bd6cec110e49301b</Application>
  <Pages>5</Pages>
  <Words>1163</Words>
  <Characters>7105</Characters>
  <CharactersWithSpaces>8207</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2020-01-20T10:19:00Z</dcterms:created>
  <dc:creator>assistant</dc:creator>
  <dc:description/>
  <dc:language>uk-UA</dc:language>
  <cp:lastModifiedBy/>
  <dcterms:modified xsi:type="dcterms:W3CDTF">2020-01-20T17:00:05Z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