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55AD" w14:textId="77777777" w:rsidR="00107921" w:rsidRDefault="00000000">
      <w:pPr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59513EC9" wp14:editId="53BE57E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style="position:absolute;margin-left:0.05pt;margin-top:0.05pt;width:50.15pt;height:50.15pt;mso-wrap-style:none;v-text-anchor:middle" wp14:anchorId="59513EC9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8C1E8BD" wp14:editId="483E768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3175" b="3175"/>
                <wp:wrapNone/>
                <wp:docPr id="2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style="position:absolute;margin-left:0pt;margin-top:0.05pt;width:50.15pt;height:50.15pt;mso-wrap-style:none;v-text-anchor:middle" wp14:anchorId="38C1E8B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32CCE11F" wp14:editId="1F561BC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3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1pt;height:50.1pt;mso-wrap-style:none;v-text-anchor:middle" wp14:anchorId="32CCE11F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45751329" wp14:editId="376CF29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4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05pt;height:5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69A49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9776;visibility:hidden;mso-position-horizontal-relative:text;mso-position-vertical-relative:text">
            <o:lock v:ext="edit" selection="t"/>
          </v:shape>
        </w:pict>
      </w:r>
      <w:r>
        <w:object w:dxaOrig="3105" w:dyaOrig="3300" w14:anchorId="6A83DEAD">
          <v:shape id="ole_rId2" o:spid="_x0000_i1025" type="#_x0000_t75" style="width:56.95pt;height:59.5pt;visibility:visible;mso-wrap-distance-right:0" o:ole="">
            <v:imagedata r:id="rId8" o:title=""/>
          </v:shape>
          <o:OLEObject Type="Embed" ProgID="PBrush" ShapeID="ole_rId2" DrawAspect="Content" ObjectID="_1833713721" r:id="rId9"/>
        </w:object>
      </w:r>
    </w:p>
    <w:p w14:paraId="22EF98A1" w14:textId="77777777" w:rsidR="00107921" w:rsidRDefault="00107921">
      <w:pPr>
        <w:jc w:val="center"/>
        <w:rPr>
          <w:sz w:val="16"/>
          <w:szCs w:val="16"/>
        </w:rPr>
      </w:pPr>
    </w:p>
    <w:p w14:paraId="5CBF169A" w14:textId="77777777" w:rsidR="0010792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9D3020A" w14:textId="77777777" w:rsidR="00107921" w:rsidRDefault="00107921">
      <w:pPr>
        <w:jc w:val="center"/>
        <w:rPr>
          <w:sz w:val="10"/>
          <w:szCs w:val="10"/>
        </w:rPr>
      </w:pPr>
    </w:p>
    <w:p w14:paraId="1F020949" w14:textId="77777777" w:rsidR="0010792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C2AEC38" w14:textId="77777777" w:rsidR="00107921" w:rsidRDefault="00107921">
      <w:pPr>
        <w:jc w:val="center"/>
        <w:rPr>
          <w:b/>
          <w:bCs/>
          <w:sz w:val="20"/>
          <w:szCs w:val="20"/>
        </w:rPr>
      </w:pPr>
    </w:p>
    <w:p w14:paraId="05B4EAC0" w14:textId="77777777" w:rsidR="0010792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</w:t>
      </w:r>
      <w:r>
        <w:rPr>
          <w:rFonts w:ascii="Times New Roman" w:hAnsi="Times New Roman" w:cs="Times New Roman"/>
          <w:b/>
        </w:rPr>
        <w:t xml:space="preserve"> </w:t>
      </w:r>
    </w:p>
    <w:p w14:paraId="089E8964" w14:textId="77777777" w:rsidR="00107921" w:rsidRDefault="0010792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509794D" w14:textId="77777777" w:rsidR="00107921" w:rsidRDefault="00000000">
      <w:pPr>
        <w:pStyle w:val="tj"/>
        <w:shd w:val="clear" w:color="auto" w:fill="FFFFFF"/>
        <w:tabs>
          <w:tab w:val="left" w:pos="4365"/>
          <w:tab w:val="left" w:pos="7140"/>
        </w:tabs>
        <w:spacing w:before="280" w:after="28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.02.2026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м. 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</w:t>
      </w:r>
    </w:p>
    <w:p w14:paraId="177F4CC0" w14:textId="77777777" w:rsidR="00107921" w:rsidRDefault="00107921">
      <w:pPr>
        <w:pStyle w:val="tj"/>
        <w:shd w:val="clear" w:color="auto" w:fill="FFFFFF"/>
        <w:spacing w:before="280" w:after="280" w:line="360" w:lineRule="auto"/>
        <w:jc w:val="both"/>
        <w:rPr>
          <w:rFonts w:ascii="Times New Roman" w:hAnsi="Times New Roman" w:cs="Times New Roman"/>
          <w:color w:val="2A2928"/>
          <w:sz w:val="28"/>
          <w:szCs w:val="28"/>
          <w:lang w:val="uk-UA"/>
        </w:rPr>
      </w:pPr>
    </w:p>
    <w:p w14:paraId="09B02A0F" w14:textId="77777777" w:rsidR="00107921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розширеної наради</w:t>
      </w:r>
    </w:p>
    <w:p w14:paraId="464A3FCA" w14:textId="77777777" w:rsidR="00107921" w:rsidRDefault="00107921">
      <w:pPr>
        <w:rPr>
          <w:rFonts w:ascii="Times New Roman" w:hAnsi="Times New Roman" w:cs="Times New Roman"/>
          <w:b/>
          <w:sz w:val="28"/>
          <w:szCs w:val="28"/>
        </w:rPr>
      </w:pPr>
    </w:p>
    <w:p w14:paraId="297E0705" w14:textId="77777777" w:rsidR="00107921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Взяли участь у нараді:</w:t>
      </w:r>
    </w:p>
    <w:p w14:paraId="62E00E1A" w14:textId="77777777" w:rsidR="00107921" w:rsidRDefault="0010792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87"/>
        <w:gridCol w:w="6882"/>
      </w:tblGrid>
      <w:tr w:rsidR="00107921" w14:paraId="65F499DC" w14:textId="77777777">
        <w:tc>
          <w:tcPr>
            <w:tcW w:w="1981" w:type="dxa"/>
          </w:tcPr>
          <w:p w14:paraId="4889D9A1" w14:textId="77777777" w:rsidR="00107921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Поліщук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87" w:type="dxa"/>
          </w:tcPr>
          <w:p w14:paraId="6B6EDBB0" w14:textId="77777777" w:rsidR="00107921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16EEE5DA" w14:textId="77777777" w:rsidR="00107921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голова</w:t>
            </w:r>
          </w:p>
        </w:tc>
      </w:tr>
      <w:tr w:rsidR="00107921" w14:paraId="33C1182D" w14:textId="77777777">
        <w:tc>
          <w:tcPr>
            <w:tcW w:w="1981" w:type="dxa"/>
          </w:tcPr>
          <w:p w14:paraId="73BF7991" w14:textId="77777777" w:rsidR="00107921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Безпятко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287" w:type="dxa"/>
          </w:tcPr>
          <w:p w14:paraId="13A7980E" w14:textId="77777777" w:rsidR="00107921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1F81059D" w14:textId="77777777" w:rsidR="00107921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 міської ради</w:t>
            </w:r>
          </w:p>
        </w:tc>
      </w:tr>
      <w:tr w:rsidR="00107921" w14:paraId="6D16DC6A" w14:textId="77777777">
        <w:tc>
          <w:tcPr>
            <w:tcW w:w="1981" w:type="dxa"/>
          </w:tcPr>
          <w:p w14:paraId="11C93C69" w14:textId="77777777" w:rsidR="00107921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Вербич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Ю.Г.</w:t>
            </w:r>
          </w:p>
        </w:tc>
        <w:tc>
          <w:tcPr>
            <w:tcW w:w="287" w:type="dxa"/>
          </w:tcPr>
          <w:p w14:paraId="701F3540" w14:textId="77777777" w:rsidR="00107921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784ABF6C" w14:textId="77777777" w:rsidR="00107921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</w:t>
            </w:r>
          </w:p>
          <w:p w14:paraId="669E9715" w14:textId="77777777" w:rsidR="00107921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керуючий справами виконкому</w:t>
            </w:r>
          </w:p>
        </w:tc>
      </w:tr>
    </w:tbl>
    <w:p w14:paraId="2112BBE8" w14:textId="77777777" w:rsidR="00107921" w:rsidRDefault="00107921">
      <w:pPr>
        <w:rPr>
          <w:rFonts w:ascii="Times New Roman" w:hAnsi="Times New Roman" w:cs="Times New Roman"/>
          <w:b/>
          <w:sz w:val="28"/>
          <w:szCs w:val="28"/>
        </w:rPr>
      </w:pPr>
    </w:p>
    <w:p w14:paraId="66BF6E3F" w14:textId="77777777" w:rsidR="00107921" w:rsidRDefault="00107921">
      <w:pPr>
        <w:rPr>
          <w:rFonts w:ascii="Times New Roman" w:hAnsi="Times New Roman" w:cs="Times New Roman"/>
          <w:b/>
          <w:sz w:val="16"/>
          <w:szCs w:val="16"/>
        </w:rPr>
      </w:pPr>
    </w:p>
    <w:p w14:paraId="58F56537" w14:textId="77777777" w:rsidR="00107921" w:rsidRDefault="000000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Присутні на нараді:</w:t>
      </w:r>
    </w:p>
    <w:p w14:paraId="5938D242" w14:textId="77777777" w:rsidR="00107921" w:rsidRDefault="0010792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3E721AA" w14:textId="77777777" w:rsidR="00107921" w:rsidRDefault="0000000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Керівники виконавчих органів міської ради, підприємств і закладів міської комунальної власності, старости, представники окремих територіальних органів державної влади, представники засобів масової інформації.</w:t>
      </w:r>
    </w:p>
    <w:p w14:paraId="050361FC" w14:textId="77777777" w:rsidR="00107921" w:rsidRDefault="0010792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DD2B153" w14:textId="77777777" w:rsidR="00107921" w:rsidRDefault="00107921">
      <w:pPr>
        <w:rPr>
          <w:rFonts w:ascii="Times New Roman" w:hAnsi="Times New Roman" w:cs="Times New Roman"/>
          <w:b/>
          <w:sz w:val="16"/>
          <w:szCs w:val="16"/>
        </w:rPr>
      </w:pPr>
    </w:p>
    <w:p w14:paraId="46E9A082" w14:textId="77777777" w:rsidR="00107921" w:rsidRDefault="00000000">
      <w:pPr>
        <w:pStyle w:val="6"/>
        <w:spacing w:before="0" w:after="0"/>
        <w:ind w:left="315" w:right="141" w:hanging="3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ДЕННИЙ:</w:t>
      </w:r>
    </w:p>
    <w:p w14:paraId="0BBF6FAD" w14:textId="77777777" w:rsidR="00107921" w:rsidRDefault="00107921"/>
    <w:p w14:paraId="4A2BE829" w14:textId="77777777" w:rsidR="00107921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звернення громадян, що надійшли у відділ комунікацій «15-80»</w:t>
      </w:r>
    </w:p>
    <w:p w14:paraId="11763C19" w14:textId="77777777" w:rsidR="00107921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департаменту ЦНАП у лютому 2026 року.</w:t>
      </w:r>
    </w:p>
    <w:p w14:paraId="7FEC3E54" w14:textId="77777777" w:rsidR="00107921" w:rsidRDefault="0000000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 міського голови, окремі завдання, доручення.</w:t>
      </w:r>
    </w:p>
    <w:p w14:paraId="25202603" w14:textId="77777777" w:rsidR="00107921" w:rsidRDefault="00107921"/>
    <w:p w14:paraId="5D5F008D" w14:textId="77777777" w:rsidR="00107921" w:rsidRDefault="000000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початку наради відбулося представлення:</w:t>
      </w:r>
    </w:p>
    <w:p w14:paraId="20A51BA8" w14:textId="77777777" w:rsidR="00107921" w:rsidRDefault="001079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22CE39" w14:textId="77777777" w:rsidR="00107921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Ярового Романа Васильовича – підполковника поліції, начальника</w:t>
      </w:r>
    </w:p>
    <w:p w14:paraId="474E6AE0" w14:textId="77777777" w:rsidR="00107921" w:rsidRDefault="00000000">
      <w:pPr>
        <w:jc w:val="both"/>
        <w:rPr>
          <w:rFonts w:ascii="Times New Roman" w:hAnsi="Times New Roman" w:cs="Times New Roman"/>
          <w:sz w:val="28"/>
          <w:szCs w:val="28"/>
        </w:rPr>
        <w:sectPr w:rsidR="00107921" w:rsidSect="00D61819">
          <w:headerReference w:type="default" r:id="rId10"/>
          <w:pgSz w:w="11906" w:h="16838"/>
          <w:pgMar w:top="1134" w:right="567" w:bottom="1701" w:left="1701" w:header="567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sz w:val="28"/>
          <w:szCs w:val="28"/>
        </w:rPr>
        <w:t>Луцького районного управління поліції ГУНП у Волинській області.</w:t>
      </w:r>
    </w:p>
    <w:p w14:paraId="2666EB1E" w14:textId="77777777" w:rsidR="00107921" w:rsidRDefault="00000000">
      <w:pPr>
        <w:tabs>
          <w:tab w:val="left" w:pos="1985"/>
          <w:tab w:val="left" w:pos="2268"/>
        </w:tabs>
        <w:ind w:left="1980" w:hanging="19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ab/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Про звернення громадян, що надійшли у відділ комунікацій «15-80» департаменту ЦНАП у лютому 2026 року.</w:t>
      </w:r>
    </w:p>
    <w:p w14:paraId="5556AC46" w14:textId="77777777" w:rsidR="00107921" w:rsidRDefault="00107921">
      <w:pPr>
        <w:tabs>
          <w:tab w:val="left" w:pos="1985"/>
          <w:tab w:val="left" w:pos="2127"/>
        </w:tabs>
        <w:rPr>
          <w:rFonts w:ascii="Times New Roman" w:hAnsi="Times New Roman" w:cs="Times New Roman"/>
          <w:b/>
          <w:sz w:val="28"/>
          <w:szCs w:val="28"/>
        </w:rPr>
      </w:pPr>
    </w:p>
    <w:p w14:paraId="791BD31E" w14:textId="77777777" w:rsidR="00107921" w:rsidRDefault="00000000">
      <w:pPr>
        <w:tabs>
          <w:tab w:val="left" w:pos="2100"/>
          <w:tab w:val="left" w:pos="2127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Л.Карп’як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директор департаменту «Центр надання </w:t>
      </w:r>
    </w:p>
    <w:p w14:paraId="3B7F0FFF" w14:textId="77777777" w:rsidR="00107921" w:rsidRDefault="00000000">
      <w:pPr>
        <w:tabs>
          <w:tab w:val="left" w:pos="2127"/>
          <w:tab w:val="left" w:pos="2160"/>
          <w:tab w:val="left" w:pos="2205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  <w:t>адміністративних послуг у місті Луцьку»</w:t>
      </w:r>
    </w:p>
    <w:p w14:paraId="14958B45" w14:textId="77777777" w:rsidR="00107921" w:rsidRDefault="00107921">
      <w:pPr>
        <w:tabs>
          <w:tab w:val="left" w:pos="2127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80CA38B" w14:textId="77777777" w:rsidR="00107921" w:rsidRDefault="00000000">
      <w:pPr>
        <w:tabs>
          <w:tab w:val="left" w:pos="1985"/>
          <w:tab w:val="left" w:pos="2268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ab/>
        <w:t>2.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Виступ міського голови, окремі завдання, доручення. </w:t>
      </w:r>
    </w:p>
    <w:p w14:paraId="27EADE4B" w14:textId="77777777" w:rsidR="00107921" w:rsidRDefault="00107921">
      <w:pPr>
        <w:tabs>
          <w:tab w:val="left" w:pos="2127"/>
          <w:tab w:val="left" w:pos="226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5EB211" w14:textId="77777777" w:rsidR="00107921" w:rsidRDefault="00000000">
      <w:pPr>
        <w:tabs>
          <w:tab w:val="left" w:pos="2127"/>
        </w:tabs>
        <w:jc w:val="both"/>
        <w:rPr>
          <w:rFonts w:ascii="Times New Roman" w:hAnsi="Times New Roman" w:cs="Times New Roman"/>
          <w:bCs/>
          <w:sz w:val="10"/>
          <w:szCs w:val="1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ВИСТУПИВ: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​Ігор Поліщук подякував працівникам Луцького районного</w:t>
      </w:r>
    </w:p>
    <w:p w14:paraId="63E239AC" w14:textId="77777777" w:rsidR="00107921" w:rsidRDefault="00000000">
      <w:pPr>
        <w:tabs>
          <w:tab w:val="left" w:pos="1985"/>
        </w:tabs>
        <w:ind w:left="212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управління головного управління державної служби України з надзвичайних ситуацій у Волинській області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Р.Безека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за злагоджену  та оперативну роботу щодо усунення наслідків танення снігу та паводку, в результаті чого вдалось уникнути значних підтоплень житлових і господарських будівель на території громади, особливо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Малоомелянівському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масиві. Водночас, наголосив на необхідності посиленого спостереження  й моніторингу ситуації та вжиття оперативних превентивних заходів.</w:t>
      </w:r>
    </w:p>
    <w:p w14:paraId="78CB734B" w14:textId="77777777" w:rsidR="00107921" w:rsidRDefault="00107921">
      <w:pPr>
        <w:tabs>
          <w:tab w:val="left" w:pos="1985"/>
        </w:tabs>
        <w:ind w:left="21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12EF18" w14:textId="77777777" w:rsidR="00107921" w:rsidRDefault="00107921">
      <w:pPr>
        <w:tabs>
          <w:tab w:val="left" w:pos="1985"/>
        </w:tabs>
        <w:ind w:left="2127"/>
        <w:jc w:val="both"/>
        <w:rPr>
          <w:rFonts w:ascii="Times New Roman" w:hAnsi="Times New Roman" w:cs="Times New Roman"/>
          <w:bCs/>
          <w:sz w:val="4"/>
          <w:szCs w:val="4"/>
        </w:rPr>
      </w:pPr>
    </w:p>
    <w:p w14:paraId="616B4675" w14:textId="77777777" w:rsidR="00107921" w:rsidRDefault="00000000">
      <w:pPr>
        <w:tabs>
          <w:tab w:val="left" w:pos="1985"/>
        </w:tabs>
        <w:ind w:left="212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​Міський голова звернув увагу на стан деяких доріг і чисельні ушкодження асфальтового покриття після зимового періоду та в результаті танення снігу, зокрема, на вулицях: Львівська, Володимирська, Рівненська та ін. Він надав роз’яснення присутнім та мешканцям громади про заходи, що вживає міська рада для усунення проблеми. Зокрема, про проведення ремонту доріг методом «холодного асфальту».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І.Поліщук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підкреслив, що дороги, капітальний ремонт яких здійснювався в останні 5 років, мають якісне асфальтне покриття, перебувають у відмінному стані та не потребують ямкового ремонту, а окремі недоліки усуваються виконавцями робіт у межах гарантійних умов. Ремонт інших доріг розпочнеться з настанням належних погодних умов. Наразі розпочата процедура оголошення необхідних тендерних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і визначення виконавців робіт.</w:t>
      </w:r>
    </w:p>
    <w:p w14:paraId="6B7ACF11" w14:textId="77777777" w:rsidR="00107921" w:rsidRDefault="00107921">
      <w:pPr>
        <w:tabs>
          <w:tab w:val="left" w:pos="1985"/>
        </w:tabs>
        <w:ind w:left="21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66B3D6" w14:textId="77777777" w:rsidR="00107921" w:rsidRDefault="00000000">
      <w:pPr>
        <w:tabs>
          <w:tab w:val="left" w:pos="1985"/>
        </w:tabs>
        <w:ind w:left="212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Міський голова проаналізував стан прибирання доріг і тротуарів на території громади від снігу та відзначив, загалом, позитивне виконання робіт комунальними службами. Разом із тим,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І.Поліщук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звернув увагу на необхідності якіснішого прибирання тротуарів і пішохідних доріжок, у тому числі на вузьких ділянках, особливо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округах громади. </w:t>
      </w:r>
    </w:p>
    <w:p w14:paraId="3C0E11E7" w14:textId="77777777" w:rsidR="00107921" w:rsidRDefault="00000000">
      <w:pPr>
        <w:tabs>
          <w:tab w:val="left" w:pos="1985"/>
        </w:tabs>
        <w:ind w:left="212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Крім цього, міський голова зауважив, що очищення від снігу та криги тротуарів і прибудинкових територій ОСББ є в компетенції мешканців і керівників цих об’єднань. Однак, наголосив на необхідності комунікації щодо цього питання та надання відповідних роз’яснень з боку департаменту житлово-комунального господарства міської ради. В той же час, житлово-комунальні підприємства також повинні посилити роботу з прибирання територій, у тому числі прибудинкових, де не створені ОСББ.</w:t>
      </w:r>
    </w:p>
    <w:p w14:paraId="02D199BF" w14:textId="77777777" w:rsidR="00107921" w:rsidRDefault="00107921">
      <w:pPr>
        <w:tabs>
          <w:tab w:val="left" w:pos="1985"/>
        </w:tabs>
        <w:ind w:left="21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03EB29" w14:textId="77777777" w:rsidR="00107921" w:rsidRDefault="00000000">
      <w:pPr>
        <w:tabs>
          <w:tab w:val="left" w:pos="1985"/>
        </w:tabs>
        <w:ind w:left="212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Міський голова звернувся до керівників житлово-комунальних підприємств і комунальних установ, закладів щодо необхідності вже розпочати роботи з прибирання прилеглих територій і усієї громади до Великодніх свят. Особливу увагу звернув на очищення територій і зливових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каналізацій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від залишків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протиожеледних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сумішей 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щебеню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7615545" w14:textId="77777777" w:rsidR="00107921" w:rsidRDefault="00107921">
      <w:pPr>
        <w:tabs>
          <w:tab w:val="left" w:pos="1985"/>
        </w:tabs>
        <w:ind w:left="21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110C96" w14:textId="77777777" w:rsidR="00107921" w:rsidRDefault="00000000">
      <w:pPr>
        <w:tabs>
          <w:tab w:val="left" w:pos="1985"/>
        </w:tabs>
        <w:ind w:left="212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Ігор Поліщук наголосив, що завершується державний фінансовий аудит бюджету Луцької міської територіальної громади за 2020-2025 роки та подякував працівникам Державної аудиторської служби за проведену роботу,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грунтовну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та якісну ревізію.</w:t>
      </w:r>
    </w:p>
    <w:p w14:paraId="251CAC23" w14:textId="77777777" w:rsidR="00107921" w:rsidRDefault="00107921">
      <w:pPr>
        <w:tabs>
          <w:tab w:val="left" w:pos="1985"/>
        </w:tabs>
        <w:ind w:left="21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0485CB" w14:textId="77777777" w:rsidR="00107921" w:rsidRDefault="00000000">
      <w:pPr>
        <w:tabs>
          <w:tab w:val="left" w:pos="1985"/>
        </w:tabs>
        <w:ind w:left="212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Міський голова поінформував, що за результатами проведеного аудиту не виявлено жодного факту завищення ціни при здійсненні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виконавчим комітетом Луцької міської ради матеріальних цінностей для  потреб сили оборони України впродовж усього періоду повномасштабного вторгнення. Мова йде про суму майже 700 млн грн.</w:t>
      </w:r>
    </w:p>
    <w:p w14:paraId="408D96BC" w14:textId="77777777" w:rsidR="00107921" w:rsidRDefault="00107921">
      <w:pPr>
        <w:tabs>
          <w:tab w:val="left" w:pos="1985"/>
        </w:tabs>
        <w:ind w:left="21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DC89E9" w14:textId="77777777" w:rsidR="00107921" w:rsidRDefault="00000000">
      <w:pPr>
        <w:tabs>
          <w:tab w:val="left" w:pos="1985"/>
        </w:tabs>
        <w:ind w:left="212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І.Поліщук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подякував усім працівникам міської ради, які здійснюють відповідну роботу щодо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Підтримка ЗСУ є пріоритетом у роботі Луцької міської ради.</w:t>
      </w:r>
    </w:p>
    <w:p w14:paraId="31A35A6E" w14:textId="77777777" w:rsidR="00107921" w:rsidRDefault="00000000">
      <w:pPr>
        <w:tabs>
          <w:tab w:val="left" w:pos="1985"/>
        </w:tabs>
        <w:ind w:left="212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Водночас, міський голова згадав і про виявлені в результаті аудиту недоліки. Зокрема, щодо питання стягнення орендної плати з користувачів земельних ділянок, питання стягнення пайової участі, технічного нагляду за виконанням робіт тощо. Ігор Поліщук зобов’язав керівників виконавчих органів детально проаналізувати результати аудиту, виправити зауваження та врахувати їх у подальшій роботі.</w:t>
      </w:r>
    </w:p>
    <w:p w14:paraId="62D0FCEF" w14:textId="77777777" w:rsidR="00107921" w:rsidRDefault="00107921">
      <w:pPr>
        <w:tabs>
          <w:tab w:val="left" w:pos="1985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068447E7" w14:textId="77777777" w:rsidR="00107921" w:rsidRDefault="00000000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 Окремі доручення:</w:t>
      </w:r>
    </w:p>
    <w:p w14:paraId="1BC70BB0" w14:textId="77777777" w:rsidR="00107921" w:rsidRDefault="00107921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E181D34" w14:textId="77777777" w:rsidR="00107921" w:rsidRDefault="00000000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 Департаменту житлово-комунального господарства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С.Гаврилюк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провести детальний аналіз виконання робіт із прибирання вулиць, доріг, тротуарів, прибудинкових територій у зимовий період 2025/2026 років і скласти план необхідних заходів із підготовки до наступного сезону.</w:t>
      </w:r>
    </w:p>
    <w:p w14:paraId="3E252B8F" w14:textId="77777777" w:rsidR="00107921" w:rsidRDefault="00000000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20.03.2026 подати необхідні пропозиції.</w:t>
      </w:r>
    </w:p>
    <w:p w14:paraId="3304D45B" w14:textId="77777777" w:rsidR="00107921" w:rsidRDefault="00107921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B5384DE" w14:textId="77777777" w:rsidR="00107921" w:rsidRDefault="00000000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2.2. Департаменту житлово-комунального господарства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С.Гаврилюк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спільно з Луцьким спеціальним комунальним автотранспортним підприємством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Луцькспецкомунтранс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В.Марценюк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):</w:t>
      </w:r>
    </w:p>
    <w:p w14:paraId="2E1D2260" w14:textId="77777777" w:rsidR="00107921" w:rsidRDefault="00107921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14:paraId="2EBC7BAB" w14:textId="77777777" w:rsidR="00107921" w:rsidRDefault="00000000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2.2.1. Провести прочищення системи зливової каналізації від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щебеню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та піску.</w:t>
      </w:r>
    </w:p>
    <w:p w14:paraId="0FE10AD8" w14:textId="77777777" w:rsidR="00107921" w:rsidRDefault="00107921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14:paraId="4769AB07" w14:textId="77777777" w:rsidR="00107921" w:rsidRDefault="00000000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2.2.2. Організувати прибирання сміття та забезпечити контроль за якістю та оперативністю санітарного прибирання міста, особливо в період підготовки до Великодня.</w:t>
      </w:r>
    </w:p>
    <w:p w14:paraId="3BD30BFA" w14:textId="77777777" w:rsidR="00107921" w:rsidRDefault="00107921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14:paraId="2A7F46E5" w14:textId="77777777" w:rsidR="00107921" w:rsidRDefault="00000000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2.2.3. Спільно з КП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Луцькводоканал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В.Гуменюк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), ДКП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І.Скорупський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оперативно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впорядковувати та здійснювати якісний благоустрій територій після виконання аварійних і планових ремонтних робіт.</w:t>
      </w:r>
    </w:p>
    <w:p w14:paraId="6FCF8732" w14:textId="77777777" w:rsidR="00107921" w:rsidRDefault="00107921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14:paraId="0782785D" w14:textId="77777777" w:rsidR="00107921" w:rsidRDefault="00000000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2.3. Відділу з питань надзвичайних ситуацій та цивільного захисту населення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Ю.Кирилюк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спільно з Луцьким районним управлінням головного управління державної служби України з надзвичайних ситуацій у Волинській області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Р.Безека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тримати на контролі ситуацію щодо повені та паводку,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оперативно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реагувати на можливі підтоплення житлових і господарських будівель.</w:t>
      </w:r>
    </w:p>
    <w:p w14:paraId="33502A2E" w14:textId="77777777" w:rsidR="00107921" w:rsidRDefault="00000000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Оперативно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інформувати про надзвичайні ситуації.</w:t>
      </w:r>
    </w:p>
    <w:p w14:paraId="256EE880" w14:textId="77777777" w:rsidR="00107921" w:rsidRDefault="00107921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14:paraId="2ADA3C69" w14:textId="77777777" w:rsidR="00107921" w:rsidRDefault="00000000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2.4. Керівникам виконавчих органів міської ради, підприємств і закладів міської комунальної власності, старостам:</w:t>
      </w:r>
    </w:p>
    <w:p w14:paraId="114C4DAE" w14:textId="77777777" w:rsidR="00107921" w:rsidRDefault="00107921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74CD544" w14:textId="77777777" w:rsidR="00107921" w:rsidRDefault="00000000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2.4.1. Детально проаналізувати результати аудиту, виправити зауваження та врахувати їх у подальшій роботі.</w:t>
      </w:r>
    </w:p>
    <w:p w14:paraId="199E6F5E" w14:textId="77777777" w:rsidR="00107921" w:rsidRDefault="00107921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E231E92" w14:textId="77777777" w:rsidR="00107921" w:rsidRDefault="00000000">
      <w:pPr>
        <w:tabs>
          <w:tab w:val="left" w:pos="1985"/>
        </w:tabs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2.4.2. До 05.04.2026 провести благоустрій і прибирання територій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громади.</w:t>
      </w:r>
    </w:p>
    <w:p w14:paraId="5458B46F" w14:textId="77777777" w:rsidR="00107921" w:rsidRDefault="00107921">
      <w:pPr>
        <w:rPr>
          <w:rFonts w:ascii="Times New Roman" w:hAnsi="Times New Roman" w:cs="Times New Roman"/>
          <w:b/>
          <w:sz w:val="28"/>
          <w:szCs w:val="28"/>
        </w:rPr>
      </w:pPr>
    </w:p>
    <w:p w14:paraId="6A0EE7A7" w14:textId="77777777" w:rsidR="00107921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Ігор ПОЛІЩУК</w:t>
      </w:r>
    </w:p>
    <w:p w14:paraId="58D9EFFF" w14:textId="77777777" w:rsidR="00107921" w:rsidRDefault="00107921">
      <w:pPr>
        <w:rPr>
          <w:rFonts w:ascii="Times New Roman" w:hAnsi="Times New Roman" w:cs="Times New Roman"/>
          <w:bCs/>
          <w:sz w:val="28"/>
          <w:szCs w:val="28"/>
        </w:rPr>
      </w:pPr>
    </w:p>
    <w:p w14:paraId="3BD8ECEB" w14:textId="77777777" w:rsidR="00107921" w:rsidRDefault="0000000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Олена Барська 777 949</w:t>
      </w:r>
    </w:p>
    <w:p w14:paraId="0C05C0B3" w14:textId="77777777" w:rsidR="00107921" w:rsidRDefault="00000000">
      <w:pPr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Юлія Чайка 777 939</w:t>
      </w:r>
    </w:p>
    <w:sectPr w:rsidR="00107921" w:rsidSect="00D61819">
      <w:headerReference w:type="default" r:id="rId11"/>
      <w:pgSz w:w="11906" w:h="16838"/>
      <w:pgMar w:top="1191" w:right="567" w:bottom="1701" w:left="1701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5526" w14:textId="77777777" w:rsidR="00431FF1" w:rsidRDefault="00431FF1">
      <w:r>
        <w:separator/>
      </w:r>
    </w:p>
  </w:endnote>
  <w:endnote w:type="continuationSeparator" w:id="0">
    <w:p w14:paraId="5EB52E57" w14:textId="77777777" w:rsidR="00431FF1" w:rsidRDefault="0043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96EE" w14:textId="77777777" w:rsidR="00431FF1" w:rsidRDefault="00431FF1">
      <w:r>
        <w:separator/>
      </w:r>
    </w:p>
  </w:footnote>
  <w:footnote w:type="continuationSeparator" w:id="0">
    <w:p w14:paraId="46C72633" w14:textId="77777777" w:rsidR="00431FF1" w:rsidRDefault="0043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0E5E" w14:textId="77777777" w:rsidR="00107921" w:rsidRDefault="00107921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2706" w14:textId="77777777" w:rsidR="00107921" w:rsidRDefault="00000000">
    <w:pPr>
      <w:pStyle w:val="a9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523AC"/>
    <w:multiLevelType w:val="multilevel"/>
    <w:tmpl w:val="79DA43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3F403C"/>
    <w:multiLevelType w:val="multilevel"/>
    <w:tmpl w:val="D418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278D7"/>
    <w:multiLevelType w:val="multilevel"/>
    <w:tmpl w:val="2AC4E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620340">
    <w:abstractNumId w:val="1"/>
  </w:num>
  <w:num w:numId="2" w16cid:durableId="1384908172">
    <w:abstractNumId w:val="2"/>
  </w:num>
  <w:num w:numId="3" w16cid:durableId="129999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21"/>
    <w:rsid w:val="00107921"/>
    <w:rsid w:val="00431FF1"/>
    <w:rsid w:val="006D0ABF"/>
    <w:rsid w:val="00D6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FDD969"/>
  <w15:docId w15:val="{0F46D184-F074-4DCF-9C92-DDA5EE21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hAnsi="Calibr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8">
    <w:name w:val="Верхній і нижній колонтитули"/>
    <w:basedOn w:val="a"/>
    <w:qFormat/>
    <w:pPr>
      <w:suppressLineNumbers/>
      <w:tabs>
        <w:tab w:val="center" w:pos="4677"/>
        <w:tab w:val="right" w:pos="9354"/>
      </w:tabs>
    </w:pPr>
  </w:style>
  <w:style w:type="paragraph" w:styleId="a9">
    <w:name w:val="header"/>
    <w:basedOn w:val="a8"/>
  </w:style>
  <w:style w:type="numbering" w:customStyle="1" w:styleId="aa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0AAE-E825-4B37-8C83-4F06C06A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4172</Words>
  <Characters>2379</Characters>
  <Application>Microsoft Office Word</Application>
  <DocSecurity>0</DocSecurity>
  <Lines>19</Lines>
  <Paragraphs>13</Paragraphs>
  <ScaleCrop>false</ScaleCrop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Шундрук</dc:creator>
  <dc:description/>
  <cp:lastModifiedBy>Юлія Шундрук</cp:lastModifiedBy>
  <cp:revision>18</cp:revision>
  <cp:lastPrinted>2026-02-27T10:32:00Z</cp:lastPrinted>
  <dcterms:created xsi:type="dcterms:W3CDTF">2026-02-27T10:18:00Z</dcterms:created>
  <dcterms:modified xsi:type="dcterms:W3CDTF">2026-02-27T14:09:00Z</dcterms:modified>
  <dc:language>uk-UA</dc:language>
</cp:coreProperties>
</file>