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AF72" w14:textId="64CEF7B8" w:rsidR="00987CCB" w:rsidRDefault="000C2784" w:rsidP="00405F64">
      <w:pPr>
        <w:pStyle w:val="CustomTitle"/>
        <w:spacing w:after="160" w:line="276" w:lineRule="auto"/>
        <w:jc w:val="center"/>
      </w:pPr>
      <w:r>
        <w:t>ПИСЬМОВИЙ ЗВІТ</w:t>
      </w:r>
      <w:r>
        <w:br/>
        <w:t>депутата Луцької міської ради</w:t>
      </w:r>
      <w:r>
        <w:br/>
        <w:t>Бондарука Романа Анатолійовича</w:t>
      </w:r>
      <w:r>
        <w:br/>
      </w:r>
    </w:p>
    <w:p w14:paraId="1094A3AD" w14:textId="77777777" w:rsidR="00987CCB" w:rsidRDefault="000C2784">
      <w:pPr>
        <w:spacing w:after="120" w:line="283" w:lineRule="auto"/>
        <w:jc w:val="both"/>
      </w:pPr>
      <w:r>
        <w:t>У</w:t>
      </w:r>
      <w:r>
        <w:t xml:space="preserve"> 2025 році я здійснював депутатську діяльність у складі Луцької міської ради та працював як голова постійної комісії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енергоощадності. У своїй роботі зосереджував увагу на підтримці Збройних Сил України, контролі за якістю рішень міської ради, питаннях функціонування комунальних підприємств, збереженні історичного середовища Луцька, містобудівній політиці та форму</w:t>
      </w:r>
      <w:r>
        <w:t>ванні стратегічних рішень розвитку громади.</w:t>
      </w:r>
    </w:p>
    <w:p w14:paraId="3157CFAF" w14:textId="77777777" w:rsidR="00987CCB" w:rsidRDefault="000C2784">
      <w:pPr>
        <w:pStyle w:val="Heading1"/>
      </w:pPr>
      <w:r>
        <w:t>Ключові показники роботи у 2025 році</w:t>
      </w:r>
    </w:p>
    <w:tbl>
      <w:tblPr>
        <w:tblW w:w="0" w:type="auto"/>
        <w:jc w:val="center"/>
        <w:tblLayout w:type="fixed"/>
        <w:tblLook w:val="04A0" w:firstRow="1" w:lastRow="0" w:firstColumn="1" w:lastColumn="0" w:noHBand="0" w:noVBand="1"/>
      </w:tblPr>
      <w:tblGrid>
        <w:gridCol w:w="6236"/>
        <w:gridCol w:w="4901"/>
      </w:tblGrid>
      <w:tr w:rsidR="00987CCB" w14:paraId="7A1E5389" w14:textId="77777777">
        <w:trPr>
          <w:jc w:val="center"/>
        </w:trPr>
        <w:tc>
          <w:tcPr>
            <w:tcW w:w="6236" w:type="dxa"/>
            <w:shd w:val="clear" w:color="auto" w:fill="D9E7F7"/>
            <w:vAlign w:val="center"/>
          </w:tcPr>
          <w:p w14:paraId="10C72A05" w14:textId="77777777" w:rsidR="00987CCB" w:rsidRDefault="000C2784">
            <w:pPr>
              <w:spacing w:after="0"/>
              <w:jc w:val="center"/>
            </w:pPr>
            <w:r>
              <w:rPr>
                <w:b/>
                <w:sz w:val="22"/>
              </w:rPr>
              <w:t>Показник</w:t>
            </w:r>
          </w:p>
        </w:tc>
        <w:tc>
          <w:tcPr>
            <w:tcW w:w="2835" w:type="dxa"/>
            <w:shd w:val="clear" w:color="auto" w:fill="D9E7F7"/>
            <w:vAlign w:val="center"/>
          </w:tcPr>
          <w:p w14:paraId="43A3B332" w14:textId="77777777" w:rsidR="00987CCB" w:rsidRDefault="000C2784">
            <w:pPr>
              <w:spacing w:after="0"/>
              <w:jc w:val="center"/>
            </w:pPr>
            <w:r>
              <w:rPr>
                <w:b/>
                <w:sz w:val="22"/>
              </w:rPr>
              <w:t>Значення</w:t>
            </w:r>
          </w:p>
        </w:tc>
      </w:tr>
      <w:tr w:rsidR="00987CCB" w14:paraId="5437CF8B" w14:textId="77777777">
        <w:trPr>
          <w:jc w:val="center"/>
        </w:trPr>
        <w:tc>
          <w:tcPr>
            <w:tcW w:w="4901" w:type="dxa"/>
            <w:shd w:val="clear" w:color="auto" w:fill="F9FBFE"/>
            <w:vAlign w:val="center"/>
          </w:tcPr>
          <w:p w14:paraId="7877AED2" w14:textId="77777777" w:rsidR="00987CCB" w:rsidRDefault="000C2784">
            <w:pPr>
              <w:spacing w:after="0" w:line="264" w:lineRule="auto"/>
            </w:pPr>
            <w:r>
              <w:rPr>
                <w:sz w:val="22"/>
              </w:rPr>
              <w:t>Сесії Луцької міської ради</w:t>
            </w:r>
          </w:p>
        </w:tc>
        <w:tc>
          <w:tcPr>
            <w:tcW w:w="4901" w:type="dxa"/>
            <w:shd w:val="clear" w:color="auto" w:fill="F9FBFE"/>
            <w:vAlign w:val="center"/>
          </w:tcPr>
          <w:p w14:paraId="227A9877" w14:textId="77777777" w:rsidR="00987CCB" w:rsidRDefault="000C2784">
            <w:pPr>
              <w:spacing w:after="0" w:line="264" w:lineRule="auto"/>
              <w:jc w:val="center"/>
            </w:pPr>
            <w:r>
              <w:rPr>
                <w:sz w:val="22"/>
              </w:rPr>
              <w:t>18</w:t>
            </w:r>
          </w:p>
        </w:tc>
      </w:tr>
      <w:tr w:rsidR="00987CCB" w14:paraId="68066F5B" w14:textId="77777777">
        <w:trPr>
          <w:jc w:val="center"/>
        </w:trPr>
        <w:tc>
          <w:tcPr>
            <w:tcW w:w="4901" w:type="dxa"/>
            <w:shd w:val="clear" w:color="auto" w:fill="FFFFFF"/>
            <w:vAlign w:val="center"/>
          </w:tcPr>
          <w:p w14:paraId="7C21D7D1" w14:textId="77777777" w:rsidR="00987CCB" w:rsidRDefault="000C2784">
            <w:pPr>
              <w:spacing w:after="0" w:line="264" w:lineRule="auto"/>
            </w:pPr>
            <w:r>
              <w:rPr>
                <w:sz w:val="22"/>
              </w:rPr>
              <w:t>Позачергові сесії</w:t>
            </w:r>
          </w:p>
        </w:tc>
        <w:tc>
          <w:tcPr>
            <w:tcW w:w="4901" w:type="dxa"/>
            <w:shd w:val="clear" w:color="auto" w:fill="FFFFFF"/>
            <w:vAlign w:val="center"/>
          </w:tcPr>
          <w:p w14:paraId="39616257" w14:textId="77777777" w:rsidR="00987CCB" w:rsidRDefault="000C2784">
            <w:pPr>
              <w:spacing w:after="0" w:line="264" w:lineRule="auto"/>
              <w:jc w:val="center"/>
            </w:pPr>
            <w:r>
              <w:rPr>
                <w:sz w:val="22"/>
              </w:rPr>
              <w:t>6</w:t>
            </w:r>
          </w:p>
        </w:tc>
      </w:tr>
      <w:tr w:rsidR="00987CCB" w14:paraId="4139D8B5" w14:textId="77777777">
        <w:trPr>
          <w:jc w:val="center"/>
        </w:trPr>
        <w:tc>
          <w:tcPr>
            <w:tcW w:w="4901" w:type="dxa"/>
            <w:shd w:val="clear" w:color="auto" w:fill="F9FBFE"/>
            <w:vAlign w:val="center"/>
          </w:tcPr>
          <w:p w14:paraId="59EAE866" w14:textId="77777777" w:rsidR="00987CCB" w:rsidRDefault="000C2784">
            <w:pPr>
              <w:spacing w:after="0" w:line="264" w:lineRule="auto"/>
            </w:pPr>
            <w:r>
              <w:rPr>
                <w:sz w:val="22"/>
              </w:rPr>
              <w:t xml:space="preserve">Розглянуті питання на </w:t>
            </w:r>
            <w:r>
              <w:rPr>
                <w:sz w:val="22"/>
              </w:rPr>
              <w:t>пленарних засіданнях</w:t>
            </w:r>
          </w:p>
        </w:tc>
        <w:tc>
          <w:tcPr>
            <w:tcW w:w="4901" w:type="dxa"/>
            <w:shd w:val="clear" w:color="auto" w:fill="F9FBFE"/>
            <w:vAlign w:val="center"/>
          </w:tcPr>
          <w:p w14:paraId="23E271F0" w14:textId="77777777" w:rsidR="00987CCB" w:rsidRDefault="000C2784">
            <w:pPr>
              <w:spacing w:after="0" w:line="264" w:lineRule="auto"/>
              <w:jc w:val="center"/>
            </w:pPr>
            <w:r>
              <w:rPr>
                <w:sz w:val="22"/>
              </w:rPr>
              <w:t>1674</w:t>
            </w:r>
          </w:p>
        </w:tc>
      </w:tr>
      <w:tr w:rsidR="00987CCB" w14:paraId="3B5ECB57" w14:textId="77777777">
        <w:trPr>
          <w:jc w:val="center"/>
        </w:trPr>
        <w:tc>
          <w:tcPr>
            <w:tcW w:w="4901" w:type="dxa"/>
            <w:shd w:val="clear" w:color="auto" w:fill="FFFFFF"/>
            <w:vAlign w:val="center"/>
          </w:tcPr>
          <w:p w14:paraId="633B6D65" w14:textId="77777777" w:rsidR="00987CCB" w:rsidRDefault="000C2784">
            <w:pPr>
              <w:spacing w:after="0" w:line="264" w:lineRule="auto"/>
            </w:pPr>
            <w:r>
              <w:rPr>
                <w:sz w:val="22"/>
              </w:rPr>
              <w:t>Ухвалені рішення</w:t>
            </w:r>
          </w:p>
        </w:tc>
        <w:tc>
          <w:tcPr>
            <w:tcW w:w="4901" w:type="dxa"/>
            <w:shd w:val="clear" w:color="auto" w:fill="FFFFFF"/>
            <w:vAlign w:val="center"/>
          </w:tcPr>
          <w:p w14:paraId="79E0AD21" w14:textId="77777777" w:rsidR="00987CCB" w:rsidRDefault="000C2784">
            <w:pPr>
              <w:spacing w:after="0" w:line="264" w:lineRule="auto"/>
              <w:jc w:val="center"/>
            </w:pPr>
            <w:r>
              <w:rPr>
                <w:sz w:val="22"/>
              </w:rPr>
              <w:t>1458</w:t>
            </w:r>
          </w:p>
        </w:tc>
      </w:tr>
      <w:tr w:rsidR="00987CCB" w14:paraId="480785DA" w14:textId="77777777">
        <w:trPr>
          <w:jc w:val="center"/>
        </w:trPr>
        <w:tc>
          <w:tcPr>
            <w:tcW w:w="4901" w:type="dxa"/>
            <w:shd w:val="clear" w:color="auto" w:fill="F9FBFE"/>
            <w:vAlign w:val="center"/>
          </w:tcPr>
          <w:p w14:paraId="3EABA84A" w14:textId="77777777" w:rsidR="00987CCB" w:rsidRDefault="000C2784">
            <w:pPr>
              <w:spacing w:after="0" w:line="264" w:lineRule="auto"/>
            </w:pPr>
            <w:r>
              <w:rPr>
                <w:sz w:val="22"/>
              </w:rPr>
              <w:t>Усі засідання постійних комісій</w:t>
            </w:r>
          </w:p>
        </w:tc>
        <w:tc>
          <w:tcPr>
            <w:tcW w:w="4901" w:type="dxa"/>
            <w:shd w:val="clear" w:color="auto" w:fill="F9FBFE"/>
            <w:vAlign w:val="center"/>
          </w:tcPr>
          <w:p w14:paraId="5A63F6FF" w14:textId="77777777" w:rsidR="00987CCB" w:rsidRDefault="000C2784">
            <w:pPr>
              <w:spacing w:after="0" w:line="264" w:lineRule="auto"/>
              <w:jc w:val="center"/>
            </w:pPr>
            <w:r>
              <w:rPr>
                <w:sz w:val="22"/>
              </w:rPr>
              <w:t>117</w:t>
            </w:r>
          </w:p>
        </w:tc>
      </w:tr>
      <w:tr w:rsidR="00987CCB" w14:paraId="5831733F" w14:textId="77777777">
        <w:trPr>
          <w:jc w:val="center"/>
        </w:trPr>
        <w:tc>
          <w:tcPr>
            <w:tcW w:w="4901" w:type="dxa"/>
            <w:shd w:val="clear" w:color="auto" w:fill="FFFFFF"/>
            <w:vAlign w:val="center"/>
          </w:tcPr>
          <w:p w14:paraId="63A6E7A4" w14:textId="77777777" w:rsidR="00987CCB" w:rsidRDefault="000C2784">
            <w:pPr>
              <w:spacing w:after="0" w:line="264" w:lineRule="auto"/>
            </w:pPr>
            <w:r>
              <w:rPr>
                <w:sz w:val="22"/>
              </w:rPr>
              <w:t>Оприлюднені протоколи профільної комісії</w:t>
            </w:r>
          </w:p>
        </w:tc>
        <w:tc>
          <w:tcPr>
            <w:tcW w:w="4901" w:type="dxa"/>
            <w:shd w:val="clear" w:color="auto" w:fill="FFFFFF"/>
            <w:vAlign w:val="center"/>
          </w:tcPr>
          <w:p w14:paraId="15116A8E" w14:textId="77777777" w:rsidR="00987CCB" w:rsidRDefault="000C2784">
            <w:pPr>
              <w:spacing w:after="0" w:line="264" w:lineRule="auto"/>
              <w:jc w:val="center"/>
            </w:pPr>
            <w:r>
              <w:rPr>
                <w:sz w:val="22"/>
              </w:rPr>
              <w:t>13</w:t>
            </w:r>
          </w:p>
        </w:tc>
      </w:tr>
    </w:tbl>
    <w:p w14:paraId="7C1F116C" w14:textId="77777777" w:rsidR="00987CCB" w:rsidRDefault="00987CCB"/>
    <w:p w14:paraId="4EEC5EC2" w14:textId="77777777" w:rsidR="00987CCB" w:rsidRDefault="000C2784">
      <w:pPr>
        <w:spacing w:after="120" w:line="283" w:lineRule="auto"/>
        <w:jc w:val="both"/>
      </w:pPr>
      <w:r>
        <w:t xml:space="preserve">Як голова профільної комісії я забезпечував розгляд проєктів рішень у сферах будівництва, містобудування, </w:t>
      </w:r>
      <w:r>
        <w:t>житлово-комунального господарства, транспорту, енергоощадності, екології та благоустрою, а також ініціював розгляд питань, що стосувалися історичного середовища міста, стратегічного планування та відповідальності виконавчих органів за реалізацію рішень ради.</w:t>
      </w:r>
    </w:p>
    <w:p w14:paraId="5CFC2259" w14:textId="77777777" w:rsidR="00987CCB" w:rsidRDefault="000C2784">
      <w:pPr>
        <w:pStyle w:val="Heading1"/>
      </w:pPr>
      <w:r>
        <w:t>Підтримка Збройних Сил України</w:t>
      </w:r>
    </w:p>
    <w:p w14:paraId="4FBEA36C" w14:textId="77777777" w:rsidR="00987CCB" w:rsidRDefault="000C2784">
      <w:pPr>
        <w:spacing w:after="120" w:line="283" w:lineRule="auto"/>
        <w:jc w:val="both"/>
      </w:pPr>
      <w:r>
        <w:t>Протягом 2025 року я спільно з колегами-депутатами та міським головою здійснив більше 5 поїздок на схід України до наших підрозділів, де проходять службу жителі Луцької громади. Під час цих поїздок передавалася військова допомога, техніка, транспорт, засоби зв’язку та інше необхідне обладнання для виконання бойових завдань.</w:t>
      </w:r>
    </w:p>
    <w:p w14:paraId="5F904012" w14:textId="0356B6C5" w:rsidR="00987CCB" w:rsidRDefault="000C2784">
      <w:pPr>
        <w:spacing w:after="120" w:line="283" w:lineRule="auto"/>
        <w:jc w:val="both"/>
      </w:pPr>
      <w:r>
        <w:t xml:space="preserve">За офіційними підсумками року на підтримку сил безпеки та оборони з бюджету громади </w:t>
      </w:r>
      <w:proofErr w:type="spellStart"/>
      <w:r>
        <w:t>було</w:t>
      </w:r>
      <w:proofErr w:type="spellEnd"/>
      <w:r>
        <w:t xml:space="preserve"> </w:t>
      </w:r>
      <w:proofErr w:type="spellStart"/>
      <w:r>
        <w:t>використано</w:t>
      </w:r>
      <w:proofErr w:type="spellEnd"/>
      <w:r>
        <w:t xml:space="preserve"> 267 068,4</w:t>
      </w:r>
      <w:r w:rsidR="00405F64">
        <w:rPr>
          <w:lang w:val="uk-UA"/>
        </w:rPr>
        <w:t>млн</w:t>
      </w:r>
      <w:r>
        <w:t>. грн. Допомогу отримала 101 військова частина.</w:t>
      </w:r>
    </w:p>
    <w:p w14:paraId="3BF6EA93" w14:textId="77777777" w:rsidR="00987CCB" w:rsidRDefault="000C2784">
      <w:pPr>
        <w:pStyle w:val="ListBullet"/>
        <w:spacing w:after="40" w:line="269" w:lineRule="auto"/>
        <w:jc w:val="both"/>
      </w:pPr>
      <w:r>
        <w:rPr>
          <w:sz w:val="23"/>
        </w:rPr>
        <w:t>1087 FPV-дронів;</w:t>
      </w:r>
    </w:p>
    <w:p w14:paraId="0A91E2CC" w14:textId="77777777" w:rsidR="00987CCB" w:rsidRDefault="000C2784">
      <w:pPr>
        <w:pStyle w:val="ListBullet"/>
        <w:spacing w:after="40" w:line="269" w:lineRule="auto"/>
        <w:jc w:val="both"/>
      </w:pPr>
      <w:r>
        <w:rPr>
          <w:sz w:val="23"/>
        </w:rPr>
        <w:t>594 квадрокоптери;</w:t>
      </w:r>
    </w:p>
    <w:p w14:paraId="19B653F9" w14:textId="77777777" w:rsidR="00987CCB" w:rsidRDefault="000C2784">
      <w:pPr>
        <w:pStyle w:val="ListBullet"/>
        <w:spacing w:after="40" w:line="269" w:lineRule="auto"/>
        <w:jc w:val="both"/>
      </w:pPr>
      <w:r>
        <w:rPr>
          <w:sz w:val="23"/>
        </w:rPr>
        <w:t>68 засобів протидії БПЛА;</w:t>
      </w:r>
    </w:p>
    <w:p w14:paraId="02C04337" w14:textId="77777777" w:rsidR="00987CCB" w:rsidRDefault="000C2784">
      <w:pPr>
        <w:pStyle w:val="ListBullet"/>
        <w:spacing w:after="40" w:line="269" w:lineRule="auto"/>
        <w:jc w:val="both"/>
      </w:pPr>
      <w:r>
        <w:rPr>
          <w:sz w:val="23"/>
        </w:rPr>
        <w:t>236 комплектів Starlink;</w:t>
      </w:r>
    </w:p>
    <w:p w14:paraId="24DF3A99" w14:textId="77777777" w:rsidR="00987CCB" w:rsidRDefault="000C2784">
      <w:pPr>
        <w:pStyle w:val="ListBullet"/>
        <w:spacing w:after="40" w:line="269" w:lineRule="auto"/>
        <w:jc w:val="both"/>
      </w:pPr>
      <w:r>
        <w:rPr>
          <w:sz w:val="23"/>
        </w:rPr>
        <w:t>21 автомобіль Mitsubishi L200.</w:t>
      </w:r>
    </w:p>
    <w:p w14:paraId="22D7BA1B" w14:textId="77777777" w:rsidR="00987CCB" w:rsidRDefault="00987CCB"/>
    <w:p w14:paraId="490B62F8" w14:textId="77777777" w:rsidR="00987CCB" w:rsidRDefault="000C2784">
      <w:pPr>
        <w:pStyle w:val="Heading1"/>
      </w:pPr>
      <w:r>
        <w:t>Робота щодо залучення допомоги та взаємодії з донорами для ДКП «Луцьктепло»</w:t>
      </w:r>
    </w:p>
    <w:p w14:paraId="54E090AB" w14:textId="77777777" w:rsidR="00987CCB" w:rsidRDefault="000C2784">
      <w:pPr>
        <w:spacing w:after="120" w:line="283" w:lineRule="auto"/>
        <w:jc w:val="both"/>
      </w:pPr>
      <w:r>
        <w:t>Окремим напрямом моєї роботи у 2025 році було сприяння забезпеченню взаємодії з міжнародними донорами та партнерами для підтримки і модернізації ДКП «Луцьктепло». Як голова профільної комісії, я приділяв увагу тому, щоб питання стійкості теплопостачання, резервного живлення, модернізації мереж і котелень, а також залучення зовнішнього фінансування та міжнародної технічної допомоги були в постійному полі контролю.</w:t>
      </w:r>
    </w:p>
    <w:p w14:paraId="461AE263" w14:textId="77777777" w:rsidR="00987CCB" w:rsidRDefault="000C2784">
      <w:pPr>
        <w:spacing w:after="120" w:line="283" w:lineRule="auto"/>
        <w:jc w:val="both"/>
      </w:pPr>
      <w:r>
        <w:t>У результаті цієї роботи підприємство посилило резервні можливості на випадок блекаутів, оновило мережі, зменшило втрати в системі теплопостачання та підвищило готовність громади до проходження опалювального сезону 2025/2026 років.</w:t>
      </w:r>
    </w:p>
    <w:p w14:paraId="106BC9E2" w14:textId="77777777" w:rsidR="00987CCB" w:rsidRDefault="000C2784">
      <w:pPr>
        <w:pStyle w:val="ListBullet"/>
        <w:spacing w:after="40" w:line="269" w:lineRule="auto"/>
        <w:jc w:val="both"/>
      </w:pPr>
      <w:r>
        <w:rPr>
          <w:sz w:val="23"/>
        </w:rPr>
        <w:t>капітально відремонтовано 2828,9 м теплових мереж із заміною зношених труб на попередньоізольовані;</w:t>
      </w:r>
    </w:p>
    <w:p w14:paraId="122C9562" w14:textId="77777777" w:rsidR="00987CCB" w:rsidRDefault="000C2784">
      <w:pPr>
        <w:pStyle w:val="ListBullet"/>
        <w:spacing w:after="40" w:line="269" w:lineRule="auto"/>
        <w:jc w:val="both"/>
      </w:pPr>
      <w:r>
        <w:rPr>
          <w:sz w:val="23"/>
        </w:rPr>
        <w:t>відновлено теплову ізоляцію трубопроводу діаметром 630 мм протяжністю 256 м у двотрубному обчисленні;</w:t>
      </w:r>
    </w:p>
    <w:p w14:paraId="536B7F81" w14:textId="77777777" w:rsidR="00987CCB" w:rsidRDefault="000C2784">
      <w:pPr>
        <w:pStyle w:val="ListBullet"/>
        <w:spacing w:after="40" w:line="269" w:lineRule="auto"/>
        <w:jc w:val="both"/>
      </w:pPr>
      <w:r>
        <w:rPr>
          <w:sz w:val="23"/>
        </w:rPr>
        <w:t>завершено реконструкцію котельні на вул. Ранковій із повною заміною обладнання;</w:t>
      </w:r>
    </w:p>
    <w:p w14:paraId="5E076CD3" w14:textId="77777777" w:rsidR="00987CCB" w:rsidRDefault="000C2784">
      <w:pPr>
        <w:pStyle w:val="ListBullet"/>
        <w:spacing w:after="40" w:line="269" w:lineRule="auto"/>
        <w:jc w:val="both"/>
      </w:pPr>
      <w:r>
        <w:rPr>
          <w:sz w:val="23"/>
        </w:rPr>
        <w:t>проведено автоматизацію та диспетчеризацію 5 центральних теплових пунктів;</w:t>
      </w:r>
    </w:p>
    <w:p w14:paraId="5DE6C93F" w14:textId="77777777" w:rsidR="00987CCB" w:rsidRDefault="000C2784">
      <w:pPr>
        <w:pStyle w:val="ListBullet"/>
        <w:spacing w:after="40" w:line="269" w:lineRule="auto"/>
        <w:jc w:val="both"/>
      </w:pPr>
      <w:r>
        <w:rPr>
          <w:sz w:val="23"/>
        </w:rPr>
        <w:t xml:space="preserve">усі джерела теплопостачання забезпечено 46 генераторами </w:t>
      </w:r>
      <w:r>
        <w:rPr>
          <w:sz w:val="23"/>
        </w:rPr>
        <w:t>резервного живлення;</w:t>
      </w:r>
    </w:p>
    <w:p w14:paraId="79C3539E" w14:textId="77777777" w:rsidR="00987CCB" w:rsidRDefault="000C2784">
      <w:pPr>
        <w:pStyle w:val="ListBullet"/>
        <w:spacing w:after="40" w:line="269" w:lineRule="auto"/>
        <w:jc w:val="both"/>
      </w:pPr>
      <w:r>
        <w:rPr>
          <w:sz w:val="23"/>
        </w:rPr>
        <w:t>експлуатувалися 2 когенераційні установки потужністю 530 кВт і 350 кВт;</w:t>
      </w:r>
    </w:p>
    <w:p w14:paraId="556BDD84" w14:textId="77777777" w:rsidR="00987CCB" w:rsidRDefault="000C2784">
      <w:pPr>
        <w:pStyle w:val="ListBullet"/>
        <w:spacing w:after="40" w:line="269" w:lineRule="auto"/>
        <w:jc w:val="both"/>
      </w:pPr>
      <w:r>
        <w:rPr>
          <w:sz w:val="23"/>
        </w:rPr>
        <w:t>отримано від GIZ когенераційну установку AVUS 500 plus NG потужністю 0,6 МВт електричної та 0,6 МВт теплової енергії;</w:t>
      </w:r>
    </w:p>
    <w:p w14:paraId="261DFA3B" w14:textId="77777777" w:rsidR="00987CCB" w:rsidRDefault="000C2784">
      <w:pPr>
        <w:pStyle w:val="ListBullet"/>
        <w:spacing w:after="40" w:line="269" w:lineRule="auto"/>
        <w:jc w:val="both"/>
      </w:pPr>
      <w:r>
        <w:rPr>
          <w:sz w:val="23"/>
        </w:rPr>
        <w:t xml:space="preserve">продовжувалася реалізація проєкту «Модернізація системи теплопостачання у м. Луцьк – Фаза ІІ» із </w:t>
      </w:r>
      <w:proofErr w:type="spellStart"/>
      <w:r>
        <w:rPr>
          <w:sz w:val="23"/>
        </w:rPr>
        <w:t>бюджетом</w:t>
      </w:r>
      <w:proofErr w:type="spellEnd"/>
      <w:r>
        <w:rPr>
          <w:sz w:val="23"/>
        </w:rPr>
        <w:t xml:space="preserve"> 15,7 </w:t>
      </w:r>
      <w:proofErr w:type="spellStart"/>
      <w:r>
        <w:rPr>
          <w:sz w:val="23"/>
        </w:rPr>
        <w:t>млн</w:t>
      </w:r>
      <w:proofErr w:type="spellEnd"/>
      <w:r>
        <w:rPr>
          <w:sz w:val="23"/>
        </w:rPr>
        <w:t xml:space="preserve"> </w:t>
      </w:r>
      <w:proofErr w:type="spellStart"/>
      <w:proofErr w:type="gramStart"/>
      <w:r>
        <w:rPr>
          <w:sz w:val="23"/>
        </w:rPr>
        <w:t>євро</w:t>
      </w:r>
      <w:proofErr w:type="spellEnd"/>
      <w:r>
        <w:rPr>
          <w:sz w:val="23"/>
        </w:rPr>
        <w:t>;</w:t>
      </w:r>
      <w:proofErr w:type="gramEnd"/>
    </w:p>
    <w:p w14:paraId="24EAF356" w14:textId="77777777" w:rsidR="00987CCB" w:rsidRDefault="000C2784">
      <w:pPr>
        <w:pStyle w:val="Heading1"/>
      </w:pPr>
      <w:proofErr w:type="spellStart"/>
      <w:r>
        <w:t>Мої</w:t>
      </w:r>
      <w:proofErr w:type="spellEnd"/>
      <w:r>
        <w:t xml:space="preserve"> </w:t>
      </w:r>
      <w:proofErr w:type="spellStart"/>
      <w:r>
        <w:t>депутатські</w:t>
      </w:r>
      <w:proofErr w:type="spellEnd"/>
      <w:r>
        <w:t xml:space="preserve"> </w:t>
      </w:r>
      <w:proofErr w:type="spellStart"/>
      <w:r>
        <w:t>запити</w:t>
      </w:r>
      <w:proofErr w:type="spellEnd"/>
      <w:r>
        <w:t xml:space="preserve"> </w:t>
      </w:r>
      <w:proofErr w:type="spellStart"/>
      <w:r>
        <w:t>та</w:t>
      </w:r>
      <w:proofErr w:type="spellEnd"/>
      <w:r>
        <w:t xml:space="preserve"> звернення</w:t>
      </w:r>
    </w:p>
    <w:p w14:paraId="6485F971" w14:textId="77777777" w:rsidR="00987CCB" w:rsidRDefault="000C2784">
      <w:pPr>
        <w:spacing w:after="120" w:line="283" w:lineRule="auto"/>
        <w:jc w:val="both"/>
      </w:pPr>
      <w:r>
        <w:t>У</w:t>
      </w:r>
      <w:r>
        <w:t xml:space="preserve"> 2025 </w:t>
      </w:r>
      <w:proofErr w:type="spellStart"/>
      <w:r>
        <w:t>році</w:t>
      </w:r>
      <w:proofErr w:type="spellEnd"/>
      <w:r>
        <w:t xml:space="preserve"> я використовував інструменти депутатського контролю для реагування на питання, важливі для громади, зокрема у сфері інфраструктури, охорони культурної спадщини, містобудування та функціонування комунального господарства.</w:t>
      </w:r>
    </w:p>
    <w:p w14:paraId="02BF3DAB" w14:textId="77777777" w:rsidR="00987CCB" w:rsidRDefault="000C2784">
      <w:pPr>
        <w:spacing w:after="120" w:line="283" w:lineRule="auto"/>
        <w:jc w:val="both"/>
      </w:pPr>
      <w:r>
        <w:t>Серед публічно зафіксованих ініціатив — депутатський запит щодо проведення перевірки стану утримання пам’ятки культурної спадщини місцевого значення за адресою: м. Луцьк, вул. Плитниця, 7. Окремо впродовж року мною готувалися звернення і позиції щодо забудови в старому місті, збереження історичного ареалу, контролю за містобудівними рішеннями та реагування на проблеми інфраструктури в межах громади.</w:t>
      </w:r>
    </w:p>
    <w:p w14:paraId="7DAD85E2" w14:textId="77777777" w:rsidR="00987CCB" w:rsidRDefault="000C2784">
      <w:pPr>
        <w:pStyle w:val="Heading1"/>
      </w:pPr>
      <w:r>
        <w:t>Мої проєкти рішень та ініціативи</w:t>
      </w:r>
    </w:p>
    <w:p w14:paraId="04F63B39" w14:textId="77777777" w:rsidR="00987CCB" w:rsidRDefault="000C2784">
      <w:pPr>
        <w:spacing w:after="120" w:line="283" w:lineRule="auto"/>
        <w:jc w:val="both"/>
      </w:pPr>
      <w:r>
        <w:t xml:space="preserve">У 2025 році я був залучений до підготовки, представлення та просування низки </w:t>
      </w:r>
      <w:r>
        <w:t>проєктів рішень, що стосувалися стратегічного розвитку громади, економічної політики, історичного середовища та питань державницького значення.</w:t>
      </w:r>
    </w:p>
    <w:p w14:paraId="754AB75F" w14:textId="77777777" w:rsidR="00987CCB" w:rsidRDefault="000C2784">
      <w:pPr>
        <w:pStyle w:val="ListBullet"/>
        <w:spacing w:after="40" w:line="269" w:lineRule="auto"/>
        <w:jc w:val="both"/>
      </w:pPr>
      <w:r>
        <w:rPr>
          <w:sz w:val="23"/>
        </w:rPr>
        <w:t>про створення та впровадження цифрової платформи моніторингу реалізації Стратегії розвитку Луцької міської територіальної громади до 2030 року;</w:t>
      </w:r>
    </w:p>
    <w:p w14:paraId="4E69A428" w14:textId="77777777" w:rsidR="00987CCB" w:rsidRDefault="000C2784">
      <w:pPr>
        <w:pStyle w:val="ListBullet"/>
        <w:spacing w:after="40" w:line="269" w:lineRule="auto"/>
        <w:jc w:val="both"/>
      </w:pPr>
      <w:r>
        <w:rPr>
          <w:sz w:val="23"/>
        </w:rPr>
        <w:t>про внесення змін та доповнень до системи індикаторів моніторингу реалізації Стратегії розвитку Луцької міської територіальної громади до 2030 року;</w:t>
      </w:r>
    </w:p>
    <w:p w14:paraId="45CB7AE8" w14:textId="77777777" w:rsidR="00987CCB" w:rsidRDefault="000C2784">
      <w:pPr>
        <w:pStyle w:val="ListBullet"/>
        <w:spacing w:after="40" w:line="269" w:lineRule="auto"/>
        <w:jc w:val="both"/>
      </w:pPr>
      <w:r>
        <w:rPr>
          <w:sz w:val="23"/>
        </w:rPr>
        <w:t>про надання податкових пільг для резидентів індустріального парку;</w:t>
      </w:r>
    </w:p>
    <w:p w14:paraId="2A36F119" w14:textId="77777777" w:rsidR="00987CCB" w:rsidRDefault="000C2784">
      <w:pPr>
        <w:pStyle w:val="ListBullet"/>
        <w:spacing w:after="40" w:line="269" w:lineRule="auto"/>
        <w:jc w:val="both"/>
      </w:pPr>
      <w:r>
        <w:rPr>
          <w:sz w:val="23"/>
        </w:rPr>
        <w:t>про створення робочої групи з розробки Стратегії розвитку історичного кварталу міста Луцька;</w:t>
      </w:r>
    </w:p>
    <w:p w14:paraId="18CC0541" w14:textId="77777777" w:rsidR="00987CCB" w:rsidRDefault="000C2784">
      <w:pPr>
        <w:pStyle w:val="ListBullet"/>
        <w:spacing w:after="40" w:line="269" w:lineRule="auto"/>
        <w:jc w:val="both"/>
      </w:pPr>
      <w:r>
        <w:rPr>
          <w:sz w:val="23"/>
        </w:rPr>
        <w:t>про продовження терміну роботи робочої групи з розроблення Стратегії розвитку історичного кварталу міста Луцька;</w:t>
      </w:r>
    </w:p>
    <w:p w14:paraId="65F258CA" w14:textId="77777777" w:rsidR="00987CCB" w:rsidRDefault="000C2784">
      <w:pPr>
        <w:pStyle w:val="ListBullet"/>
        <w:spacing w:after="40" w:line="269" w:lineRule="auto"/>
        <w:jc w:val="both"/>
      </w:pPr>
      <w:r>
        <w:rPr>
          <w:sz w:val="23"/>
        </w:rPr>
        <w:t>про звернення щодо підтримки Президента України та державної єдності.</w:t>
      </w:r>
    </w:p>
    <w:p w14:paraId="1D4536D8" w14:textId="77777777" w:rsidR="00987CCB" w:rsidRDefault="00987CCB"/>
    <w:p w14:paraId="0355C0CF" w14:textId="77777777" w:rsidR="00987CCB" w:rsidRDefault="000C2784">
      <w:pPr>
        <w:pStyle w:val="Heading1"/>
      </w:pPr>
      <w:r>
        <w:t>Чого саме стосувалися мої ініціативи</w:t>
      </w:r>
    </w:p>
    <w:p w14:paraId="0BD26B7E" w14:textId="77777777" w:rsidR="00987CCB" w:rsidRDefault="000C2784">
      <w:pPr>
        <w:spacing w:after="120" w:line="283" w:lineRule="auto"/>
        <w:jc w:val="both"/>
      </w:pPr>
      <w:r>
        <w:t>Мої проєкти рішень, пропозиції та зміни до проєктів рішень були спрямовані на вдосконалення системи контролю за виконанням стратегічних документів, на підтримку економічного розвитку громади, на формування окремої рамки для розвитку історичного кварталу, а також на посилення контрольної функції депутатського корпусу у сфері комунального господарства, енергетики, містобудування та збереження культурної спадщини.</w:t>
      </w:r>
    </w:p>
    <w:p w14:paraId="22726D48" w14:textId="77777777" w:rsidR="00987CCB" w:rsidRDefault="000C2784">
      <w:pPr>
        <w:pStyle w:val="Heading1"/>
      </w:pPr>
      <w:r>
        <w:t>Підсумок</w:t>
      </w:r>
    </w:p>
    <w:p w14:paraId="1AD738F4" w14:textId="77777777" w:rsidR="00987CCB" w:rsidRDefault="000C2784">
      <w:pPr>
        <w:spacing w:after="120" w:line="283" w:lineRule="auto"/>
        <w:jc w:val="both"/>
      </w:pPr>
      <w:r>
        <w:t>У 2025 році моя депутатська діяльність була спрямована на поєднання контролю, стратегічного бачення і практичного результату. Для мене принципово важливо, щоб рішення міської ради були не формальні, а змістовні; не ситуативні, а системні; не політично зручні, а корисні для громади.</w:t>
      </w:r>
    </w:p>
    <w:p w14:paraId="4DB09B4B" w14:textId="77777777" w:rsidR="00987CCB" w:rsidRDefault="000C2784">
      <w:pPr>
        <w:spacing w:after="120" w:line="283" w:lineRule="auto"/>
        <w:jc w:val="both"/>
      </w:pPr>
      <w:r>
        <w:t>Дякую жителям Луцької міської територіальної громади за довіру, звернення, зауваження та підтримку.</w:t>
      </w:r>
    </w:p>
    <w:p w14:paraId="0B425DFF" w14:textId="35C60F57" w:rsidR="00987CCB" w:rsidRDefault="00987CCB">
      <w:pPr>
        <w:spacing w:before="80" w:after="0"/>
      </w:pPr>
    </w:p>
    <w:sectPr w:rsidR="00987CCB" w:rsidSect="00034616">
      <w:headerReference w:type="default" r:id="rId8"/>
      <w:footerReference w:type="default" r:id="rId9"/>
      <w:pgSz w:w="12240" w:h="15840"/>
      <w:pgMar w:top="1247" w:right="113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EB83" w14:textId="77777777" w:rsidR="000C2784" w:rsidRDefault="000C2784">
      <w:pPr>
        <w:spacing w:after="0" w:line="240" w:lineRule="auto"/>
      </w:pPr>
      <w:r>
        <w:separator/>
      </w:r>
    </w:p>
  </w:endnote>
  <w:endnote w:type="continuationSeparator" w:id="0">
    <w:p w14:paraId="50B37FA2" w14:textId="77777777" w:rsidR="000C2784" w:rsidRDefault="000C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B30E" w14:textId="77777777" w:rsidR="00987CCB" w:rsidRDefault="000C2784">
    <w:pPr>
      <w:pStyle w:val="Footer"/>
      <w:jc w:val="center"/>
    </w:pPr>
    <w:r>
      <w:rPr>
        <w:sz w:val="18"/>
      </w:rPr>
      <w:t xml:space="preserve">Сторінка </w:t>
    </w:r>
    <w:r>
      <w:fldChar w:fldCharType="begin"/>
    </w:r>
    <w:r>
      <w:instrText>PAGE</w:instrText>
    </w:r>
    <w:r w:rsidR="00405F64">
      <w:fldChar w:fldCharType="separate"/>
    </w:r>
    <w:r w:rsidR="00405F6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04FE" w14:textId="77777777" w:rsidR="000C2784" w:rsidRDefault="000C2784">
      <w:pPr>
        <w:spacing w:after="0" w:line="240" w:lineRule="auto"/>
      </w:pPr>
      <w:r>
        <w:separator/>
      </w:r>
    </w:p>
  </w:footnote>
  <w:footnote w:type="continuationSeparator" w:id="0">
    <w:p w14:paraId="27F8182C" w14:textId="77777777" w:rsidR="000C2784" w:rsidRDefault="000C2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CF66" w14:textId="77777777" w:rsidR="00987CCB" w:rsidRDefault="000C2784">
    <w:pPr>
      <w:pStyle w:val="Header"/>
      <w:jc w:val="right"/>
    </w:pPr>
    <w:r>
      <w:rPr>
        <w:i/>
        <w:color w:val="646464"/>
        <w:sz w:val="18"/>
      </w:rPr>
      <w:t>Луцька міська рада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9720111">
    <w:abstractNumId w:val="8"/>
  </w:num>
  <w:num w:numId="2" w16cid:durableId="1930649376">
    <w:abstractNumId w:val="6"/>
  </w:num>
  <w:num w:numId="3" w16cid:durableId="1446267061">
    <w:abstractNumId w:val="5"/>
  </w:num>
  <w:num w:numId="4" w16cid:durableId="1066496323">
    <w:abstractNumId w:val="4"/>
  </w:num>
  <w:num w:numId="5" w16cid:durableId="772744907">
    <w:abstractNumId w:val="7"/>
  </w:num>
  <w:num w:numId="6" w16cid:durableId="90900190">
    <w:abstractNumId w:val="3"/>
  </w:num>
  <w:num w:numId="7" w16cid:durableId="1897162090">
    <w:abstractNumId w:val="2"/>
  </w:num>
  <w:num w:numId="8" w16cid:durableId="599869847">
    <w:abstractNumId w:val="1"/>
  </w:num>
  <w:num w:numId="9" w16cid:durableId="86671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2784"/>
    <w:rsid w:val="0015074B"/>
    <w:rsid w:val="0029639D"/>
    <w:rsid w:val="00326F90"/>
    <w:rsid w:val="00405F64"/>
    <w:rsid w:val="0053231B"/>
    <w:rsid w:val="00987CC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8AB50"/>
  <w14:defaultImageDpi w14:val="300"/>
  <w15:docId w15:val="{634C8831-A26F-304A-BDEA-3352A9C6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83767"/>
      <w:sz w:val="27"/>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83767"/>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 Title"/>
    <w:basedOn w:val="Title"/>
    <w:rPr>
      <w:rFonts w:ascii="Times New Roman" w:eastAsia="Times New Roman" w:hAnsi="Times New Roman"/>
      <w:b/>
      <w:color w:val="183767"/>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