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F8888" w14:textId="297CD845" w:rsidR="00A119C1" w:rsidRPr="00A119C1" w:rsidRDefault="00A119C1" w:rsidP="00141C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Бондаря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Віталія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Олексійовича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D337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</w:p>
    <w:p w14:paraId="1EA57E3C" w14:textId="23C98FA8" w:rsidR="00A119C1" w:rsidRPr="00A119C1" w:rsidRDefault="00A119C1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2020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обраний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депутатом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ізації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МАЙБУТНЄ»  –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виборчому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окрузі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5.</w:t>
      </w:r>
    </w:p>
    <w:p w14:paraId="4DE87972" w14:textId="77777777" w:rsidR="00A119C1" w:rsidRPr="00A119C1" w:rsidRDefault="00A119C1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Є членом 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з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материнства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дитинства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науки,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F41B79" w14:textId="516CD8FF" w:rsidR="00CA5FDA" w:rsidRDefault="00A119C1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час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розглядались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медициною, культурою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МТГ.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приділяли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зверненням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реформ у </w:t>
      </w:r>
      <w:proofErr w:type="spellStart"/>
      <w:r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галузі</w:t>
      </w:r>
      <w:proofErr w:type="spellEnd"/>
      <w:r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дошкільної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безпечного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закладах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</w:t>
      </w:r>
      <w:r w:rsidR="00D337C6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забезпечено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в офлайн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завдяки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облаштованим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найпростішим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укриттям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ПРУ, з них 14 в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орендованих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приміщеннях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Підтримуються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незламності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27 закладах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обігріву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36 закладах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дошкільної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</w:p>
    <w:p w14:paraId="5CBDAF42" w14:textId="32AB6C96" w:rsidR="00B51059" w:rsidRPr="00874E3B" w:rsidRDefault="00B51059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приділяв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опрацюванню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70D2404" w14:textId="459393AC" w:rsidR="00F960C5" w:rsidRPr="003679AC" w:rsidRDefault="003679AC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депутат і як директор департаменту освіти ініціював підняття оплати за престижність педагогічної праці та організовував  надання якісних освітніх послуг у закладах освіти нашої громади.</w:t>
      </w:r>
    </w:p>
    <w:p w14:paraId="2C8AD1D5" w14:textId="764D6905" w:rsidR="00AC1793" w:rsidRPr="00874E3B" w:rsidRDefault="00F960C5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="00C118D8"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У 202</w:t>
      </w:r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118D8"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118D8"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</w:t>
      </w:r>
      <w:proofErr w:type="gramStart"/>
      <w:r w:rsidR="00C118D8"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="00C118D8"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плану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для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покращення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матеріально-технічної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виконуються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A09764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виконана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діагностика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перезарядка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вогнегасників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закладах;</w:t>
      </w:r>
    </w:p>
    <w:p w14:paraId="7FDCCE50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виконана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повірка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тепла, води, газу;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манометрів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сигналізаторів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газу; чистка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димоходів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запірної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теплоізоляції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опалення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гарячого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водопостачання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E3BDFC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виконана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повірка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індивідуального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(ЗІ</w:t>
      </w:r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електроінструменту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FC4E2E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проводиться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електрощитових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усунуті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власними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силами та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іалізованими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</w:t>
      </w:r>
    </w:p>
    <w:p w14:paraId="4D500830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ілактичне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захисного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ізоляції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електрообладнання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56EC3D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станом на 31.12.2025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ідключення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генераторів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електромереж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обігріву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 №№ 1, 3, 4, 5, 6, 7, 10, 11, 12, 13, 14, 18, 19, 21, 22, 23, 24, 27, 28, 29, 31, 32, 33, 34, 35, 37, 38, 39, 40;</w:t>
      </w:r>
    </w:p>
    <w:p w14:paraId="2BB1889F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котелень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паливних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ЗЗСО №№ 7, 32, 35, 37, 39;     ЗДО №№ 12, 18, 42, 46, 47, 48, КДЮСШ  № 1;</w:t>
      </w:r>
    </w:p>
    <w:p w14:paraId="54D318E6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котелень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ЗЗСО №№ 29, 30, 37 та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реконструкцію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газопостачання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 № 26 на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3 411 368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6F00ED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влаштування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майданчика</w:t>
      </w:r>
      <w:proofErr w:type="spellEnd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ЗЗСО № 31 на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суму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1 435 000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8367FA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виконані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харчоблокі</w:t>
      </w:r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обідніх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ЗЗСО №№ 12, 23, 26, ЗДО №№ 6, 22, 44 на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суму 7 252 965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E38C087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санвузлів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 ЗЗСО №№ 3, 4, 10, 17, 23, 24, 26 ЗДО № 1,12,15,25,30,41 на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суму 2 614 689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3EEBA9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капітального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ремонту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басейну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ЗЗСО № 26 на суму 1 484 698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E38C89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 (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електропостачання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тепл</w:t>
      </w:r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водопостачання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каналізації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ЗЗСО №№3, 7, 9, 13, 15, 19, 21, 23, 24, 25, 26, 35, 37 ЗДО №№ 1, 2, 3, 4, 5, 6, 7, 9, 10, 11, 14, 17, 18, 19, 20, 21, 22, 23, 24, 26, 27, 28, 29,  30, 33, 37, 38, 39, 40, 42, 46 ,49 , ПУМ на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суму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7 246 756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932AF4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вікон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дверей у ЗЗСО №№ 2, 3, 5, 10, 12, 15, 17, 19, 22, 24, 26, ЗДО №№  3, 7, 12, 18, 21, 27, 32, 35, 37, 45 , НРЦ, ПУМ на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4 155 621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E39B8C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ідвальних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найпростіших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укриттів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суму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2 016 970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732 178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D31995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харчоблоку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ЗЗСО № 3,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пралень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харчоблоків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 на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870 000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9894D29" w14:textId="0BAEF701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ганків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тіньових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навісів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майстерень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групових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музичних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</w:t>
      </w:r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ЗЗСО, ЗДО. Та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7B7ABA" w14:textId="52468D92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2025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 </w:t>
      </w:r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14:paraId="1720B822" w14:textId="77777777" w:rsidR="00F960C5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Продовжується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енергосервісних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CB0D39" w14:textId="09A932F0" w:rsidR="00AC1793" w:rsidRPr="00874E3B" w:rsidRDefault="00F960C5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дійснюється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енергосервісу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34 закладах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Розробляється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ПКД на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сонячних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електростанцій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ЗЗСО №№ 3, 14, 15, 27, ЗДО №№ 6, 17, 25, 37 КДЮСШ № 1; у ЗЗСО № 21 та ЗДО № 26 СЕС </w:t>
      </w:r>
      <w:proofErr w:type="spellStart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="00AC179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CE77AC" w14:textId="389613D3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2025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заощаджено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4049 Гкал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4825 куб. м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гарячої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води, 35 739 куб. м газу.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економії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енергоносіїв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склало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12,94 </w:t>
      </w:r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14:paraId="18D1E8AA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здійснювалися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для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шкільних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напротязі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p w14:paraId="47D779E1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06B8874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За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субвенції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бюджету та 1,7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мільйона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співфінансування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новий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 Богдан 22412 з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іальними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можливостями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обмеженими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можливостями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85E8A35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експлуатацію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КТЗ для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ідвозу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них один автобус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новий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E8D258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Проводилось 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шкільних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світлі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великогабаритних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регулярного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підвезення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7DA518F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- ОТК (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обов’язковий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ічний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контроль) 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чотирнадцяти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графіком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ОТК); </w:t>
      </w:r>
    </w:p>
    <w:p w14:paraId="0D77C1C1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(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на СТО у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пробігом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50C4AE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автобусі</w:t>
      </w:r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Богдан А22412 – 4 шт.;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Solaris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Urbino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– 2 шт.;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Еталон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А08116Ш – 1шт.</w:t>
      </w:r>
    </w:p>
    <w:p w14:paraId="23963090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автобусі</w:t>
      </w:r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D1C6A0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стоянок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щоденний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технічний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рейсів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водієм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передрейсового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післярейсового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Забезпечується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BDB873" w14:textId="77777777" w:rsidR="00AC1793" w:rsidRPr="00874E3B" w:rsidRDefault="00AC1793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організовувались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проводились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нерегулярні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ідвезення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оздоровчих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екскурсійних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гуманітарних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цілях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0E42CE" w14:textId="38DD46CF" w:rsidR="00A119C1" w:rsidRPr="00A119C1" w:rsidRDefault="00A119C1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Долучений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="003679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="003679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gramEnd"/>
      <w:r w:rsidR="003679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ізних</w:t>
      </w: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комісій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координуються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</w:t>
      </w:r>
      <w:proofErr w:type="spellEnd"/>
      <w:r w:rsidR="003679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</w:t>
      </w:r>
      <w:proofErr w:type="spellEnd"/>
      <w:r w:rsidR="003679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</w:t>
      </w:r>
      <w:proofErr w:type="spellStart"/>
      <w:r w:rsidR="003679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ою</w:t>
      </w:r>
      <w:proofErr w:type="spellEnd"/>
      <w:r w:rsidR="003679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22259AC6" w14:textId="324EC0C9" w:rsidR="00A119C1" w:rsidRPr="00A119C1" w:rsidRDefault="00A119C1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участь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сесійних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ЛМР,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депутата для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з’ясування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AF71C7" w14:textId="5E53C79B" w:rsidR="00A119C1" w:rsidRPr="00A119C1" w:rsidRDefault="00A119C1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Долучався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облаштування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прибудинков</w:t>
      </w:r>
      <w:r w:rsidR="00D064E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</w:t>
      </w:r>
      <w:r w:rsidR="00D064E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="00D064E3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FFF04C" w14:textId="64C888E2" w:rsidR="00A119C1" w:rsidRPr="00A119C1" w:rsidRDefault="00A119C1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фахівець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участь </w:t>
      </w:r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колегії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44457C" w14:textId="6647C565" w:rsidR="001A75E5" w:rsidRPr="00874E3B" w:rsidRDefault="00A119C1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01.07.2021 року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очолюю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ради.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Упродовж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установи,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ідпорядковані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працювали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якісне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позашкільної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позашкільну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ініціатором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дали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норм чинного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Приведено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шкільних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приєднані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МТГ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 директор департаменту та депутат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зініціював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енергоаудиту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раціонального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потреби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енергоносії</w:t>
      </w:r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1059"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706D4D" w14:textId="56735317" w:rsidR="002E7482" w:rsidRPr="00874E3B" w:rsidRDefault="00611F97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У 202</w:t>
      </w:r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A75E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</w:t>
      </w:r>
      <w:proofErr w:type="spellEnd"/>
      <w:r w:rsidR="001A75E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75E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школи</w:t>
      </w:r>
      <w:proofErr w:type="spellEnd"/>
      <w:r w:rsidR="001A75E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75E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нашої</w:t>
      </w:r>
      <w:proofErr w:type="spellEnd"/>
      <w:r w:rsidR="001A75E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75E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плетіння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маскувальних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сіток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ЗСУ. 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передано в </w:t>
      </w:r>
      <w:proofErr w:type="spellStart"/>
      <w:proofErr w:type="gram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ійськові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сіток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7</w:t>
      </w:r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16 200</w:t>
      </w:r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00.</w:t>
      </w:r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E4C1CA" w14:textId="56728725" w:rsidR="00A119C1" w:rsidRPr="00874E3B" w:rsidRDefault="00A119C1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Проводжу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розкладом</w:t>
      </w:r>
      <w:proofErr w:type="spellEnd"/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п’ятниця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м.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Шевченка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proofErr w:type="gramEnd"/>
      <w:r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Упродовж</w:t>
      </w:r>
      <w:proofErr w:type="spellEnd"/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="00F960C5" w:rsidRPr="008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до депутата.</w:t>
      </w:r>
    </w:p>
    <w:p w14:paraId="7B0BDE9D" w14:textId="77777777" w:rsidR="006201FF" w:rsidRPr="00874E3B" w:rsidRDefault="006201FF" w:rsidP="00874E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01FF" w:rsidRPr="00874E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3713"/>
    <w:multiLevelType w:val="hybridMultilevel"/>
    <w:tmpl w:val="1A42CA8C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9923B78"/>
    <w:multiLevelType w:val="hybridMultilevel"/>
    <w:tmpl w:val="5498BC0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1FAE08A0"/>
    <w:multiLevelType w:val="multilevel"/>
    <w:tmpl w:val="48CA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A01DB"/>
    <w:multiLevelType w:val="hybridMultilevel"/>
    <w:tmpl w:val="5E46F99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53077C03"/>
    <w:multiLevelType w:val="hybridMultilevel"/>
    <w:tmpl w:val="26A860AA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F5"/>
    <w:rsid w:val="00141C9A"/>
    <w:rsid w:val="001A75E5"/>
    <w:rsid w:val="002A294B"/>
    <w:rsid w:val="002E7482"/>
    <w:rsid w:val="003412D7"/>
    <w:rsid w:val="003679AC"/>
    <w:rsid w:val="003B74B9"/>
    <w:rsid w:val="003F58D6"/>
    <w:rsid w:val="0042604B"/>
    <w:rsid w:val="0046188B"/>
    <w:rsid w:val="004B769D"/>
    <w:rsid w:val="004C4FEC"/>
    <w:rsid w:val="004D2141"/>
    <w:rsid w:val="00507675"/>
    <w:rsid w:val="00605A86"/>
    <w:rsid w:val="00611F97"/>
    <w:rsid w:val="006201E8"/>
    <w:rsid w:val="006201FF"/>
    <w:rsid w:val="00634B9C"/>
    <w:rsid w:val="006761F5"/>
    <w:rsid w:val="00874E3B"/>
    <w:rsid w:val="008A40C5"/>
    <w:rsid w:val="008B7ABA"/>
    <w:rsid w:val="008D06CB"/>
    <w:rsid w:val="00A119C1"/>
    <w:rsid w:val="00AC1793"/>
    <w:rsid w:val="00B07FE0"/>
    <w:rsid w:val="00B51059"/>
    <w:rsid w:val="00B6163B"/>
    <w:rsid w:val="00B869C9"/>
    <w:rsid w:val="00C118D8"/>
    <w:rsid w:val="00C44CBC"/>
    <w:rsid w:val="00CA5FDA"/>
    <w:rsid w:val="00D064E3"/>
    <w:rsid w:val="00D337C6"/>
    <w:rsid w:val="00D94BE2"/>
    <w:rsid w:val="00E40341"/>
    <w:rsid w:val="00E71755"/>
    <w:rsid w:val="00ED34BA"/>
    <w:rsid w:val="00F0711B"/>
    <w:rsid w:val="00F430DC"/>
    <w:rsid w:val="00F9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5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DA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4">
    <w:name w:val="Normal (Web)"/>
    <w:basedOn w:val="a"/>
    <w:uiPriority w:val="99"/>
    <w:rsid w:val="00C118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DA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4">
    <w:name w:val="Normal (Web)"/>
    <w:basedOn w:val="a"/>
    <w:uiPriority w:val="99"/>
    <w:rsid w:val="00C118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5226</Words>
  <Characters>2979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K3-0</dc:creator>
  <cp:keywords/>
  <dc:description/>
  <cp:lastModifiedBy>Image&amp;Matros ®</cp:lastModifiedBy>
  <cp:revision>6</cp:revision>
  <cp:lastPrinted>2026-03-26T08:38:00Z</cp:lastPrinted>
  <dcterms:created xsi:type="dcterms:W3CDTF">2026-03-25T12:17:00Z</dcterms:created>
  <dcterms:modified xsi:type="dcterms:W3CDTF">2026-03-30T11:07:00Z</dcterms:modified>
</cp:coreProperties>
</file>