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D62" w:rsidRDefault="00170D62" w:rsidP="00556F3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70D62" w:rsidRDefault="00556F32" w:rsidP="00556F3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56F32">
        <w:rPr>
          <w:rFonts w:ascii="Times New Roman" w:hAnsi="Times New Roman" w:cs="Times New Roman"/>
          <w:b/>
          <w:sz w:val="32"/>
          <w:szCs w:val="32"/>
        </w:rPr>
        <w:t>Інформація про тематику ухвалених рішень</w:t>
      </w:r>
      <w:r w:rsidR="00170D62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C065B4" w:rsidRPr="00556F32" w:rsidRDefault="00170D62" w:rsidP="00556F3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виконавчого комітету міської ради</w:t>
      </w:r>
    </w:p>
    <w:p w:rsidR="001149E0" w:rsidRDefault="00556F32" w:rsidP="00556F3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556F32">
        <w:rPr>
          <w:rFonts w:ascii="Times New Roman" w:hAnsi="Times New Roman" w:cs="Times New Roman"/>
          <w:sz w:val="32"/>
          <w:szCs w:val="32"/>
        </w:rPr>
        <w:t>(</w:t>
      </w:r>
      <w:r w:rsidR="001A419E">
        <w:rPr>
          <w:rFonts w:ascii="Times New Roman" w:hAnsi="Times New Roman" w:cs="Times New Roman"/>
          <w:sz w:val="32"/>
          <w:szCs w:val="32"/>
        </w:rPr>
        <w:t>лютий</w:t>
      </w:r>
      <w:r w:rsidRPr="00556F32">
        <w:rPr>
          <w:rFonts w:ascii="Times New Roman" w:hAnsi="Times New Roman" w:cs="Times New Roman"/>
          <w:sz w:val="32"/>
          <w:szCs w:val="32"/>
        </w:rPr>
        <w:t xml:space="preserve"> 2021 року)</w:t>
      </w:r>
    </w:p>
    <w:p w:rsidR="00FE41D1" w:rsidRDefault="00FE41D1" w:rsidP="00556F3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FE41D1" w:rsidRDefault="00FE41D1" w:rsidP="00556F3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D149D">
        <w:rPr>
          <w:rFonts w:ascii="Times New Roman" w:hAnsi="Times New Roman" w:cs="Times New Roman"/>
          <w:noProof/>
          <w:color w:val="FF0000"/>
          <w:sz w:val="32"/>
          <w:szCs w:val="32"/>
          <w:lang w:eastAsia="uk-UA"/>
        </w:rPr>
        <w:drawing>
          <wp:inline distT="0" distB="0" distL="0" distR="0">
            <wp:extent cx="5753100" cy="4819650"/>
            <wp:effectExtent l="19050" t="0" r="1905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1F2F6A" w:rsidRDefault="001F2F6A" w:rsidP="001F2F6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sectPr w:rsidR="001F2F6A" w:rsidSect="00C065B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149E0"/>
    <w:rsid w:val="001149E0"/>
    <w:rsid w:val="00170D62"/>
    <w:rsid w:val="001A419E"/>
    <w:rsid w:val="001F2F6A"/>
    <w:rsid w:val="00367212"/>
    <w:rsid w:val="003A1415"/>
    <w:rsid w:val="00464DA8"/>
    <w:rsid w:val="004E38AE"/>
    <w:rsid w:val="00556F32"/>
    <w:rsid w:val="0067709F"/>
    <w:rsid w:val="007406EE"/>
    <w:rsid w:val="008B3128"/>
    <w:rsid w:val="009603D4"/>
    <w:rsid w:val="00AB413E"/>
    <w:rsid w:val="00BC741F"/>
    <w:rsid w:val="00C065B4"/>
    <w:rsid w:val="00C10693"/>
    <w:rsid w:val="00C6461A"/>
    <w:rsid w:val="00D17D5A"/>
    <w:rsid w:val="00D25582"/>
    <w:rsid w:val="00DD149D"/>
    <w:rsid w:val="00FE22B9"/>
    <w:rsid w:val="00FE41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5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uk-UA"/>
  <c:style val="39"/>
  <c:chart>
    <c:autoTitleDeleted val="1"/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dLbls>
            <c:txPr>
              <a:bodyPr/>
              <a:lstStyle/>
              <a:p>
                <a:pPr>
                  <a:defRPr sz="1200" b="1">
                    <a:solidFill>
                      <a:srgbClr val="7030A0"/>
                    </a:solidFill>
                  </a:defRPr>
                </a:pPr>
                <a:endParaRPr lang="uk-UA"/>
              </a:p>
            </c:txPr>
            <c:showVal val="1"/>
          </c:dLbls>
          <c:cat>
            <c:strRef>
              <c:f>Лист1!$A$2:$A$21</c:f>
              <c:strCache>
                <c:ptCount val="20"/>
                <c:pt idx="0">
                  <c:v>Захист прав та інтересів дітей</c:v>
                </c:pt>
                <c:pt idx="1">
                  <c:v>Підприємництво</c:v>
                </c:pt>
                <c:pt idx="2">
                  <c:v>Містобудуванняі торгівля</c:v>
                </c:pt>
                <c:pt idx="3">
                  <c:v>Транспорт</c:v>
                </c:pt>
                <c:pt idx="4">
                  <c:v>Благоустрій</c:v>
                </c:pt>
                <c:pt idx="5">
                  <c:v>Соціальна політика</c:v>
                </c:pt>
                <c:pt idx="6">
                  <c:v>Тарифи</c:v>
                </c:pt>
                <c:pt idx="7">
                  <c:v>Майно комунально власності</c:v>
                </c:pt>
                <c:pt idx="8">
                  <c:v>Реклама</c:v>
                </c:pt>
                <c:pt idx="9">
                  <c:v>Програма</c:v>
                </c:pt>
                <c:pt idx="10">
                  <c:v>Житлові питання</c:v>
                </c:pt>
                <c:pt idx="11">
                  <c:v>Бюджет</c:v>
                </c:pt>
                <c:pt idx="12">
                  <c:v>Організаційні питання</c:v>
                </c:pt>
                <c:pt idx="13">
                  <c:v>Захист прав недієздатних</c:v>
                </c:pt>
                <c:pt idx="14">
                  <c:v>Звіти про роботу</c:v>
                </c:pt>
                <c:pt idx="15">
                  <c:v>Охорона здоров'я</c:v>
                </c:pt>
                <c:pt idx="16">
                  <c:v>Економіка</c:v>
                </c:pt>
                <c:pt idx="17">
                  <c:v>Туризм</c:v>
                </c:pt>
                <c:pt idx="18">
                  <c:v>Освіта </c:v>
                </c:pt>
                <c:pt idx="19">
                  <c:v>Будівництво</c:v>
                </c:pt>
              </c:strCache>
            </c:strRef>
          </c:cat>
          <c:val>
            <c:numRef>
              <c:f>Лист1!$B$2:$B$21</c:f>
              <c:numCache>
                <c:formatCode>General</c:formatCode>
                <c:ptCount val="20"/>
                <c:pt idx="0">
                  <c:v>61</c:v>
                </c:pt>
                <c:pt idx="1">
                  <c:v>50</c:v>
                </c:pt>
                <c:pt idx="2">
                  <c:v>12</c:v>
                </c:pt>
                <c:pt idx="3">
                  <c:v>7</c:v>
                </c:pt>
                <c:pt idx="4">
                  <c:v>7</c:v>
                </c:pt>
                <c:pt idx="5">
                  <c:v>7</c:v>
                </c:pt>
                <c:pt idx="6">
                  <c:v>6</c:v>
                </c:pt>
                <c:pt idx="7">
                  <c:v>6</c:v>
                </c:pt>
                <c:pt idx="8">
                  <c:v>6</c:v>
                </c:pt>
                <c:pt idx="9">
                  <c:v>6</c:v>
                </c:pt>
                <c:pt idx="10">
                  <c:v>6</c:v>
                </c:pt>
                <c:pt idx="11">
                  <c:v>6</c:v>
                </c:pt>
                <c:pt idx="12">
                  <c:v>4</c:v>
                </c:pt>
                <c:pt idx="13">
                  <c:v>3</c:v>
                </c:pt>
                <c:pt idx="14">
                  <c:v>3</c:v>
                </c:pt>
                <c:pt idx="15">
                  <c:v>2</c:v>
                </c:pt>
                <c:pt idx="16">
                  <c:v>2</c:v>
                </c:pt>
                <c:pt idx="17">
                  <c:v>1</c:v>
                </c:pt>
                <c:pt idx="18">
                  <c:v>1</c:v>
                </c:pt>
                <c:pt idx="19">
                  <c:v>1</c:v>
                </c:pt>
              </c:numCache>
            </c:numRef>
          </c:val>
        </c:ser>
        <c:dLbls>
          <c:showVal val="1"/>
        </c:dLbls>
        <c:gapWidth val="0"/>
        <c:gapDepth val="0"/>
        <c:shape val="cylinder"/>
        <c:axId val="70839680"/>
        <c:axId val="71971968"/>
        <c:axId val="0"/>
      </c:bar3DChart>
      <c:catAx>
        <c:axId val="70839680"/>
        <c:scaling>
          <c:orientation val="minMax"/>
        </c:scaling>
        <c:axPos val="b"/>
        <c:majorTickMark val="none"/>
        <c:tickLblPos val="nextTo"/>
        <c:txPr>
          <a:bodyPr rot="3600000" vert="horz"/>
          <a:lstStyle/>
          <a:p>
            <a:pPr>
              <a:defRPr b="1"/>
            </a:pPr>
            <a:endParaRPr lang="uk-UA"/>
          </a:p>
        </c:txPr>
        <c:crossAx val="71971968"/>
        <c:crosses val="autoZero"/>
        <c:lblAlgn val="ctr"/>
        <c:lblOffset val="100"/>
      </c:catAx>
      <c:valAx>
        <c:axId val="71971968"/>
        <c:scaling>
          <c:orientation val="minMax"/>
        </c:scaling>
        <c:axPos val="l"/>
        <c:numFmt formatCode="General" sourceLinked="1"/>
        <c:tickLblPos val="nextTo"/>
        <c:crossAx val="70839680"/>
        <c:crosses val="autoZero"/>
        <c:crossBetween val="between"/>
      </c:valAx>
    </c:plotArea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63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polischuk</dc:creator>
  <cp:lastModifiedBy>polischuk</cp:lastModifiedBy>
  <cp:revision>11</cp:revision>
  <dcterms:created xsi:type="dcterms:W3CDTF">2021-02-08T12:39:00Z</dcterms:created>
  <dcterms:modified xsi:type="dcterms:W3CDTF">2021-03-04T07:14:00Z</dcterms:modified>
</cp:coreProperties>
</file>