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rPr>
      </w:pPr>
      <w:r>
        <w:rPr>
          <w:b/>
          <w:bCs/>
          <w:sz w:val="28"/>
          <w:szCs w:val="28"/>
        </w:rPr>
        <w:t xml:space="preserve">Звіт про роботу </w:t>
      </w:r>
    </w:p>
    <w:p>
      <w:pPr>
        <w:pStyle w:val="Normal"/>
        <w:jc w:val="center"/>
        <w:rPr>
          <w:b/>
          <w:b/>
          <w:bCs/>
        </w:rPr>
      </w:pPr>
      <w:r>
        <w:rPr>
          <w:rFonts w:eastAsia="Times New Roman" w:cs="Times New Roman"/>
          <w:b/>
          <w:bCs/>
          <w:color w:val="auto"/>
          <w:kern w:val="0"/>
          <w:sz w:val="28"/>
          <w:szCs w:val="28"/>
          <w:lang w:val="uk-UA" w:eastAsia="ru-RU" w:bidi="ar-SA"/>
        </w:rPr>
        <w:t>департаменту економічної політики за 2022 рік</w:t>
      </w:r>
    </w:p>
    <w:p>
      <w:pPr>
        <w:pStyle w:val="Normal"/>
        <w:widowControl/>
        <w:tabs>
          <w:tab w:val="clear" w:pos="708"/>
          <w:tab w:val="left" w:pos="6954" w:leader="none"/>
        </w:tabs>
        <w:suppressAutoHyphens w:val="true"/>
        <w:bidi w:val="0"/>
        <w:spacing w:lineRule="auto" w:line="240" w:before="0" w:after="0"/>
        <w:ind w:left="0" w:right="0" w:hanging="0"/>
        <w:jc w:val="both"/>
        <w:rPr>
          <w:sz w:val="28"/>
          <w:szCs w:val="28"/>
        </w:rPr>
      </w:pPr>
      <w:r>
        <w:rPr/>
      </w:r>
    </w:p>
    <w:p>
      <w:pPr>
        <w:pStyle w:val="Normal"/>
        <w:spacing w:lineRule="atLeast" w:line="240"/>
        <w:ind w:firstLine="567"/>
        <w:jc w:val="both"/>
        <w:rPr/>
      </w:pPr>
      <w:r>
        <w:rPr>
          <w:rFonts w:cs="Times New Roman"/>
          <w:sz w:val="28"/>
          <w:szCs w:val="28"/>
        </w:rPr>
        <w:t>Статистичні дані про соціально-економічний розвиток Луцької міської територіальної громади у 2022 році не формувались відповідно до Закону України «Про захист суб’єктів подання звітності та інших документів у період дії воєнного стану або стану війни».</w:t>
      </w:r>
    </w:p>
    <w:p>
      <w:pPr>
        <w:pStyle w:val="Normal"/>
        <w:spacing w:lineRule="atLeast" w:line="240"/>
        <w:ind w:firstLine="567"/>
        <w:jc w:val="both"/>
        <w:rPr>
          <w:rFonts w:ascii="Times New Roman" w:hAnsi="Times New Roman"/>
          <w:sz w:val="28"/>
          <w:szCs w:val="28"/>
        </w:rPr>
      </w:pPr>
      <w:r>
        <w:rPr>
          <w:sz w:val="28"/>
          <w:szCs w:val="28"/>
        </w:rPr>
      </w:r>
    </w:p>
    <w:p>
      <w:pPr>
        <w:pStyle w:val="Normal"/>
        <w:ind w:firstLine="567"/>
        <w:jc w:val="both"/>
        <w:rPr/>
      </w:pPr>
      <w:r>
        <w:rPr>
          <w:rFonts w:cs="Times New Roman"/>
          <w:sz w:val="28"/>
          <w:szCs w:val="28"/>
          <w:u w:val="single"/>
        </w:rPr>
        <w:t>1. Економіка.</w:t>
      </w:r>
    </w:p>
    <w:p>
      <w:pPr>
        <w:pStyle w:val="6"/>
        <w:spacing w:before="0" w:after="0"/>
        <w:ind w:firstLine="567"/>
        <w:jc w:val="both"/>
        <w:rPr/>
      </w:pPr>
      <w:r>
        <w:rPr>
          <w:b w:val="false"/>
          <w:bCs w:val="false"/>
          <w:sz w:val="28"/>
          <w:szCs w:val="28"/>
          <w:lang w:eastAsia="ru-RU"/>
        </w:rPr>
        <w:t>Інформація про виконання Програми економічного та соціального розвитку Луцької міської територіальної громади у 2021 році та звіт про виконання цільових Програм (</w:t>
      </w:r>
      <w:r>
        <w:rPr>
          <w:b w:val="false"/>
          <w:bCs w:val="false"/>
          <w:sz w:val="28"/>
          <w:szCs w:val="28"/>
        </w:rPr>
        <w:t>рішення міської ради від 23.02.2022 № 26/58) також звіт за І півріччя 2022 року (рішення міської ради від 31.08.2022 № 34/54).</w:t>
      </w:r>
    </w:p>
    <w:p>
      <w:pPr>
        <w:pStyle w:val="6"/>
        <w:spacing w:before="0" w:after="0"/>
        <w:ind w:firstLine="567"/>
        <w:jc w:val="both"/>
        <w:rPr/>
      </w:pPr>
      <w:r>
        <w:rPr>
          <w:rFonts w:cs="Times New Roman"/>
          <w:b w:val="false"/>
          <w:color w:val="000000"/>
          <w:spacing w:val="1"/>
          <w:sz w:val="28"/>
          <w:szCs w:val="28"/>
        </w:rPr>
        <w:t>Р</w:t>
      </w:r>
      <w:r>
        <w:rPr>
          <w:rFonts w:cs="Times New Roman"/>
          <w:b w:val="false"/>
          <w:sz w:val="28"/>
          <w:szCs w:val="28"/>
        </w:rPr>
        <w:t>озроблено Програму економічного та соціального розвитку Луцької міської територіальної громади на 2023 рік (рішення міської ради від </w:t>
      </w:r>
      <w:r>
        <w:rPr>
          <w:b w:val="false"/>
          <w:bCs w:val="false"/>
          <w:sz w:val="28"/>
          <w:szCs w:val="28"/>
        </w:rPr>
        <w:t>13.12.2022 № 38/9).</w:t>
      </w:r>
    </w:p>
    <w:p>
      <w:pPr>
        <w:pStyle w:val="Normal"/>
        <w:ind w:firstLine="567"/>
        <w:jc w:val="both"/>
        <w:rPr/>
      </w:pPr>
      <w:r>
        <w:rPr>
          <w:rFonts w:eastAsia="Times New Roman" w:cs="Times New Roman"/>
          <w:color w:val="000000" w:themeColor="text1"/>
          <w:sz w:val="28"/>
          <w:szCs w:val="28"/>
        </w:rPr>
        <w:t xml:space="preserve">Здійснено аналіз </w:t>
      </w:r>
      <w:r>
        <w:rPr>
          <w:rFonts w:eastAsia="Times New Roman" w:cs="Times New Roman"/>
          <w:color w:val="000000" w:themeColor="text1"/>
          <w:kern w:val="0"/>
          <w:sz w:val="28"/>
          <w:szCs w:val="28"/>
          <w:lang w:val="uk-UA" w:eastAsia="ru-RU" w:bidi="ar-SA"/>
        </w:rPr>
        <w:t>виконання</w:t>
      </w:r>
      <w:r>
        <w:rPr>
          <w:rFonts w:eastAsia="Times New Roman" w:cs="Times New Roman"/>
          <w:color w:val="000000" w:themeColor="text1"/>
          <w:sz w:val="28"/>
          <w:szCs w:val="28"/>
        </w:rPr>
        <w:t xml:space="preserve"> фінансових планів за 2021 рік та за І півріччя 2022 року, підготовлено відповідні проєкти рішень виконавчого комітету:</w:t>
      </w:r>
    </w:p>
    <w:p>
      <w:pPr>
        <w:pStyle w:val="Normal"/>
        <w:numPr>
          <w:ilvl w:val="0"/>
          <w:numId w:val="0"/>
        </w:numPr>
        <w:ind w:left="0" w:firstLine="567"/>
        <w:jc w:val="both"/>
        <w:outlineLvl w:val="5"/>
        <w:rPr/>
      </w:pPr>
      <w:r>
        <w:rPr>
          <w:rFonts w:eastAsia="Times New Roman" w:cs="Times New Roman"/>
          <w:color w:val="000000" w:themeColor="text1"/>
          <w:sz w:val="28"/>
          <w:szCs w:val="28"/>
        </w:rPr>
        <w:t>від </w:t>
      </w:r>
      <w:r>
        <w:rPr>
          <w:sz w:val="28"/>
          <w:szCs w:val="28"/>
        </w:rPr>
        <w:t>13.04.2022 № 197-1</w:t>
      </w:r>
      <w:r>
        <w:rPr>
          <w:rFonts w:eastAsia="Times New Roman" w:cs="Times New Roman"/>
          <w:color w:val="000000" w:themeColor="text1"/>
          <w:sz w:val="28"/>
          <w:szCs w:val="28"/>
        </w:rPr>
        <w:t xml:space="preserve"> «</w:t>
      </w:r>
      <w:r>
        <w:rPr>
          <w:rFonts w:cs="Times New Roman"/>
          <w:color w:val="000000" w:themeColor="text1"/>
          <w:spacing w:val="3"/>
          <w:sz w:val="28"/>
          <w:szCs w:val="28"/>
          <w:shd w:fill="FFFFFF" w:val="clear"/>
        </w:rPr>
        <w:t xml:space="preserve">Про фінансово-господарську діяльність підприємств, що належать до комунальної власності міської територіальної громади за підсумками </w:t>
      </w:r>
      <w:r>
        <w:rPr>
          <w:rFonts w:eastAsia="Times New Roman" w:cs="Times New Roman"/>
          <w:color w:val="000000" w:themeColor="text1"/>
          <w:spacing w:val="3"/>
          <w:kern w:val="0"/>
          <w:sz w:val="28"/>
          <w:szCs w:val="28"/>
          <w:shd w:fill="FFFFFF" w:val="clear"/>
          <w:lang w:val="uk-UA" w:eastAsia="ru-RU" w:bidi="ar-SA"/>
        </w:rPr>
        <w:t>2021 року</w:t>
      </w:r>
      <w:r>
        <w:rPr>
          <w:rFonts w:eastAsia="Times New Roman" w:cs="Times New Roman"/>
          <w:color w:val="000000" w:themeColor="text1"/>
          <w:sz w:val="28"/>
          <w:szCs w:val="28"/>
        </w:rPr>
        <w:t>»;</w:t>
      </w:r>
    </w:p>
    <w:p>
      <w:pPr>
        <w:pStyle w:val="Normal"/>
        <w:numPr>
          <w:ilvl w:val="0"/>
          <w:numId w:val="0"/>
        </w:numPr>
        <w:ind w:left="0" w:firstLine="567"/>
        <w:jc w:val="both"/>
        <w:outlineLvl w:val="5"/>
        <w:rPr/>
      </w:pPr>
      <w:r>
        <w:rPr>
          <w:rFonts w:eastAsia="Times New Roman" w:cs="Times New Roman"/>
          <w:color w:val="000000" w:themeColor="text1"/>
          <w:sz w:val="28"/>
          <w:szCs w:val="28"/>
        </w:rPr>
        <w:t>від </w:t>
      </w:r>
      <w:r>
        <w:rPr>
          <w:sz w:val="28"/>
          <w:szCs w:val="28"/>
        </w:rPr>
        <w:t xml:space="preserve">17.08.2022 № 412-1 </w:t>
      </w:r>
      <w:r>
        <w:rPr>
          <w:rFonts w:cs="Times New Roman"/>
          <w:sz w:val="28"/>
          <w:szCs w:val="28"/>
        </w:rPr>
        <w:t>«Про фінансово-господарську діяльність</w:t>
      </w:r>
      <w:r>
        <w:rPr>
          <w:rFonts w:eastAsia="Times New Roman" w:cs="Times New Roman"/>
          <w:color w:val="000000" w:themeColor="text1"/>
          <w:sz w:val="28"/>
          <w:szCs w:val="28"/>
        </w:rPr>
        <w:t xml:space="preserve"> </w:t>
      </w:r>
      <w:r>
        <w:rPr>
          <w:rFonts w:cs="Times New Roman"/>
          <w:sz w:val="28"/>
          <w:szCs w:val="28"/>
        </w:rPr>
        <w:t>підприємств, що належать до комунальної</w:t>
      </w:r>
      <w:r>
        <w:rPr>
          <w:rFonts w:eastAsia="Times New Roman" w:cs="Times New Roman"/>
          <w:color w:val="000000" w:themeColor="text1"/>
          <w:sz w:val="28"/>
          <w:szCs w:val="28"/>
        </w:rPr>
        <w:t xml:space="preserve"> </w:t>
      </w:r>
      <w:r>
        <w:rPr>
          <w:rFonts w:cs="Times New Roman"/>
          <w:sz w:val="28"/>
          <w:szCs w:val="28"/>
        </w:rPr>
        <w:t>власності міської територіальної громади</w:t>
      </w:r>
      <w:r>
        <w:rPr>
          <w:rFonts w:eastAsia="Times New Roman" w:cs="Times New Roman"/>
          <w:color w:val="000000" w:themeColor="text1"/>
          <w:sz w:val="28"/>
          <w:szCs w:val="28"/>
        </w:rPr>
        <w:t xml:space="preserve"> </w:t>
      </w:r>
      <w:r>
        <w:rPr>
          <w:rFonts w:cs="Times New Roman"/>
          <w:sz w:val="28"/>
          <w:szCs w:val="28"/>
        </w:rPr>
        <w:t>за підсумками І півріччя 2022 року».</w:t>
      </w:r>
    </w:p>
    <w:p>
      <w:pPr>
        <w:pStyle w:val="Normal"/>
        <w:ind w:firstLine="567"/>
        <w:jc w:val="both"/>
        <w:rPr/>
      </w:pPr>
      <w:r>
        <w:rPr>
          <w:rFonts w:cs="Times New Roman"/>
          <w:sz w:val="28"/>
          <w:szCs w:val="28"/>
        </w:rPr>
        <w:t>Протягом року розглянуто та надано експертні висновки до чотирнадцяти проєктів цільових програм Л</w:t>
      </w:r>
      <w:r>
        <w:rPr>
          <w:rFonts w:cs="Times New Roman"/>
          <w:sz w:val="28"/>
          <w:szCs w:val="28"/>
          <w:lang w:val="uk-UA"/>
        </w:rPr>
        <w:t>уцької міської територіальної громади.</w:t>
      </w:r>
    </w:p>
    <w:p>
      <w:pPr>
        <w:pStyle w:val="Normal"/>
        <w:ind w:firstLine="567"/>
        <w:jc w:val="both"/>
        <w:rPr/>
      </w:pPr>
      <w:r>
        <w:rPr>
          <w:rFonts w:cs="Times New Roman"/>
          <w:sz w:val="28"/>
          <w:szCs w:val="28"/>
        </w:rPr>
        <w:t xml:space="preserve">Підготовлено звіти про роботу житлово-комунальних підприємств № №: 2, 3, 7, КП “Луцькі ринки”, КП “АвтоПаркСервіс”, КП “Луцьке електротехнічне </w:t>
      </w:r>
      <w:r>
        <w:rPr>
          <w:sz w:val="28"/>
          <w:szCs w:val="28"/>
        </w:rPr>
        <w:t>підприємство </w:t>
      </w:r>
      <w:r>
        <w:rPr>
          <w:color w:val="202124"/>
          <w:sz w:val="28"/>
          <w:szCs w:val="28"/>
        </w:rPr>
        <w:t>– </w:t>
      </w:r>
      <w:r>
        <w:rPr>
          <w:sz w:val="28"/>
          <w:szCs w:val="28"/>
        </w:rPr>
        <w:t>Луцьксвітло”,</w:t>
      </w:r>
      <w:r>
        <w:rPr>
          <w:rFonts w:cs="Times New Roman"/>
          <w:sz w:val="28"/>
          <w:szCs w:val="28"/>
        </w:rPr>
        <w:t xml:space="preserve"> КП “Луцьке підприємство електротранспорту”, КП “Парки та сквери м. Луцька” та КП “Луцький спецкомбінат КПО” та </w:t>
      </w:r>
      <w:r>
        <w:rPr>
          <w:sz w:val="28"/>
          <w:szCs w:val="28"/>
        </w:rPr>
        <w:t xml:space="preserve">подання міському голові із пропозиціями щодо продовження контрактів з керівниками </w:t>
      </w:r>
      <w:r>
        <w:rPr>
          <w:rFonts w:eastAsia="Times New Roman" w:cs="Times New Roman"/>
          <w:color w:val="000000"/>
          <w:kern w:val="0"/>
          <w:sz w:val="28"/>
          <w:szCs w:val="28"/>
          <w:lang w:val="uk-UA" w:eastAsia="ru-RU" w:bidi="ar-SA"/>
        </w:rPr>
        <w:t>вищевказаних</w:t>
      </w:r>
      <w:r>
        <w:rPr>
          <w:rFonts w:eastAsia="Times New Roman" w:cs="Times New Roman"/>
          <w:color w:val="FF0000"/>
          <w:kern w:val="0"/>
          <w:sz w:val="28"/>
          <w:szCs w:val="28"/>
          <w:lang w:val="uk-UA" w:eastAsia="ru-RU" w:bidi="ar-SA"/>
        </w:rPr>
        <w:t xml:space="preserve"> </w:t>
      </w:r>
      <w:r>
        <w:rPr>
          <w:sz w:val="28"/>
          <w:szCs w:val="28"/>
        </w:rPr>
        <w:t>комунальних підприємств.</w:t>
      </w:r>
    </w:p>
    <w:p>
      <w:pPr>
        <w:pStyle w:val="Normal"/>
        <w:ind w:firstLine="567"/>
        <w:jc w:val="both"/>
        <w:rPr/>
      </w:pPr>
      <w:r>
        <w:rPr>
          <w:color w:val="000000"/>
          <w:sz w:val="28"/>
          <w:szCs w:val="28"/>
        </w:rPr>
        <w:t>Розроблено П</w:t>
      </w:r>
      <w:r>
        <w:rPr>
          <w:bCs/>
          <w:color w:val="000000"/>
          <w:sz w:val="28"/>
          <w:szCs w:val="28"/>
        </w:rPr>
        <w:t xml:space="preserve">оложення </w:t>
      </w:r>
      <w:r>
        <w:rPr>
          <w:color w:val="000000"/>
          <w:sz w:val="28"/>
          <w:szCs w:val="28"/>
        </w:rPr>
        <w:t>про умови оплати праці та преміювання</w:t>
      </w:r>
      <w:r>
        <w:rPr>
          <w:bCs/>
          <w:color w:val="000000"/>
          <w:sz w:val="28"/>
          <w:szCs w:val="28"/>
        </w:rPr>
        <w:t xml:space="preserve"> керівників підприємств, </w:t>
      </w:r>
      <w:r>
        <w:rPr>
          <w:color w:val="000000"/>
          <w:sz w:val="28"/>
          <w:szCs w:val="28"/>
        </w:rPr>
        <w:t xml:space="preserve">що належать до комунальної власності міської територіальної громади у новій редакції (рішення виконавчого комітету </w:t>
      </w:r>
      <w:r>
        <w:rPr>
          <w:sz w:val="28"/>
          <w:szCs w:val="28"/>
        </w:rPr>
        <w:t xml:space="preserve">від </w:t>
      </w:r>
      <w:r>
        <w:rPr>
          <w:bCs/>
          <w:sz w:val="28"/>
          <w:szCs w:val="28"/>
        </w:rPr>
        <w:t>07.12.2022    № 664-1).</w:t>
      </w:r>
    </w:p>
    <w:p>
      <w:pPr>
        <w:pStyle w:val="Normal"/>
        <w:ind w:firstLine="567"/>
        <w:jc w:val="both"/>
        <w:rPr/>
      </w:pPr>
      <w:r>
        <w:rPr>
          <w:rFonts w:cs="Times New Roman"/>
          <w:color w:val="000000"/>
          <w:sz w:val="28"/>
          <w:szCs w:val="28"/>
        </w:rPr>
        <w:t xml:space="preserve">Щомісяця </w:t>
      </w:r>
      <w:r>
        <w:rPr>
          <w:rFonts w:eastAsia="Times New Roman" w:cs="Times New Roman"/>
          <w:color w:val="000000"/>
          <w:kern w:val="0"/>
          <w:sz w:val="28"/>
          <w:szCs w:val="28"/>
          <w:lang w:val="uk-UA" w:eastAsia="ru-RU" w:bidi="ar-SA"/>
        </w:rPr>
        <w:t>проводиться</w:t>
      </w:r>
      <w:r>
        <w:rPr>
          <w:rFonts w:cs="Times New Roman"/>
          <w:color w:val="000000"/>
          <w:sz w:val="28"/>
          <w:szCs w:val="28"/>
        </w:rPr>
        <w:t xml:space="preserve"> збір, аналіз та підготовка зведеної інформації:</w:t>
      </w:r>
    </w:p>
    <w:p>
      <w:pPr>
        <w:pStyle w:val="Normal"/>
        <w:ind w:firstLine="567"/>
        <w:jc w:val="both"/>
        <w:rPr/>
      </w:pPr>
      <w:r>
        <w:rPr>
          <w:rFonts w:cs="Times New Roman"/>
          <w:color w:val="000000"/>
          <w:sz w:val="28"/>
          <w:szCs w:val="28"/>
        </w:rPr>
        <w:t>про рух грошових коштів комунальних підприємств;</w:t>
      </w:r>
    </w:p>
    <w:p>
      <w:pPr>
        <w:pStyle w:val="Normal"/>
        <w:ind w:firstLine="567"/>
        <w:jc w:val="both"/>
        <w:rPr/>
      </w:pPr>
      <w:r>
        <w:rPr>
          <w:rFonts w:cs="Times New Roman"/>
          <w:color w:val="000000"/>
          <w:sz w:val="28"/>
          <w:szCs w:val="28"/>
        </w:rPr>
        <w:t>про заборгованість із виплати заробітної плати працівникам комунальних підприємств;</w:t>
      </w:r>
    </w:p>
    <w:p>
      <w:pPr>
        <w:pStyle w:val="Normal"/>
        <w:ind w:firstLine="567"/>
        <w:jc w:val="both"/>
        <w:rPr/>
      </w:pPr>
      <w:r>
        <w:rPr>
          <w:rFonts w:cs="Times New Roman"/>
          <w:sz w:val="28"/>
          <w:szCs w:val="28"/>
        </w:rPr>
        <w:t>про окремі показники у сфері житлово-комунального господарства Луцької міської територіальної громади (на виконання наказу Міністерства розвитку громад та територій України від 16.12.2019 № 312, (42 ш</w:t>
      </w:r>
      <w:r>
        <w:rPr>
          <w:rFonts w:cs="Times New Roman"/>
          <w:color w:val="auto"/>
          <w:sz w:val="28"/>
          <w:szCs w:val="28"/>
        </w:rPr>
        <w:t>т.).</w:t>
      </w:r>
      <w:r>
        <w:rPr>
          <w:rFonts w:cs="Times New Roman"/>
          <w:sz w:val="28"/>
          <w:szCs w:val="28"/>
        </w:rPr>
        <w:t xml:space="preserve"> Постійно здійснюєть</w:t>
      </w:r>
      <w:r>
        <w:rPr>
          <w:rFonts w:cs="Times New Roman"/>
          <w:color w:val="000000"/>
          <w:sz w:val="28"/>
          <w:szCs w:val="28"/>
        </w:rPr>
        <w:t>ся</w:t>
      </w:r>
      <w:r>
        <w:rPr>
          <w:rFonts w:cs="Times New Roman"/>
          <w:sz w:val="28"/>
          <w:szCs w:val="28"/>
        </w:rPr>
        <w:t xml:space="preserve"> аналіз штатних розписів комунальних підприємств.</w:t>
      </w:r>
    </w:p>
    <w:p>
      <w:pPr>
        <w:pStyle w:val="Normal"/>
        <w:ind w:firstLine="567"/>
        <w:jc w:val="both"/>
        <w:rPr/>
      </w:pPr>
      <w:r>
        <w:rPr>
          <w:rFonts w:cs="Times New Roman"/>
          <w:sz w:val="28"/>
          <w:szCs w:val="28"/>
        </w:rPr>
        <w:t>Розроблено інформаційні матеріали щодо реалізації Програми розвитку агропромислового комплексу (листівки та плакати). Доповнено рубрику «Агропромисловий комплекс» на сайті міської ради презентаційними матеріалами «Як стати фермером</w:t>
      </w:r>
      <w:r>
        <w:rPr>
          <w:rFonts w:cs="Times New Roman"/>
          <w:sz w:val="28"/>
          <w:szCs w:val="28"/>
          <w:lang w:val="ru-RU"/>
        </w:rPr>
        <w:t>?</w:t>
      </w:r>
      <w:r>
        <w:rPr>
          <w:rFonts w:cs="Times New Roman"/>
          <w:sz w:val="28"/>
          <w:szCs w:val="28"/>
        </w:rPr>
        <w:t>».</w:t>
      </w:r>
    </w:p>
    <w:p>
      <w:pPr>
        <w:pStyle w:val="Normal"/>
        <w:widowControl/>
        <w:suppressAutoHyphens w:val="true"/>
        <w:bidi w:val="0"/>
        <w:spacing w:lineRule="auto" w:line="240" w:before="0" w:after="0"/>
        <w:ind w:firstLine="567"/>
        <w:jc w:val="both"/>
        <w:rPr/>
      </w:pPr>
      <w:r>
        <w:rPr>
          <w:rFonts w:cs="Times New Roman"/>
          <w:sz w:val="28"/>
          <w:szCs w:val="28"/>
          <w:lang w:val="ru-RU"/>
        </w:rPr>
        <w:t xml:space="preserve">Щомісяця, на основі звітів про виконання </w:t>
      </w:r>
      <w:r>
        <w:rPr>
          <w:rFonts w:cs="Times New Roman"/>
          <w:bCs/>
          <w:color w:val="000000"/>
          <w:sz w:val="28"/>
          <w:szCs w:val="28"/>
          <w:lang w:val="ru-RU"/>
        </w:rPr>
        <w:t xml:space="preserve">диференційованих показників преміювання керівників комунальних підприємств, </w:t>
      </w:r>
      <w:r>
        <w:rPr>
          <w:rFonts w:cs="Times New Roman"/>
          <w:color w:val="000000"/>
          <w:sz w:val="28"/>
          <w:szCs w:val="28"/>
          <w:lang w:val="ru-RU"/>
        </w:rPr>
        <w:t xml:space="preserve">відділ готує подання міському голові на преміювання керівників </w:t>
      </w:r>
      <w:r>
        <w:rPr>
          <w:rFonts w:cs="Times New Roman"/>
          <w:bCs/>
          <w:color w:val="000000"/>
          <w:sz w:val="28"/>
          <w:szCs w:val="28"/>
          <w:lang w:val="ru-RU"/>
        </w:rPr>
        <w:t>комунальних підприємств та керівників закладів освіти, культури, спорту і соціального захисту.</w:t>
      </w:r>
    </w:p>
    <w:p>
      <w:pPr>
        <w:pStyle w:val="Normal"/>
        <w:widowControl/>
        <w:suppressAutoHyphens w:val="true"/>
        <w:bidi w:val="0"/>
        <w:spacing w:lineRule="auto" w:line="240" w:before="0" w:after="0"/>
        <w:ind w:firstLine="567"/>
        <w:jc w:val="both"/>
        <w:rPr>
          <w:rFonts w:ascii="Times New Roman" w:hAnsi="Times New Roman"/>
          <w:sz w:val="28"/>
          <w:szCs w:val="28"/>
        </w:rPr>
      </w:pPr>
      <w:r>
        <w:rPr>
          <w:sz w:val="28"/>
          <w:szCs w:val="28"/>
        </w:rPr>
      </w:r>
    </w:p>
    <w:p>
      <w:pPr>
        <w:pStyle w:val="Normal"/>
        <w:widowControl/>
        <w:suppressAutoHyphens w:val="true"/>
        <w:bidi w:val="0"/>
        <w:spacing w:lineRule="auto" w:line="240" w:before="0" w:after="0"/>
        <w:ind w:left="0" w:right="0" w:firstLine="567"/>
        <w:jc w:val="both"/>
        <w:rPr/>
      </w:pPr>
      <w:r>
        <w:rPr>
          <w:sz w:val="28"/>
          <w:szCs w:val="28"/>
          <w:u w:val="single"/>
          <w:lang w:val="uk-UA"/>
        </w:rPr>
        <w:t>2. Інвестиції.</w:t>
      </w:r>
    </w:p>
    <w:p>
      <w:pPr>
        <w:pStyle w:val="Standard"/>
        <w:ind w:left="0" w:right="0" w:firstLine="567"/>
        <w:jc w:val="both"/>
        <w:rPr/>
      </w:pPr>
      <w:r>
        <w:rPr>
          <w:rFonts w:ascii="Times New Roman" w:hAnsi="Times New Roman"/>
          <w:bCs/>
          <w:sz w:val="28"/>
          <w:szCs w:val="28"/>
          <w:lang w:val="ru-RU"/>
        </w:rPr>
        <w:t xml:space="preserve">Продовжується робота над впровадженням </w:t>
      </w:r>
      <w:r>
        <w:rPr>
          <w:rFonts w:ascii="Times New Roman" w:hAnsi="Times New Roman"/>
          <w:b w:val="false"/>
          <w:bCs w:val="false"/>
          <w:sz w:val="28"/>
          <w:szCs w:val="28"/>
          <w:lang w:val="ru-RU"/>
        </w:rPr>
        <w:t>«Проєкту реконструкції системи централізованого теплопостачання у м. Луцьку»</w:t>
      </w:r>
      <w:r>
        <w:rPr>
          <w:rFonts w:ascii="Times New Roman" w:hAnsi="Times New Roman"/>
          <w:bCs/>
          <w:sz w:val="28"/>
          <w:szCs w:val="28"/>
          <w:lang w:val="ru-RU"/>
        </w:rPr>
        <w:t xml:space="preserve"> у співпраці з ЄБРР. </w:t>
      </w:r>
      <w:r>
        <w:rPr>
          <w:rStyle w:val="Fontstyle01"/>
          <w:rFonts w:eastAsia="Times New Roman" w:ascii="Times New Roman" w:hAnsi="Times New Roman"/>
          <w:b w:val="false"/>
          <w:bCs w:val="false"/>
          <w:kern w:val="0"/>
          <w:highlight w:val="white"/>
          <w:lang w:val="ru-RU" w:eastAsia="uk-UA" w:bidi="ar-SA"/>
        </w:rPr>
        <w:t>В</w:t>
      </w:r>
      <w:r>
        <w:rPr>
          <w:rFonts w:cs="Times New Roman" w:ascii="Times New Roman" w:hAnsi="Times New Roman"/>
          <w:b w:val="false"/>
          <w:bCs w:val="false"/>
          <w:color w:val="000000"/>
          <w:kern w:val="0"/>
          <w:sz w:val="28"/>
          <w:szCs w:val="28"/>
          <w:lang w:val="ru-RU" w:eastAsia="uk-UA" w:bidi="ar-SA"/>
        </w:rPr>
        <w:t>а</w:t>
      </w:r>
      <w:r>
        <w:rPr>
          <w:rFonts w:cs="Times New Roman" w:ascii="Times New Roman" w:hAnsi="Times New Roman"/>
          <w:bCs/>
          <w:color w:val="000000"/>
          <w:kern w:val="0"/>
          <w:sz w:val="28"/>
          <w:szCs w:val="28"/>
          <w:lang w:val="ru-RU" w:eastAsia="uk-UA" w:bidi="ar-SA"/>
        </w:rPr>
        <w:t>ртість проєкту:</w:t>
      </w:r>
      <w:r>
        <w:rPr>
          <w:rFonts w:cs="Times New Roman" w:ascii="Times New Roman" w:hAnsi="Times New Roman"/>
          <w:color w:val="000000"/>
          <w:kern w:val="0"/>
          <w:sz w:val="28"/>
          <w:szCs w:val="28"/>
          <w:lang w:val="ru-RU" w:eastAsia="uk-UA" w:bidi="ar-SA"/>
        </w:rPr>
        <w:t xml:space="preserve"> понад 16 млн євро, </w:t>
      </w:r>
      <w:r>
        <w:rPr>
          <w:rFonts w:cs="Times New Roman" w:ascii="Times New Roman" w:hAnsi="Times New Roman"/>
          <w:bCs/>
          <w:color w:val="000000"/>
          <w:kern w:val="0"/>
          <w:sz w:val="28"/>
          <w:szCs w:val="28"/>
          <w:lang w:val="ru-RU" w:eastAsia="uk-UA" w:bidi="ar-SA"/>
        </w:rPr>
        <w:t xml:space="preserve">кредит ЄБРР </w:t>
      </w:r>
      <w:r>
        <w:rPr>
          <w:rFonts w:cs="Times New Roman" w:ascii="Times New Roman" w:hAnsi="Times New Roman"/>
          <w:color w:val="000000"/>
          <w:kern w:val="0"/>
          <w:sz w:val="28"/>
          <w:szCs w:val="28"/>
          <w:shd w:fill="FFFFFF" w:val="clear"/>
          <w:lang w:val="ru-RU"/>
        </w:rPr>
        <w:t>–</w:t>
      </w:r>
      <w:r>
        <w:rPr>
          <w:rFonts w:cs="Times New Roman" w:ascii="Times New Roman" w:hAnsi="Times New Roman"/>
          <w:color w:val="000000"/>
          <w:kern w:val="0"/>
          <w:sz w:val="28"/>
          <w:szCs w:val="28"/>
          <w:lang w:val="ru-RU"/>
        </w:rPr>
        <w:t xml:space="preserve"> </w:t>
      </w:r>
      <w:r>
        <w:rPr>
          <w:rFonts w:cs="Times New Roman" w:ascii="Times New Roman" w:hAnsi="Times New Roman"/>
          <w:color w:val="000000"/>
          <w:kern w:val="0"/>
          <w:sz w:val="28"/>
          <w:szCs w:val="28"/>
          <w:lang w:val="ru-RU" w:eastAsia="uk-UA" w:bidi="ar-SA"/>
        </w:rPr>
        <w:t xml:space="preserve">10 млн євро, </w:t>
      </w:r>
      <w:r>
        <w:rPr>
          <w:rFonts w:cs="Times New Roman" w:ascii="Times New Roman" w:hAnsi="Times New Roman"/>
          <w:bCs/>
          <w:color w:val="000000"/>
          <w:kern w:val="0"/>
          <w:sz w:val="28"/>
          <w:szCs w:val="28"/>
          <w:lang w:val="ru-RU" w:eastAsia="uk-UA" w:bidi="ar-SA"/>
        </w:rPr>
        <w:t xml:space="preserve">грант </w:t>
      </w:r>
      <w:r>
        <w:rPr>
          <w:rFonts w:cs="Times New Roman" w:ascii="Times New Roman" w:hAnsi="Times New Roman"/>
          <w:color w:val="000000"/>
          <w:kern w:val="0"/>
          <w:sz w:val="28"/>
          <w:szCs w:val="28"/>
          <w:shd w:fill="FFFFFF" w:val="clear"/>
          <w:lang w:val="ru-RU"/>
        </w:rPr>
        <w:t>–</w:t>
      </w:r>
      <w:r>
        <w:rPr>
          <w:rFonts w:cs="Times New Roman" w:ascii="Times New Roman" w:hAnsi="Times New Roman"/>
          <w:color w:val="000000"/>
          <w:kern w:val="0"/>
          <w:sz w:val="28"/>
          <w:szCs w:val="28"/>
          <w:lang w:val="ru-RU"/>
        </w:rPr>
        <w:t xml:space="preserve"> </w:t>
      </w:r>
      <w:r>
        <w:rPr>
          <w:rFonts w:cs="Times New Roman" w:ascii="Times New Roman" w:hAnsi="Times New Roman"/>
          <w:color w:val="000000"/>
          <w:kern w:val="0"/>
          <w:sz w:val="28"/>
          <w:szCs w:val="28"/>
          <w:lang w:val="ru-RU" w:eastAsia="uk-UA" w:bidi="ar-SA"/>
        </w:rPr>
        <w:t>4,4 млн євро</w:t>
      </w:r>
      <w:r>
        <w:rPr>
          <w:rFonts w:cs="Times New Roman" w:ascii="Times New Roman" w:hAnsi="Times New Roman"/>
          <w:color w:val="000000"/>
          <w:sz w:val="28"/>
          <w:szCs w:val="28"/>
          <w:shd w:fill="FFFFFF" w:val="clear"/>
          <w:lang w:val="ru-RU"/>
        </w:rPr>
        <w:t>.</w:t>
      </w:r>
    </w:p>
    <w:p>
      <w:pPr>
        <w:pStyle w:val="Standard"/>
        <w:widowControl w:val="false"/>
        <w:shd w:fill="FFFFFF"/>
        <w:ind w:left="0" w:right="0" w:firstLine="567"/>
        <w:jc w:val="both"/>
        <w:rPr/>
      </w:pPr>
      <w:r>
        <w:rPr>
          <w:rFonts w:cs="Times New Roman" w:ascii="Times New Roman" w:hAnsi="Times New Roman"/>
          <w:kern w:val="0"/>
          <w:sz w:val="28"/>
          <w:szCs w:val="28"/>
        </w:rPr>
        <w:t xml:space="preserve">У звітному періоді, завдяки економії коштів, змонтовано </w:t>
      </w:r>
      <w:r>
        <w:rPr>
          <w:rFonts w:cs="Times New Roman" w:ascii="Times New Roman" w:hAnsi="Times New Roman"/>
          <w:b w:val="false"/>
          <w:bCs w:val="false"/>
          <w:kern w:val="0"/>
          <w:sz w:val="28"/>
          <w:szCs w:val="28"/>
        </w:rPr>
        <w:t>додаткових 76 ІТП, на які отримано грантові кошти у сумі 532,3 тис. євро.</w:t>
      </w:r>
    </w:p>
    <w:p>
      <w:pPr>
        <w:pStyle w:val="Standard"/>
        <w:widowControl w:val="false"/>
        <w:shd w:fill="FFFFFF"/>
        <w:ind w:left="0" w:right="0" w:firstLine="567"/>
        <w:jc w:val="both"/>
        <w:rPr/>
      </w:pPr>
      <w:r>
        <w:rPr>
          <w:rFonts w:cs="Times New Roman" w:ascii="Times New Roman" w:hAnsi="Times New Roman"/>
          <w:b w:val="false"/>
          <w:bCs w:val="false"/>
          <w:kern w:val="0"/>
          <w:sz w:val="28"/>
          <w:szCs w:val="28"/>
        </w:rPr>
        <w:t>Досягнуто домовленості про отримання додаткового грантового фінансування в сумі 400,0 тис. євро, в межах якого буде встановлено 20 додаткових ІТП на суму 270</w:t>
      </w:r>
      <w:r>
        <w:rPr>
          <w:rFonts w:cs="Times New Roman" w:ascii="Times New Roman" w:hAnsi="Times New Roman"/>
          <w:b w:val="false"/>
          <w:bCs w:val="false"/>
          <w:kern w:val="0"/>
          <w:sz w:val="28"/>
          <w:szCs w:val="28"/>
          <w:lang w:val="en-US"/>
        </w:rPr>
        <w:t> </w:t>
      </w:r>
      <w:r>
        <w:rPr>
          <w:rFonts w:cs="Times New Roman" w:ascii="Times New Roman" w:hAnsi="Times New Roman"/>
          <w:b w:val="false"/>
          <w:bCs w:val="false"/>
          <w:kern w:val="0"/>
          <w:sz w:val="28"/>
          <w:szCs w:val="28"/>
        </w:rPr>
        <w:t>тис. євро та профінансовано впровадження с</w:t>
      </w:r>
      <w:r>
        <w:rPr>
          <w:rFonts w:cs="Times New Roman" w:ascii="Times New Roman" w:hAnsi="Times New Roman"/>
          <w:b w:val="false"/>
          <w:bCs w:val="false"/>
          <w:sz w:val="28"/>
          <w:szCs w:val="28"/>
          <w:shd w:fill="FFFFFF" w:val="clear"/>
        </w:rPr>
        <w:t>истеми моніторингу та диспетчеризації (SCADA) (лот № 7) на суму 130 тис. євро. Оціночний звіт першого етапу тендеру за даним лотом направлено на погодження ЄБРР.</w:t>
      </w:r>
    </w:p>
    <w:p>
      <w:pPr>
        <w:pStyle w:val="Standard"/>
        <w:widowControl w:val="false"/>
        <w:tabs>
          <w:tab w:val="clear" w:pos="708"/>
          <w:tab w:val="left" w:pos="840" w:leader="none"/>
        </w:tabs>
        <w:ind w:left="0" w:right="0" w:firstLine="567"/>
        <w:jc w:val="both"/>
        <w:rPr/>
      </w:pPr>
      <w:r>
        <w:rPr>
          <w:rFonts w:cs="Times New Roman" w:ascii="Times New Roman" w:hAnsi="Times New Roman"/>
          <w:b w:val="false"/>
          <w:bCs w:val="false"/>
          <w:color w:val="000000"/>
          <w:kern w:val="0"/>
          <w:sz w:val="28"/>
          <w:szCs w:val="28"/>
          <w:shd w:fill="FFFFFF" w:val="clear"/>
          <w:lang w:eastAsia="ru-RU"/>
        </w:rPr>
        <w:t xml:space="preserve">Розпочато співпрацю ДКП «Луцьктепло» з NEFCO, в рамках якої планується реалізувати проєкт «Конденсаційна рекуперація тепла з димових газів – Луцьк 5 МВт» («Condensing </w:t>
      </w:r>
      <w:r>
        <w:rPr>
          <w:rFonts w:cs="Times New Roman" w:ascii="Times New Roman" w:hAnsi="Times New Roman"/>
          <w:b w:val="false"/>
          <w:bCs w:val="false"/>
          <w:color w:val="000000"/>
          <w:kern w:val="0"/>
          <w:sz w:val="28"/>
          <w:szCs w:val="28"/>
          <w:shd w:fill="FFFFFF" w:val="clear"/>
          <w:lang w:val="en-US" w:eastAsia="ru-RU"/>
        </w:rPr>
        <w:t>H</w:t>
      </w:r>
      <w:r>
        <w:rPr>
          <w:rFonts w:cs="Times New Roman" w:ascii="Times New Roman" w:hAnsi="Times New Roman"/>
          <w:b w:val="false"/>
          <w:bCs w:val="false"/>
          <w:color w:val="000000"/>
          <w:kern w:val="0"/>
          <w:sz w:val="28"/>
          <w:szCs w:val="28"/>
          <w:shd w:fill="FFFFFF" w:val="clear"/>
          <w:lang w:eastAsia="ru-RU"/>
        </w:rPr>
        <w:t xml:space="preserve">eat </w:t>
      </w:r>
      <w:r>
        <w:rPr>
          <w:rFonts w:cs="Times New Roman" w:ascii="Times New Roman" w:hAnsi="Times New Roman"/>
          <w:b w:val="false"/>
          <w:bCs w:val="false"/>
          <w:color w:val="000000"/>
          <w:kern w:val="0"/>
          <w:sz w:val="28"/>
          <w:szCs w:val="28"/>
          <w:shd w:fill="FFFFFF" w:val="clear"/>
          <w:lang w:val="en-US" w:eastAsia="ru-RU"/>
        </w:rPr>
        <w:t>R</w:t>
      </w:r>
      <w:r>
        <w:rPr>
          <w:rFonts w:cs="Times New Roman" w:ascii="Times New Roman" w:hAnsi="Times New Roman"/>
          <w:b w:val="false"/>
          <w:bCs w:val="false"/>
          <w:color w:val="000000"/>
          <w:kern w:val="0"/>
          <w:sz w:val="28"/>
          <w:szCs w:val="28"/>
          <w:shd w:fill="FFFFFF" w:val="clear"/>
          <w:lang w:eastAsia="ru-RU"/>
        </w:rPr>
        <w:t xml:space="preserve">ecovery </w:t>
      </w:r>
      <w:r>
        <w:rPr>
          <w:rFonts w:cs="Times New Roman" w:ascii="Times New Roman" w:hAnsi="Times New Roman"/>
          <w:b w:val="false"/>
          <w:bCs w:val="false"/>
          <w:color w:val="000000"/>
          <w:kern w:val="0"/>
          <w:sz w:val="28"/>
          <w:szCs w:val="28"/>
          <w:shd w:fill="FFFFFF" w:val="clear"/>
          <w:lang w:val="en-US" w:eastAsia="ru-RU"/>
        </w:rPr>
        <w:t>F</w:t>
      </w:r>
      <w:r>
        <w:rPr>
          <w:rFonts w:cs="Times New Roman" w:ascii="Times New Roman" w:hAnsi="Times New Roman"/>
          <w:b w:val="false"/>
          <w:bCs w:val="false"/>
          <w:color w:val="000000"/>
          <w:kern w:val="0"/>
          <w:sz w:val="28"/>
          <w:szCs w:val="28"/>
          <w:shd w:fill="FFFFFF" w:val="clear"/>
          <w:lang w:eastAsia="ru-RU"/>
        </w:rPr>
        <w:t xml:space="preserve">rom </w:t>
      </w:r>
      <w:r>
        <w:rPr>
          <w:rFonts w:cs="Times New Roman" w:ascii="Times New Roman" w:hAnsi="Times New Roman"/>
          <w:b w:val="false"/>
          <w:bCs w:val="false"/>
          <w:color w:val="000000"/>
          <w:kern w:val="0"/>
          <w:sz w:val="28"/>
          <w:szCs w:val="28"/>
          <w:shd w:fill="FFFFFF" w:val="clear"/>
          <w:lang w:val="en-US" w:eastAsia="ru-RU"/>
        </w:rPr>
        <w:t>F</w:t>
      </w:r>
      <w:r>
        <w:rPr>
          <w:rFonts w:cs="Times New Roman" w:ascii="Times New Roman" w:hAnsi="Times New Roman"/>
          <w:b w:val="false"/>
          <w:bCs w:val="false"/>
          <w:color w:val="000000"/>
          <w:kern w:val="0"/>
          <w:sz w:val="28"/>
          <w:szCs w:val="28"/>
          <w:shd w:fill="FFFFFF" w:val="clear"/>
          <w:lang w:eastAsia="ru-RU"/>
        </w:rPr>
        <w:t xml:space="preserve">lue </w:t>
      </w:r>
      <w:r>
        <w:rPr>
          <w:rFonts w:cs="Times New Roman" w:ascii="Times New Roman" w:hAnsi="Times New Roman"/>
          <w:b w:val="false"/>
          <w:bCs w:val="false"/>
          <w:color w:val="000000"/>
          <w:kern w:val="0"/>
          <w:sz w:val="28"/>
          <w:szCs w:val="28"/>
          <w:shd w:fill="FFFFFF" w:val="clear"/>
          <w:lang w:val="en-US" w:eastAsia="ru-RU"/>
        </w:rPr>
        <w:t>G</w:t>
      </w:r>
      <w:r>
        <w:rPr>
          <w:rFonts w:cs="Times New Roman" w:ascii="Times New Roman" w:hAnsi="Times New Roman"/>
          <w:b w:val="false"/>
          <w:bCs w:val="false"/>
          <w:color w:val="000000"/>
          <w:kern w:val="0"/>
          <w:sz w:val="28"/>
          <w:szCs w:val="28"/>
          <w:shd w:fill="FFFFFF" w:val="clear"/>
          <w:lang w:eastAsia="ru-RU"/>
        </w:rPr>
        <w:t>as – Lutsk 5</w:t>
      </w:r>
      <w:r>
        <w:rPr>
          <w:rFonts w:cs="Times New Roman" w:ascii="Times New Roman" w:hAnsi="Times New Roman"/>
          <w:b w:val="false"/>
          <w:bCs w:val="false"/>
          <w:color w:val="000000"/>
          <w:kern w:val="0"/>
          <w:sz w:val="28"/>
          <w:szCs w:val="28"/>
          <w:shd w:fill="FFFFFF" w:val="clear"/>
          <w:lang w:val="en-US" w:eastAsia="ru-RU"/>
        </w:rPr>
        <w:t> </w:t>
      </w:r>
      <w:r>
        <w:rPr>
          <w:rFonts w:cs="Times New Roman" w:ascii="Times New Roman" w:hAnsi="Times New Roman"/>
          <w:b w:val="false"/>
          <w:bCs w:val="false"/>
          <w:color w:val="000000"/>
          <w:kern w:val="0"/>
          <w:sz w:val="28"/>
          <w:szCs w:val="28"/>
          <w:shd w:fill="FFFFFF" w:val="clear"/>
          <w:lang w:eastAsia="ru-RU"/>
        </w:rPr>
        <w:t xml:space="preserve">MW») на котельні по вул. Боженка. ДКП «Луцьктепло» виконано збір даних </w:t>
      </w:r>
      <w:r>
        <w:rPr>
          <w:rFonts w:cs="Times New Roman" w:ascii="Times New Roman" w:hAnsi="Times New Roman"/>
          <w:b w:val="false"/>
          <w:bCs w:val="false"/>
          <w:color w:val="000000"/>
          <w:kern w:val="0"/>
          <w:sz w:val="28"/>
          <w:szCs w:val="28"/>
          <w:shd w:fill="FFFFFF" w:val="clear"/>
          <w:lang w:val="ru-RU" w:eastAsia="ru-RU"/>
        </w:rPr>
        <w:t>для</w:t>
      </w:r>
      <w:r>
        <w:rPr>
          <w:rFonts w:cs="Times New Roman" w:ascii="Times New Roman" w:hAnsi="Times New Roman"/>
          <w:b w:val="false"/>
          <w:bCs w:val="false"/>
          <w:color w:val="000000"/>
          <w:kern w:val="0"/>
          <w:sz w:val="28"/>
          <w:szCs w:val="28"/>
          <w:shd w:fill="FFFFFF" w:val="clear"/>
          <w:lang w:eastAsia="ru-RU"/>
        </w:rPr>
        <w:t xml:space="preserve"> техніко-економічного обґрунтування. Підписано Грантову угоду з NEFCO на суму 500 тис. євро. Через введення воєнного стану реалізацію проєкту призупинено.</w:t>
      </w:r>
    </w:p>
    <w:p>
      <w:pPr>
        <w:pStyle w:val="Standard"/>
        <w:ind w:left="0" w:right="0" w:firstLine="567"/>
        <w:jc w:val="both"/>
        <w:rPr/>
      </w:pPr>
      <w:r>
        <w:rPr>
          <w:rFonts w:ascii="Times New Roman" w:hAnsi="Times New Roman"/>
          <w:b w:val="false"/>
          <w:bCs w:val="false"/>
          <w:sz w:val="28"/>
          <w:szCs w:val="28"/>
          <w:shd w:fill="FFFFFF" w:val="clear"/>
        </w:rPr>
        <w:t xml:space="preserve">Впродовж 2022 року в рамках спільного з Європейським інвестиційним банком проєкту </w:t>
      </w:r>
      <w:r>
        <w:rPr>
          <w:rFonts w:cs="Times New Roman" w:ascii="Times New Roman" w:hAnsi="Times New Roman"/>
          <w:b w:val="false"/>
          <w:bCs w:val="false"/>
          <w:kern w:val="0"/>
          <w:sz w:val="28"/>
          <w:szCs w:val="28"/>
          <w:shd w:fill="FFFFFF" w:val="clear"/>
        </w:rPr>
        <w:t xml:space="preserve">«Міський громадський транспорт України І» та </w:t>
      </w:r>
      <w:r>
        <w:rPr>
          <w:rFonts w:ascii="Times New Roman" w:hAnsi="Times New Roman"/>
          <w:b w:val="false"/>
          <w:bCs w:val="false"/>
          <w:sz w:val="28"/>
          <w:szCs w:val="28"/>
          <w:shd w:fill="FFFFFF" w:val="clear"/>
        </w:rPr>
        <w:t>підпроєкту «Оновлення інфраструктури електротранспорту міста Луцька Волинської області»</w:t>
      </w:r>
      <w:r>
        <w:rPr>
          <w:rFonts w:cs="Times New Roman" w:ascii="Times New Roman" w:hAnsi="Times New Roman"/>
          <w:b w:val="false"/>
          <w:bCs w:val="false"/>
          <w:kern w:val="0"/>
          <w:sz w:val="28"/>
          <w:szCs w:val="28"/>
          <w:shd w:fill="FFFFFF" w:val="clear"/>
        </w:rPr>
        <w:t xml:space="preserve"> постачальник виконав всі контрактні зобов’язання – поставлено 17 нових тролейбусів та всі запасні частини й обладнання, які передбачені контрактом. Всі 29 нових тролейбусів отримано. </w:t>
      </w:r>
    </w:p>
    <w:p>
      <w:pPr>
        <w:pStyle w:val="Standard"/>
        <w:ind w:left="0" w:right="0" w:firstLine="567"/>
        <w:jc w:val="both"/>
        <w:rPr/>
      </w:pPr>
      <w:r>
        <w:rPr>
          <w:rFonts w:ascii="Times New Roman" w:hAnsi="Times New Roman"/>
          <w:b w:val="false"/>
          <w:bCs w:val="false"/>
          <w:kern w:val="0"/>
          <w:sz w:val="28"/>
          <w:szCs w:val="28"/>
        </w:rPr>
        <w:t xml:space="preserve">На даний час на маршрутах громадського транспорту </w:t>
      </w:r>
      <w:r>
        <w:rPr>
          <w:rFonts w:cs="Times New Roman" w:ascii="Times New Roman" w:hAnsi="Times New Roman"/>
          <w:b w:val="false"/>
          <w:bCs w:val="false"/>
          <w:kern w:val="0"/>
          <w:sz w:val="28"/>
          <w:szCs w:val="28"/>
          <w:shd w:fill="FFFFFF" w:val="clear"/>
        </w:rPr>
        <w:t>Луцької міської територіальної громади працюють 130 автобусів, з яких 58 є сучасними великогабаритними та відповідають екологічному стандарту «Євро-5». Нові автобуси мають низьку підлогу, пандуси, спеціальні місця для людей з інвалідністю, їх обладнано системою відеоспостереження, навігації та  кондиціонерами.</w:t>
      </w:r>
    </w:p>
    <w:p>
      <w:pPr>
        <w:pStyle w:val="Standard"/>
        <w:ind w:left="0" w:right="0" w:firstLine="567"/>
        <w:jc w:val="both"/>
        <w:rPr/>
      </w:pPr>
      <w:r>
        <w:rPr>
          <w:rFonts w:cs="Times New Roman" w:ascii="Times New Roman" w:hAnsi="Times New Roman"/>
          <w:b w:val="false"/>
          <w:bCs w:val="false"/>
          <w:color w:val="000000"/>
          <w:kern w:val="0"/>
          <w:sz w:val="28"/>
          <w:szCs w:val="28"/>
          <w:shd w:fill="FFFFFF" w:val="clear"/>
        </w:rPr>
        <w:t>Триває узгодження можливості фінансування будівництва відрізку контактної мережі на вул. Окружній та вул. Станіславського за рахунок грантових коштів Європейського інвестиційного банку (155 тис. євро).</w:t>
      </w:r>
    </w:p>
    <w:p>
      <w:pPr>
        <w:pStyle w:val="Standard"/>
        <w:tabs>
          <w:tab w:val="clear" w:pos="708"/>
          <w:tab w:val="left" w:pos="630" w:leader="none"/>
        </w:tabs>
        <w:ind w:left="0" w:right="0" w:firstLine="567"/>
        <w:jc w:val="both"/>
        <w:rPr/>
      </w:pPr>
      <w:r>
        <w:rPr>
          <w:rFonts w:ascii="Times New Roman" w:hAnsi="Times New Roman"/>
          <w:b w:val="false"/>
          <w:bCs w:val="false"/>
          <w:sz w:val="28"/>
          <w:szCs w:val="28"/>
        </w:rPr>
        <w:t xml:space="preserve">Продовжується робота над проєктом «Оновлення тролейбусного парку міста Луцька» </w:t>
      </w:r>
      <w:r>
        <w:rPr>
          <w:rFonts w:eastAsia="SimSun" w:cs="Mangal" w:ascii="Times New Roman" w:hAnsi="Times New Roman"/>
          <w:b w:val="false"/>
          <w:bCs w:val="false"/>
          <w:sz w:val="28"/>
          <w:szCs w:val="28"/>
          <w:shd w:fill="FFFFFF" w:val="clear"/>
        </w:rPr>
        <w:t xml:space="preserve">(в рамках проєкту «Міський громадський транспорт України ІІ», спільно з ЄІБ). </w:t>
      </w:r>
      <w:r>
        <w:rPr>
          <w:rFonts w:ascii="Times New Roman" w:hAnsi="Times New Roman"/>
          <w:b w:val="false"/>
          <w:bCs w:val="false"/>
          <w:sz w:val="28"/>
          <w:szCs w:val="28"/>
        </w:rPr>
        <w:t>Заходи проєкту передбачають закупівлю 30-ти тролейбусів, 6 з яких комплектуватимуться електроустановками автономного ходу.</w:t>
      </w:r>
    </w:p>
    <w:p>
      <w:pPr>
        <w:pStyle w:val="Standard"/>
        <w:ind w:left="0" w:right="0" w:firstLine="709"/>
        <w:jc w:val="both"/>
        <w:rPr/>
      </w:pPr>
      <w:r>
        <w:rPr>
          <w:rFonts w:ascii="Times New Roman" w:hAnsi="Times New Roman"/>
          <w:b w:val="false"/>
          <w:bCs w:val="false"/>
          <w:sz w:val="28"/>
          <w:szCs w:val="28"/>
        </w:rPr>
        <w:t>У звітному періоді оновлено «Формат вираження інтересів» – заявку Луцької міської ради на участь у проєкті. Розроблено техніко-економічне обґрунтування проєкту, на завершальній стадії – розробка тендерної документації. Очікується підписання угоди про передачу коштів позики.</w:t>
      </w:r>
    </w:p>
    <w:p>
      <w:pPr>
        <w:pStyle w:val="Standard"/>
        <w:ind w:left="0" w:right="0" w:firstLine="567"/>
        <w:jc w:val="both"/>
        <w:rPr/>
      </w:pPr>
      <w:r>
        <w:rPr>
          <w:rFonts w:ascii="Times New Roman" w:hAnsi="Times New Roman"/>
          <w:b w:val="false"/>
          <w:bCs w:val="false"/>
          <w:sz w:val="28"/>
          <w:szCs w:val="28"/>
          <w:shd w:fill="FFFFFF" w:val="clear"/>
        </w:rPr>
        <w:t>В рамках спільного з ЄІБ проєкту «Модернізація системи водопостачання та водовідведення м. Луцька», який реалізується в межах «Програми розвитку муніципальної інфраструктури України», підписано угоду про передачу коштів позики, узгоджено довгостроковий план інвестицій та проведено тендер на закупівлю спеціальних транспортних засобів для обслуговування систем водопостачання та водовідведення.</w:t>
      </w:r>
    </w:p>
    <w:p>
      <w:pPr>
        <w:pStyle w:val="Standard"/>
        <w:ind w:left="0" w:right="0" w:firstLine="567"/>
        <w:jc w:val="both"/>
        <w:rPr/>
      </w:pPr>
      <w:r>
        <w:rPr>
          <w:rFonts w:ascii="Times New Roman" w:hAnsi="Times New Roman"/>
          <w:b w:val="false"/>
          <w:bCs w:val="false"/>
          <w:sz w:val="28"/>
          <w:szCs w:val="28"/>
          <w:shd w:fill="FFFFFF" w:val="clear"/>
        </w:rPr>
        <w:t>Загальна вартість: 13 929,0 тис. євро. Проєктом планується модернізація технологічної системи водопідготовки м. Луцька із заміною фільтрів сирої води, турбін аерації, пуском проміжних насосів тощо, р</w:t>
      </w:r>
      <w:r>
        <w:rPr>
          <w:rFonts w:ascii="Times New Roman" w:hAnsi="Times New Roman"/>
          <w:b w:val="false"/>
          <w:bCs w:val="false"/>
          <w:iCs/>
          <w:sz w:val="28"/>
          <w:szCs w:val="28"/>
          <w:shd w:fill="FFFFFF" w:val="clear"/>
        </w:rPr>
        <w:t>еконструкція каналізаційних очисних споруд з добудовою блоку біоенергетичної переробки та утилізації відходів, очищення стічних вод, а також з</w:t>
      </w:r>
      <w:r>
        <w:rPr>
          <w:rFonts w:ascii="Times New Roman" w:hAnsi="Times New Roman"/>
          <w:b w:val="false"/>
          <w:bCs w:val="false"/>
          <w:sz w:val="28"/>
          <w:szCs w:val="28"/>
          <w:shd w:fill="FFFFFF" w:val="clear"/>
        </w:rPr>
        <w:t>аміна зношеної техніки на нову.</w:t>
      </w:r>
    </w:p>
    <w:p>
      <w:pPr>
        <w:pStyle w:val="Standard"/>
        <w:widowControl w:val="false"/>
        <w:tabs>
          <w:tab w:val="clear" w:pos="708"/>
          <w:tab w:val="left" w:pos="570" w:leader="none"/>
        </w:tabs>
        <w:ind w:left="0" w:right="0" w:firstLine="567"/>
        <w:jc w:val="both"/>
        <w:rPr/>
      </w:pPr>
      <w:r>
        <w:rPr>
          <w:rFonts w:cs="Times New Roman" w:ascii="Times New Roman" w:hAnsi="Times New Roman"/>
          <w:b w:val="false"/>
          <w:bCs w:val="false"/>
          <w:color w:val="000000"/>
          <w:kern w:val="0"/>
          <w:sz w:val="28"/>
          <w:szCs w:val="28"/>
          <w:shd w:fill="FFFFFF" w:val="clear"/>
          <w:lang w:eastAsia="ru-RU"/>
        </w:rPr>
        <w:t xml:space="preserve">Продовжується впровадження проєкту «Підвищення енергоефективності та надійності системи водопостачання та водовідведення м. Луцька» у співпраці з НЕФКО. Наприкінці 2021 року отримано 207,0 тис. євро, за </w:t>
      </w:r>
      <w:r>
        <w:rPr>
          <w:rFonts w:eastAsia="0" w:cs="Times New Roman" w:ascii="Times New Roman" w:hAnsi="Times New Roman"/>
          <w:b w:val="false"/>
          <w:bCs w:val="false"/>
          <w:color w:val="000000"/>
          <w:kern w:val="0"/>
          <w:sz w:val="28"/>
          <w:szCs w:val="28"/>
          <w:shd w:fill="FFFFFF" w:val="clear"/>
          <w:lang w:val="uk-UA" w:eastAsia="ru-RU" w:bidi="hi-IN"/>
        </w:rPr>
        <w:t>кошти</w:t>
      </w:r>
      <w:r>
        <w:rPr>
          <w:rFonts w:cs="Times New Roman" w:ascii="Times New Roman" w:hAnsi="Times New Roman"/>
          <w:b w:val="false"/>
          <w:bCs w:val="false"/>
          <w:color w:val="000000"/>
          <w:kern w:val="0"/>
          <w:sz w:val="28"/>
          <w:szCs w:val="28"/>
          <w:shd w:fill="FFFFFF" w:val="clear"/>
          <w:lang w:eastAsia="ru-RU"/>
        </w:rPr>
        <w:t xml:space="preserve"> яких проведено</w:t>
      </w:r>
      <w:r>
        <w:rPr>
          <w:rFonts w:cs="Times New Roman" w:ascii="Times New Roman" w:hAnsi="Times New Roman"/>
          <w:b w:val="false"/>
          <w:bCs w:val="false"/>
          <w:iCs/>
          <w:color w:val="000000"/>
          <w:kern w:val="0"/>
          <w:sz w:val="28"/>
          <w:szCs w:val="28"/>
          <w:shd w:fill="FFFFFF" w:val="clear"/>
          <w:lang w:eastAsia="ru-RU"/>
        </w:rPr>
        <w:t xml:space="preserve"> заміну технологічного обладнання 43 підвищувальних станцій міста Луцька, організовано комерційний облік водопостачання в багатоквартирних житлових будинках та технічне переоснащення каналізаційних помпових станцій</w:t>
      </w:r>
      <w:r>
        <w:rPr>
          <w:rFonts w:cs="Times New Roman" w:ascii="Times New Roman" w:hAnsi="Times New Roman"/>
          <w:b w:val="false"/>
          <w:bCs w:val="false"/>
          <w:color w:val="000000"/>
          <w:kern w:val="0"/>
          <w:sz w:val="28"/>
          <w:szCs w:val="28"/>
          <w:shd w:fill="FFFFFF" w:val="clear"/>
          <w:lang w:eastAsia="ru-RU"/>
        </w:rPr>
        <w:t>. У 2022 році отримано 2 433 566,67 грн кредиту.</w:t>
      </w:r>
    </w:p>
    <w:p>
      <w:pPr>
        <w:pStyle w:val="12"/>
        <w:widowControl w:val="false"/>
        <w:tabs>
          <w:tab w:val="clear" w:pos="708"/>
          <w:tab w:val="left" w:pos="2982" w:leader="none"/>
        </w:tabs>
        <w:suppressAutoHyphens w:val="true"/>
        <w:spacing w:lineRule="auto" w:line="240" w:before="0" w:after="0"/>
        <w:ind w:left="0" w:right="0" w:firstLine="567"/>
        <w:contextualSpacing/>
        <w:jc w:val="both"/>
        <w:rPr/>
      </w:pPr>
      <w:r>
        <w:rPr>
          <w:rFonts w:ascii="Times New Roman" w:hAnsi="Times New Roman"/>
          <w:b w:val="false"/>
          <w:bCs w:val="false"/>
          <w:sz w:val="28"/>
          <w:szCs w:val="28"/>
          <w:shd w:fill="FFFFFF" w:val="clear"/>
          <w:lang w:val="uk-UA"/>
        </w:rPr>
        <w:t>В результаті перемоги у конкурсі проєктів із залучення субвенції з державного бюджету місцевим бюджетам на розвиток комунальної інфраструктури, згідно з постановою Кабінету Міністрів України від 11.08.2021 № 883, планувалось оновлення парку комунальної техніки ЛСКАП «Луцькспецкомунтранс», КП «Луцькводоканал» та ДКП «Луцьктепло»</w:t>
      </w:r>
      <w:r>
        <w:rPr>
          <w:rFonts w:ascii="Times New Roman" w:hAnsi="Times New Roman"/>
          <w:b w:val="false"/>
          <w:bCs w:val="false"/>
          <w:color w:val="000000"/>
          <w:sz w:val="28"/>
          <w:szCs w:val="28"/>
          <w:shd w:fill="FFFFFF" w:val="clear"/>
          <w:lang w:val="uk-UA"/>
        </w:rPr>
        <w:t xml:space="preserve"> за допомогою інструментів фінансового лізингу. </w:t>
      </w:r>
      <w:r>
        <w:rPr>
          <w:rFonts w:ascii="Times New Roman" w:hAnsi="Times New Roman"/>
          <w:b w:val="false"/>
          <w:bCs w:val="false"/>
          <w:sz w:val="28"/>
          <w:szCs w:val="28"/>
          <w:shd w:fill="FFFFFF" w:val="clear"/>
          <w:lang w:val="uk-UA"/>
        </w:rPr>
        <w:t xml:space="preserve">У рамках зазначеної постанови, на умовах фінансового лізингу, КП «Луцькводоканал» придбано мобільну установку зневоднення осаду на базі мультидискового шнекового дегідратора MDQ 452 (14,6 млн грн). </w:t>
      </w:r>
      <w:r>
        <w:rPr>
          <w:rFonts w:ascii="Times New Roman" w:hAnsi="Times New Roman"/>
          <w:b w:val="false"/>
          <w:bCs w:val="false"/>
          <w:color w:val="000000"/>
          <w:sz w:val="28"/>
          <w:szCs w:val="28"/>
          <w:shd w:fill="FFFFFF" w:val="clear"/>
          <w:lang w:val="uk-UA"/>
        </w:rPr>
        <w:t>У зв’язку з російською агресією, 3,76 млн грн коштів субвенції освоєно бюджетом Луцької міської територіальної громади на цілі, пов’язані із забезпеченням функціонування громади в умовах воєнного стану, 1,56 млн грн повернуто до Державного бюджету України.</w:t>
      </w:r>
    </w:p>
    <w:p>
      <w:pPr>
        <w:pStyle w:val="Standard"/>
        <w:widowControl w:val="false"/>
        <w:ind w:left="0" w:right="0" w:firstLine="567"/>
        <w:jc w:val="both"/>
        <w:rPr/>
      </w:pPr>
      <w:r>
        <w:rPr>
          <w:rFonts w:cs="Times New Roman" w:ascii="Times New Roman" w:hAnsi="Times New Roman"/>
          <w:b w:val="false"/>
          <w:bCs w:val="false"/>
          <w:color w:val="000000"/>
          <w:kern w:val="0"/>
          <w:sz w:val="28"/>
          <w:szCs w:val="28"/>
          <w:shd w:fill="FFFFFF" w:val="clear"/>
          <w:lang w:eastAsia="ru-RU"/>
        </w:rPr>
        <w:t xml:space="preserve">У співпраці з компанією TetraTech ES, Inс., що фінансується Агентством США з міжнародного розвитку (USAID) реалізується «Проєкт Енергетичної безпеки» (розробка схеми теплопостачання громади та ін. заходів). 30.09.2022 підписано оновлений Меморандум про взаємопорозуміння. В межах проєкту отримано екскаватор </w:t>
      </w:r>
      <w:r>
        <w:rPr>
          <w:rFonts w:cs="Times New Roman" w:ascii="Times New Roman" w:hAnsi="Times New Roman"/>
          <w:b w:val="false"/>
          <w:bCs w:val="false"/>
          <w:color w:val="000000"/>
          <w:kern w:val="0"/>
          <w:sz w:val="28"/>
          <w:szCs w:val="28"/>
          <w:shd w:fill="FFFFFF" w:val="clear"/>
          <w:lang w:val="en-US" w:eastAsia="ru-RU"/>
        </w:rPr>
        <w:t>JCB</w:t>
      </w:r>
      <w:r>
        <w:rPr>
          <w:rFonts w:cs="Times New Roman" w:ascii="Times New Roman" w:hAnsi="Times New Roman"/>
          <w:b w:val="false"/>
          <w:bCs w:val="false"/>
          <w:color w:val="000000"/>
          <w:kern w:val="0"/>
          <w:sz w:val="28"/>
          <w:szCs w:val="28"/>
          <w:shd w:fill="FFFFFF" w:val="clear"/>
          <w:lang w:val="ru-RU" w:eastAsia="ru-RU"/>
        </w:rPr>
        <w:t xml:space="preserve">, 62 </w:t>
      </w:r>
      <w:r>
        <w:rPr>
          <w:rFonts w:cs="Times New Roman" w:ascii="Times New Roman" w:hAnsi="Times New Roman"/>
          <w:b w:val="false"/>
          <w:bCs w:val="false"/>
          <w:color w:val="000000"/>
          <w:kern w:val="0"/>
          <w:sz w:val="28"/>
          <w:szCs w:val="28"/>
          <w:shd w:fill="FFFFFF" w:val="clear"/>
          <w:lang w:eastAsia="ru-RU"/>
        </w:rPr>
        <w:t>електрогенератори та 800 м труб для потреб ДКП «Луцьктепло». На фінальному етапі – розробка схеми теплопостачання Луцької міської територіальної громади.</w:t>
      </w:r>
    </w:p>
    <w:p>
      <w:pPr>
        <w:pStyle w:val="Standard"/>
        <w:widowControl w:val="false"/>
        <w:shd w:fill="FFFFFF"/>
        <w:ind w:left="0" w:right="0" w:firstLine="567"/>
        <w:jc w:val="both"/>
        <w:rPr/>
      </w:pPr>
      <w:r>
        <w:rPr>
          <w:rFonts w:cs="Times New Roman" w:ascii="Times New Roman" w:hAnsi="Times New Roman"/>
          <w:b w:val="false"/>
          <w:bCs w:val="false"/>
          <w:color w:val="000000"/>
          <w:kern w:val="0"/>
          <w:sz w:val="28"/>
          <w:szCs w:val="28"/>
          <w:shd w:fill="FFFFFF" w:val="clear"/>
          <w:lang w:eastAsia="uk-UA" w:bidi="ar-SA"/>
        </w:rPr>
        <w:t>У 2022 році за реалізований проєкт «Енергоефективність в громадських будівлях міста Луцька» отримано престижну премію Emerging Europe Awards 2022 в номінації «Ініціатива року в галузі зеленої енергетики» за значний внесок у пом’якшення наслідків зміни клімату та перехід до зеленої економіки. Нагороду 23 червня 2022 року в м. Брюсселі (Бельгія) отримала заступник міського голови Ірина Чебелюк.</w:t>
      </w:r>
    </w:p>
    <w:p>
      <w:pPr>
        <w:pStyle w:val="Standard"/>
        <w:widowControl w:val="false"/>
        <w:tabs>
          <w:tab w:val="clear" w:pos="708"/>
          <w:tab w:val="left" w:pos="570" w:leader="none"/>
        </w:tabs>
        <w:ind w:left="0" w:right="0" w:firstLine="567"/>
        <w:jc w:val="both"/>
        <w:rPr/>
      </w:pPr>
      <w:r>
        <w:rPr>
          <w:rFonts w:cs="Times New Roman" w:ascii="Times New Roman" w:hAnsi="Times New Roman"/>
          <w:b w:val="false"/>
          <w:bCs w:val="false"/>
          <w:color w:val="000000"/>
          <w:kern w:val="0"/>
          <w:sz w:val="28"/>
          <w:szCs w:val="28"/>
          <w:shd w:fill="FFFFFF" w:val="clear"/>
          <w:lang w:eastAsia="uk-UA" w:bidi="ar-SA"/>
        </w:rPr>
        <w:t>За результатами перемовин та консультацій з керівництвом Міністерства інфраструктури України та АТ «Укрзалізниця» щодо відновлення роботи Луцької дитячої залізниці прийнято ряд рішень, якими визначено перелік майна комплексу об’єктів соціальної інфраструктури «Луцька дитяча залізниця», що передається у комунальну власність Луцької міської територіальної громади, погоджено техніко-економічне обґрунтування. На даний час зазначенні документи на розгляді та узгодженні в Міністерстві розвитку громад, територій та інфраструктури України.</w:t>
      </w:r>
    </w:p>
    <w:p>
      <w:pPr>
        <w:pStyle w:val="Normal"/>
        <w:widowControl/>
        <w:suppressAutoHyphens w:val="true"/>
        <w:bidi w:val="0"/>
        <w:spacing w:lineRule="auto" w:line="240" w:before="0" w:after="0"/>
        <w:ind w:firstLine="567"/>
        <w:jc w:val="both"/>
        <w:rPr/>
      </w:pPr>
      <w:r>
        <w:rPr>
          <w:rFonts w:cs="Times New Roman"/>
          <w:b w:val="false"/>
          <w:bCs w:val="false"/>
          <w:color w:val="000000"/>
          <w:kern w:val="0"/>
          <w:sz w:val="28"/>
          <w:szCs w:val="28"/>
          <w:shd w:fill="FFFFFF" w:val="clear"/>
          <w:lang w:val="ru-RU"/>
        </w:rPr>
        <w:t xml:space="preserve">З метою впорядкування сфери прокату персонального електричного транспорту (електросамокатів, гіроскутерів тощо), унормування відносин з операторами прокату персонального вело- та електротранспорту та створення загальноміських правил користування ним, розроблено </w:t>
      </w:r>
      <w:r>
        <w:rPr>
          <w:sz w:val="28"/>
          <w:szCs w:val="28"/>
          <w:lang w:val="ru-RU"/>
        </w:rPr>
        <w:t xml:space="preserve">Положення про порядок надання послуг прокату персонального </w:t>
      </w:r>
      <w:r>
        <w:rPr>
          <w:sz w:val="28"/>
          <w:szCs w:val="28"/>
          <w:lang w:val="ru-RU" w:eastAsia="ru-RU" w:bidi="ar-SA"/>
        </w:rPr>
        <w:t>легкого</w:t>
      </w:r>
      <w:r>
        <w:rPr>
          <w:sz w:val="28"/>
          <w:szCs w:val="28"/>
          <w:lang w:val="ru-RU"/>
        </w:rPr>
        <w:t xml:space="preserve"> електротранспорту на території Луцької міської територіальної громади, яке затверджено рішенням виконавчого комітету міської </w:t>
      </w:r>
      <w:r>
        <w:rPr>
          <w:rFonts w:cs="Times New Roman"/>
          <w:b w:val="false"/>
          <w:bCs w:val="false"/>
          <w:color w:val="000000"/>
          <w:kern w:val="0"/>
          <w:sz w:val="28"/>
          <w:szCs w:val="28"/>
          <w:shd w:fill="FFFFFF" w:val="clear"/>
          <w:lang w:val="ru-RU"/>
        </w:rPr>
        <w:t xml:space="preserve">ради </w:t>
      </w:r>
      <w:r>
        <w:rPr>
          <w:rFonts w:cs="Times New Roman"/>
          <w:b w:val="false"/>
          <w:bCs w:val="false"/>
          <w:color w:val="000000"/>
          <w:sz w:val="28"/>
          <w:szCs w:val="28"/>
          <w:shd w:fill="FFFFFF" w:val="clear"/>
          <w:lang w:val="ru-RU"/>
        </w:rPr>
        <w:t>від 15.06.2022 № 277-1</w:t>
      </w:r>
      <w:r>
        <w:rPr>
          <w:rFonts w:cs="Times New Roman"/>
          <w:b w:val="false"/>
          <w:bCs w:val="false"/>
          <w:color w:val="000000"/>
          <w:kern w:val="0"/>
          <w:sz w:val="28"/>
          <w:szCs w:val="28"/>
          <w:lang w:val="ru-RU"/>
        </w:rPr>
        <w:t xml:space="preserve">. </w:t>
      </w:r>
    </w:p>
    <w:p>
      <w:pPr>
        <w:pStyle w:val="Normal"/>
        <w:widowControl/>
        <w:suppressAutoHyphens w:val="true"/>
        <w:bidi w:val="0"/>
        <w:spacing w:lineRule="auto" w:line="240" w:before="0" w:after="0"/>
        <w:ind w:firstLine="567"/>
        <w:jc w:val="both"/>
        <w:rPr>
          <w:b w:val="false"/>
          <w:b w:val="false"/>
          <w:bCs w:val="false"/>
          <w:sz w:val="28"/>
          <w:szCs w:val="28"/>
          <w:lang w:val="ru-RU"/>
        </w:rPr>
      </w:pPr>
      <w:r>
        <w:rPr>
          <w:b w:val="false"/>
          <w:bCs w:val="false"/>
          <w:sz w:val="28"/>
          <w:szCs w:val="28"/>
          <w:lang w:val="ru-RU"/>
        </w:rPr>
      </w:r>
    </w:p>
    <w:p>
      <w:pPr>
        <w:pStyle w:val="Normal"/>
        <w:widowControl/>
        <w:suppressAutoHyphens w:val="true"/>
        <w:bidi w:val="0"/>
        <w:spacing w:lineRule="auto" w:line="240" w:before="0" w:after="0"/>
        <w:ind w:firstLine="567"/>
        <w:jc w:val="both"/>
        <w:rPr/>
      </w:pPr>
      <w:r>
        <w:rPr>
          <w:sz w:val="28"/>
          <w:szCs w:val="28"/>
          <w:u w:val="single"/>
          <w:lang w:val="uk-UA"/>
        </w:rPr>
        <w:t>3. </w:t>
      </w:r>
      <w:r>
        <w:rPr>
          <w:rFonts w:eastAsia="Times New Roman" w:cs="Times New Roman"/>
          <w:color w:val="auto"/>
          <w:kern w:val="0"/>
          <w:sz w:val="28"/>
          <w:szCs w:val="28"/>
          <w:u w:val="single"/>
          <w:lang w:val="uk-UA" w:eastAsia="ru-RU" w:bidi="ar-SA"/>
        </w:rPr>
        <w:t>Підприємництво.</w:t>
      </w:r>
    </w:p>
    <w:p>
      <w:pPr>
        <w:pStyle w:val="Normal"/>
        <w:widowControl/>
        <w:suppressAutoHyphens w:val="true"/>
        <w:bidi w:val="0"/>
        <w:spacing w:lineRule="auto" w:line="240" w:before="0" w:after="0"/>
        <w:ind w:left="0" w:right="0" w:firstLine="567"/>
        <w:jc w:val="both"/>
        <w:rPr/>
      </w:pPr>
      <w:r>
        <w:rPr>
          <w:color w:val="000000" w:themeColor="text1"/>
          <w:sz w:val="28"/>
          <w:szCs w:val="28"/>
        </w:rPr>
        <w:t>Рішенням міської ради від 31.08.2022 від № 34/55 затверджено Правила додержання тиші в громадських місцях на території Луцької міської територіальної громади, які є загальнообов</w:t>
      </w:r>
      <w:r>
        <w:rPr>
          <w:color w:val="000000" w:themeColor="text1"/>
          <w:sz w:val="28"/>
          <w:szCs w:val="28"/>
          <w:lang w:val="en-US"/>
        </w:rPr>
        <w:t>’</w:t>
      </w:r>
      <w:r>
        <w:rPr>
          <w:color w:val="000000" w:themeColor="text1"/>
          <w:sz w:val="28"/>
          <w:szCs w:val="28"/>
        </w:rPr>
        <w:t>язковими для підприємств, установ, організаці</w:t>
      </w:r>
      <w:r>
        <w:rPr>
          <w:color w:val="000000" w:themeColor="text1"/>
          <w:sz w:val="28"/>
          <w:szCs w:val="28"/>
          <w:lang w:val="uk-UA"/>
        </w:rPr>
        <w:t>й</w:t>
      </w:r>
      <w:r>
        <w:rPr>
          <w:color w:val="000000" w:themeColor="text1"/>
          <w:sz w:val="28"/>
          <w:szCs w:val="28"/>
        </w:rPr>
        <w:t xml:space="preserve"> незалежно від форми власності, фізичним особам-підприємцям, а також громадянам, та визначено порядок встановлення режимів роботи закладів. </w:t>
      </w:r>
    </w:p>
    <w:p>
      <w:pPr>
        <w:pStyle w:val="Normal"/>
        <w:widowControl/>
        <w:suppressAutoHyphens w:val="true"/>
        <w:bidi w:val="0"/>
        <w:spacing w:lineRule="auto" w:line="240" w:before="0" w:after="0"/>
        <w:ind w:left="0" w:right="0" w:firstLine="567"/>
        <w:jc w:val="both"/>
        <w:rPr/>
      </w:pPr>
      <w:r>
        <w:rPr>
          <w:color w:val="000000" w:themeColor="text1"/>
          <w:sz w:val="28"/>
          <w:szCs w:val="28"/>
        </w:rPr>
        <w:t>Протягом 2022 року погоджено денні режими роботи (з 8.00 до 22.00) для 35 об</w:t>
      </w:r>
      <w:r>
        <w:rPr>
          <w:color w:val="000000" w:themeColor="text1"/>
          <w:sz w:val="28"/>
          <w:szCs w:val="28"/>
          <w:lang w:val="en-US"/>
        </w:rPr>
        <w:t>’</w:t>
      </w:r>
      <w:r>
        <w:rPr>
          <w:color w:val="000000" w:themeColor="text1"/>
          <w:sz w:val="28"/>
          <w:szCs w:val="28"/>
        </w:rPr>
        <w:t>єктів господарювання та понад 20 цілодобових або в межах цілодобових режимів роботи, затверджених рішенням виконавчого комітету за умови дотримання обмежувальних протиепідемічних заходів та комендантської години на період воєнного стану.</w:t>
      </w:r>
    </w:p>
    <w:p>
      <w:pPr>
        <w:pStyle w:val="Normal"/>
        <w:widowControl/>
        <w:suppressAutoHyphens w:val="true"/>
        <w:bidi w:val="0"/>
        <w:spacing w:lineRule="auto" w:line="240" w:before="0" w:after="0"/>
        <w:ind w:left="0" w:right="0" w:firstLine="567"/>
        <w:jc w:val="both"/>
        <w:rPr/>
      </w:pPr>
      <w:r>
        <w:rPr>
          <w:color w:val="000000" w:themeColor="text1"/>
          <w:sz w:val="28"/>
          <w:szCs w:val="28"/>
        </w:rPr>
        <w:t>На території Луцької міської територіальної громади у звітному періоді розміщувалось 442 вуличних пунктів торгівлі та сфери надання послуг (в тому числі з малим терміном розміщення), що забезпечило надходження коштів до бюджету Луцької міської територіальної громади на суму 1 263 291,75 грн.</w:t>
      </w:r>
    </w:p>
    <w:p>
      <w:pPr>
        <w:pStyle w:val="Normal"/>
        <w:widowControl w:val="false"/>
        <w:ind w:firstLine="567"/>
        <w:jc w:val="both"/>
        <w:rPr/>
      </w:pPr>
      <w:r>
        <w:rPr>
          <w:color w:val="000000" w:themeColor="text1"/>
          <w:sz w:val="28"/>
          <w:szCs w:val="28"/>
        </w:rPr>
        <w:t xml:space="preserve">В рамках реалізації проєкту «Екологічні продукти для громади» в місті на постійній основі функціонують торговельні майданчики для реалізації продукції сільськогосподарського виробництва: на вул. Глушець (навпроти гімназії № 4), на вул. Єршова (поблизу ТЦ «Глобус») та на вул. Володимирська (поблизу житлових будинків № 99-103). </w:t>
      </w:r>
    </w:p>
    <w:p>
      <w:pPr>
        <w:pStyle w:val="Normal"/>
        <w:widowControl w:val="false"/>
        <w:ind w:left="0" w:right="0" w:firstLine="567"/>
        <w:jc w:val="both"/>
        <w:rPr/>
      </w:pPr>
      <w:r>
        <w:rPr>
          <w:color w:val="000000" w:themeColor="text1"/>
          <w:sz w:val="28"/>
          <w:szCs w:val="28"/>
        </w:rPr>
        <w:t xml:space="preserve">З метою уникнення стихійної торгівлі на вулицях міста було </w:t>
      </w:r>
      <w:r>
        <w:rPr>
          <w:color w:val="000000" w:themeColor="text1"/>
          <w:spacing w:val="4"/>
          <w:sz w:val="28"/>
          <w:szCs w:val="28"/>
        </w:rPr>
        <w:t>встановлено торговельні ятки у кількості 18 штук у 5 локаціях міста</w:t>
      </w:r>
      <w:r>
        <w:rPr>
          <w:color w:val="000000" w:themeColor="text1"/>
          <w:sz w:val="28"/>
          <w:szCs w:val="28"/>
        </w:rPr>
        <w:t>: просп. Соборності (неподалік супермаркету «АТБ»), просп. Соборності (неподалік</w:t>
      </w:r>
      <w:r>
        <w:rPr>
          <w:color w:val="000000" w:themeColor="text1"/>
          <w:sz w:val="28"/>
          <w:szCs w:val="28"/>
          <w:shd w:fill="FFFFFF" w:val="clear"/>
        </w:rPr>
        <w:t xml:space="preserve"> православного храму «Всіх Святих Землі Волинської»), вул. Львівська (неподалік автосервісу «Сафрон»), вул. Ковельська (поблизу супермаркету «АТБ»), просп. Відродження (біля супермаркету «Експрес ТАМ ТАМ»).</w:t>
      </w:r>
    </w:p>
    <w:p>
      <w:pPr>
        <w:pStyle w:val="Normal"/>
        <w:widowControl w:val="false"/>
        <w:suppressAutoHyphens w:val="true"/>
        <w:bidi w:val="0"/>
        <w:spacing w:lineRule="auto" w:line="240" w:before="0" w:after="0"/>
        <w:ind w:left="0" w:right="0" w:firstLine="567"/>
        <w:jc w:val="both"/>
        <w:rPr>
          <w:sz w:val="28"/>
          <w:szCs w:val="28"/>
        </w:rPr>
      </w:pPr>
      <w:r>
        <w:rPr>
          <w:sz w:val="28"/>
          <w:szCs w:val="28"/>
        </w:rPr>
        <w:t>Вперше на території України, зокрема, у місті Луцьку, спільно з мерією міста Люблін, комерційними підприємствами, університетом імені Марії Кюрі-Склодовської, Волинським національним університетом імені Лесі Українки, ГО «Ефект дитини» було реалізовано проєкт «Підприємливі діти: Луцьк-Люблін». Проєкт передбачав проведення комплексних навчально-тренувальних занять, майстер-класів та екскурсійних подорожей, що спрямовані на здобуття учнями та студентами умінь ведення підприємницької діяльності, демонстрацію на реальних прикладах чинних бізнес-візерунків міст Луцька та Любліна, процесу економічного розвитку конкретних підприємств, надання азів підприємницької освіти учасникам.</w:t>
      </w:r>
    </w:p>
    <w:p>
      <w:pPr>
        <w:pStyle w:val="Normal"/>
        <w:widowControl/>
        <w:suppressAutoHyphens w:val="true"/>
        <w:bidi w:val="0"/>
        <w:spacing w:lineRule="auto" w:line="240" w:before="0" w:after="0"/>
        <w:ind w:left="0" w:right="0" w:firstLine="567"/>
        <w:jc w:val="both"/>
        <w:rPr>
          <w:sz w:val="28"/>
          <w:szCs w:val="28"/>
        </w:rPr>
      </w:pPr>
      <w:r>
        <w:rPr>
          <w:sz w:val="28"/>
          <w:szCs w:val="28"/>
        </w:rPr>
        <w:t xml:space="preserve">На базі департаменту економічної політики Луцької міської ради </w:t>
      </w:r>
      <w:r>
        <w:rPr>
          <w:spacing w:val="-4"/>
          <w:sz w:val="28"/>
          <w:szCs w:val="28"/>
        </w:rPr>
        <w:t xml:space="preserve">створено </w:t>
      </w:r>
      <w:r>
        <w:rPr>
          <w:spacing w:val="-2"/>
          <w:sz w:val="28"/>
          <w:szCs w:val="28"/>
        </w:rPr>
        <w:t>Луцький центр підтримки евакуації та адаптації бізнесу (</w:t>
      </w:r>
      <w:r>
        <w:rPr>
          <w:sz w:val="28"/>
          <w:szCs w:val="28"/>
        </w:rPr>
        <w:t>розпорядження міського голови від 18.03.2022 № 93 «Про створення Луцького центру підтримки евакуації та адаптації бізнесу»</w:t>
      </w:r>
      <w:r>
        <w:rPr>
          <w:spacing w:val="-2"/>
          <w:sz w:val="28"/>
          <w:szCs w:val="28"/>
        </w:rPr>
        <w:t xml:space="preserve">), основним завданням якого є створення </w:t>
      </w:r>
      <w:r>
        <w:rPr>
          <w:spacing w:val="-4"/>
          <w:sz w:val="28"/>
          <w:szCs w:val="28"/>
        </w:rPr>
        <w:t>комфортних умов для ведення господарської діяльності евакуйованих підприємств різних форм власності на території Луцької міської територіальної громади. Центром сформовано перелік господарських об’єктів, приміщень, ділянок та виробничих потужностей на території Луцької міської територіальної громади, придатних для використання евакуйованими підприємствами різних форм власності. Базою даних Центру та його інформаційною підтримкою скористалося понад 50 підприємств – юридичних осіб та понад 120 фізичних – осіб підприємців.</w:t>
      </w:r>
    </w:p>
    <w:p>
      <w:pPr>
        <w:pStyle w:val="Normal"/>
        <w:widowControl/>
        <w:suppressAutoHyphens w:val="true"/>
        <w:bidi w:val="0"/>
        <w:spacing w:lineRule="auto" w:line="240" w:before="0" w:after="0"/>
        <w:ind w:left="0" w:right="0" w:firstLine="567"/>
        <w:jc w:val="both"/>
        <w:rPr/>
      </w:pPr>
      <w:r>
        <w:rPr>
          <w:sz w:val="28"/>
          <w:szCs w:val="28"/>
          <w:lang w:eastAsia="uk-UA"/>
        </w:rPr>
        <w:t xml:space="preserve">Для створення сприятливих умов для ведення бізнесу та підприємницької діяльності на території громади в умовах воєнного стану, створено «Фонд підтримки підприємництва Луцької територіальної громади» (далі </w:t>
      </w:r>
      <w:r>
        <w:rPr>
          <w:sz w:val="28"/>
          <w:szCs w:val="28"/>
        </w:rPr>
        <w:t>–</w:t>
      </w:r>
      <w:r>
        <w:rPr>
          <w:sz w:val="28"/>
          <w:szCs w:val="28"/>
          <w:lang w:eastAsia="uk-UA"/>
        </w:rPr>
        <w:t xml:space="preserve"> Фонд) та затверджено Положення (рішення міської ради від </w:t>
      </w:r>
      <w:r>
        <w:rPr>
          <w:color w:val="000000"/>
          <w:sz w:val="28"/>
          <w:szCs w:val="28"/>
        </w:rPr>
        <w:t>21.12.2022 № 39/38 «</w:t>
      </w:r>
      <w:r>
        <w:rPr>
          <w:sz w:val="28"/>
          <w:szCs w:val="28"/>
        </w:rPr>
        <w:t>Про фонд підтримки підприємництва Луцької міської територіальної громад</w:t>
      </w:r>
      <w:r>
        <w:rPr>
          <w:sz w:val="28"/>
          <w:szCs w:val="28"/>
          <w:lang w:val="uk-UA"/>
        </w:rPr>
        <w:t>и</w:t>
      </w:r>
      <w:r>
        <w:rPr>
          <w:color w:val="000000" w:themeColor="text1"/>
          <w:sz w:val="28"/>
          <w:szCs w:val="28"/>
          <w:lang w:val="uk-UA"/>
        </w:rPr>
        <w:t>»</w:t>
      </w:r>
      <w:r>
        <w:rPr>
          <w:sz w:val="28"/>
          <w:szCs w:val="28"/>
          <w:lang w:val="en-US"/>
        </w:rPr>
        <w:t>).</w:t>
      </w:r>
    </w:p>
    <w:p>
      <w:pPr>
        <w:pStyle w:val="Normal"/>
        <w:widowControl w:val="false"/>
        <w:ind w:firstLine="491"/>
        <w:jc w:val="both"/>
        <w:rPr/>
      </w:pPr>
      <w:r>
        <w:rPr>
          <w:sz w:val="28"/>
          <w:szCs w:val="28"/>
        </w:rPr>
        <w:t xml:space="preserve">Фонд створено для реалізації заходів та проєктів в рамках Програми підтримки малого і середнього підприємництва Луцької міської територіальної громади на 2022-2026 роки, затвердженої рішенням Луцької міської ради від 24.11.2021 № 22/53. </w:t>
      </w:r>
      <w:r>
        <w:rPr>
          <w:color w:val="000000"/>
          <w:sz w:val="28"/>
          <w:szCs w:val="28"/>
          <w:lang w:eastAsia="uk-UA"/>
        </w:rPr>
        <w:t>Кошти фонду можуть спрямовуватися на:</w:t>
      </w:r>
    </w:p>
    <w:p>
      <w:pPr>
        <w:pStyle w:val="Normal"/>
        <w:widowControl w:val="false"/>
        <w:ind w:firstLine="491"/>
        <w:jc w:val="both"/>
        <w:rPr>
          <w:sz w:val="28"/>
          <w:szCs w:val="28"/>
        </w:rPr>
      </w:pPr>
      <w:r>
        <w:rPr>
          <w:color w:val="000000"/>
          <w:sz w:val="28"/>
          <w:szCs w:val="28"/>
          <w:lang w:eastAsia="uk-UA"/>
        </w:rPr>
        <w:t>розробку та реалізацію заходів економічно-соціальних програм, спрямованих на розвиток підприємництва, зменшення соціальної напруги в міській територіальній громаді, поліпшення виробничого, фінансового й науково-технічного стану;</w:t>
      </w:r>
    </w:p>
    <w:p>
      <w:pPr>
        <w:pStyle w:val="Normal"/>
        <w:widowControl w:val="false"/>
        <w:suppressAutoHyphens w:val="true"/>
        <w:bidi w:val="0"/>
        <w:spacing w:lineRule="auto" w:line="240" w:before="0" w:after="0"/>
        <w:ind w:firstLine="491"/>
        <w:jc w:val="both"/>
        <w:rPr>
          <w:sz w:val="28"/>
          <w:szCs w:val="28"/>
        </w:rPr>
      </w:pPr>
      <w:r>
        <w:rPr>
          <w:color w:val="000000"/>
          <w:sz w:val="28"/>
          <w:szCs w:val="28"/>
          <w:u w:val="none"/>
          <w:lang w:val="uk-UA" w:eastAsia="uk-UA"/>
        </w:rPr>
        <w:t>надання підтримки суб’єктам підприємницької діяльності у вигляді фінансової допомоги на поворотній та безповоротній основі, в тому числі часткової сплати та/або відшкодування витрат суб'єктів підприємництва, що були спрямовані на підтримку загальної економічної активності, стабілізації господарської діяльності, що має значне соціальне навантаження або орієнтоване на задоволення першочергових потреб життєдіяльності населення, забезпечення соціальної стабільності, безпеки мешканців територіальної громади тощо.</w:t>
      </w:r>
      <w:r>
        <w:rPr>
          <w:color w:val="000000"/>
          <w:sz w:val="28"/>
          <w:szCs w:val="28"/>
          <w:u w:val="none"/>
          <w:lang w:val="uk-UA"/>
        </w:rPr>
        <w:t> </w:t>
      </w:r>
    </w:p>
    <w:p>
      <w:pPr>
        <w:pStyle w:val="Normal"/>
        <w:widowControl w:val="false"/>
        <w:suppressAutoHyphens w:val="true"/>
        <w:bidi w:val="0"/>
        <w:spacing w:lineRule="auto" w:line="240" w:before="0" w:after="0"/>
        <w:ind w:firstLine="491"/>
        <w:jc w:val="both"/>
        <w:rPr>
          <w:sz w:val="28"/>
          <w:szCs w:val="28"/>
          <w:u w:val="none"/>
          <w:lang w:val="uk-UA"/>
        </w:rPr>
      </w:pPr>
      <w:r>
        <w:rPr>
          <w:sz w:val="28"/>
          <w:szCs w:val="28"/>
          <w:u w:val="none"/>
          <w:lang w:val="uk-UA"/>
        </w:rPr>
      </w:r>
    </w:p>
    <w:p>
      <w:pPr>
        <w:pStyle w:val="Normal"/>
        <w:widowControl/>
        <w:suppressAutoHyphens w:val="true"/>
        <w:bidi w:val="0"/>
        <w:spacing w:lineRule="auto" w:line="240" w:before="0" w:after="0"/>
        <w:ind w:firstLine="567"/>
        <w:jc w:val="both"/>
        <w:rPr>
          <w:sz w:val="28"/>
          <w:szCs w:val="28"/>
        </w:rPr>
      </w:pPr>
      <w:r>
        <w:rPr>
          <w:sz w:val="28"/>
          <w:szCs w:val="28"/>
          <w:u w:val="single"/>
          <w:lang w:val="uk-UA"/>
        </w:rPr>
        <w:t>4. </w:t>
      </w:r>
      <w:r>
        <w:rPr>
          <w:rFonts w:eastAsia="Times New Roman" w:cs="Times New Roman"/>
          <w:color w:val="auto"/>
          <w:kern w:val="0"/>
          <w:sz w:val="28"/>
          <w:szCs w:val="28"/>
          <w:u w:val="single"/>
          <w:lang w:val="uk-UA" w:eastAsia="ru-RU" w:bidi="ar-SA"/>
        </w:rPr>
        <w:t>А</w:t>
      </w:r>
      <w:r>
        <w:rPr>
          <w:sz w:val="28"/>
          <w:szCs w:val="28"/>
          <w:u w:val="single"/>
          <w:lang w:val="uk-UA"/>
        </w:rPr>
        <w:t>налітика та моніторинг внутрішньої діяльності</w:t>
      </w:r>
      <w:r>
        <w:rPr>
          <w:sz w:val="28"/>
          <w:szCs w:val="28"/>
          <w:lang w:val="uk-UA"/>
        </w:rPr>
        <w:t>.</w:t>
      </w:r>
    </w:p>
    <w:p>
      <w:pPr>
        <w:pStyle w:val="Normal"/>
        <w:spacing w:before="0" w:after="0"/>
        <w:ind w:firstLine="567"/>
        <w:jc w:val="both"/>
        <w:rPr>
          <w:sz w:val="28"/>
          <w:szCs w:val="28"/>
        </w:rPr>
      </w:pPr>
      <w:r>
        <w:rPr>
          <w:rFonts w:cs="Times New Roman"/>
          <w:sz w:val="28"/>
          <w:szCs w:val="28"/>
        </w:rPr>
        <w:t>На виконання Закону України «Про засади державної регуляторної політики у сфері господарської діяльності» затверджено плани діяльності з підготовки проєктів регуляторних актів на 2023  рік. Враховуючи ініціативи виконавчих органів міської ради та комунальних підприємств, внесено зміни в основні плани діяльності з підготовки проєктів регуляторних актів на 2022 рік.</w:t>
      </w:r>
    </w:p>
    <w:p>
      <w:pPr>
        <w:pStyle w:val="Normal"/>
        <w:tabs>
          <w:tab w:val="clear" w:pos="708"/>
          <w:tab w:val="left" w:pos="6660" w:leader="none"/>
        </w:tabs>
        <w:spacing w:before="0" w:after="0"/>
        <w:ind w:firstLine="567"/>
        <w:jc w:val="both"/>
        <w:rPr>
          <w:sz w:val="28"/>
          <w:szCs w:val="28"/>
        </w:rPr>
      </w:pPr>
      <w:r>
        <w:rPr>
          <w:rFonts w:cs="Times New Roman"/>
          <w:color w:val="000000"/>
          <w:sz w:val="28"/>
          <w:szCs w:val="28"/>
        </w:rPr>
        <w:t>Проведено 7 засідань постійної комісії з питань реалізації державної регуляторної політики у виконавчих органах міської ради (далі – постійна комісія), на яких розглянуто 11</w:t>
      </w:r>
      <w:r>
        <w:rPr>
          <w:rFonts w:cs="Times New Roman"/>
          <w:color w:val="FF0000"/>
          <w:sz w:val="28"/>
          <w:szCs w:val="28"/>
        </w:rPr>
        <w:t xml:space="preserve"> </w:t>
      </w:r>
      <w:r>
        <w:rPr>
          <w:rFonts w:cs="Times New Roman"/>
          <w:color w:val="000000" w:themeColor="text1"/>
          <w:sz w:val="28"/>
          <w:szCs w:val="28"/>
        </w:rPr>
        <w:t>проєктів рішень</w:t>
      </w:r>
      <w:r>
        <w:rPr>
          <w:rFonts w:cs="Times New Roman"/>
          <w:color w:val="000000"/>
          <w:sz w:val="28"/>
          <w:szCs w:val="28"/>
        </w:rPr>
        <w:t xml:space="preserve"> міської ради та її виконавчого комітету на відповідність зазначеному з</w:t>
      </w:r>
      <w:r>
        <w:rPr>
          <w:rFonts w:cs="Times New Roman"/>
          <w:sz w:val="28"/>
          <w:szCs w:val="28"/>
        </w:rPr>
        <w:t xml:space="preserve">акону та </w:t>
      </w:r>
      <w:r>
        <w:rPr>
          <w:rFonts w:cs="Times New Roman"/>
          <w:color w:val="000000"/>
          <w:sz w:val="28"/>
          <w:szCs w:val="28"/>
        </w:rPr>
        <w:t xml:space="preserve">3 чинні регуляторні акти виключено з Реєстру регуляторних актів міської ради та її виконавчого комітету. </w:t>
      </w:r>
    </w:p>
    <w:p>
      <w:pPr>
        <w:pStyle w:val="Normal"/>
        <w:spacing w:before="0" w:after="0"/>
        <w:ind w:firstLine="567"/>
        <w:jc w:val="both"/>
        <w:rPr>
          <w:sz w:val="28"/>
          <w:szCs w:val="28"/>
        </w:rPr>
      </w:pPr>
      <w:r>
        <w:rPr>
          <w:rFonts w:cs="Times New Roman"/>
          <w:sz w:val="28"/>
          <w:szCs w:val="28"/>
        </w:rPr>
        <w:t>У звітному періоді п</w:t>
      </w:r>
      <w:r>
        <w:rPr>
          <w:rFonts w:cs="Times New Roman"/>
          <w:color w:val="000000"/>
          <w:sz w:val="28"/>
          <w:szCs w:val="28"/>
        </w:rPr>
        <w:t>рийнято 4 регуляторних акти, які пройшли повну регуляторну процедуру:</w:t>
      </w:r>
    </w:p>
    <w:p>
      <w:pPr>
        <w:pStyle w:val="Normal"/>
        <w:spacing w:before="0" w:after="0"/>
        <w:ind w:firstLine="567"/>
        <w:jc w:val="both"/>
        <w:rPr>
          <w:sz w:val="28"/>
          <w:szCs w:val="28"/>
        </w:rPr>
      </w:pPr>
      <w:r>
        <w:rPr>
          <w:rFonts w:cs="Times New Roman"/>
          <w:color w:val="000000"/>
          <w:sz w:val="28"/>
          <w:szCs w:val="28"/>
          <w:shd w:fill="FFFFFF" w:val="clear"/>
        </w:rPr>
        <w:t xml:space="preserve">рішення виконавчого комітету міської ради від 03.02.2022 </w:t>
      </w:r>
      <w:r>
        <w:rPr>
          <w:rFonts w:cs="Times New Roman"/>
          <w:color w:val="000000"/>
          <w:sz w:val="28"/>
          <w:szCs w:val="28"/>
          <w:shd w:fill="FFFFFF" w:val="clear"/>
          <w:lang w:val="uk-UA"/>
        </w:rPr>
        <w:t>№ </w:t>
      </w:r>
      <w:r>
        <w:rPr>
          <w:rFonts w:cs="Times New Roman"/>
          <w:color w:val="000000"/>
          <w:sz w:val="28"/>
          <w:szCs w:val="28"/>
          <w:shd w:fill="FFFFFF" w:val="clear"/>
        </w:rPr>
        <w:t>86-1 «Про затвердження Положення про порядок здійснення контролю оплати (реєстрації) проїзду у пасажирському транспорті загального користування Луцької міської територіальної громади у новій редакції»;</w:t>
      </w:r>
    </w:p>
    <w:p>
      <w:pPr>
        <w:pStyle w:val="Normal"/>
        <w:spacing w:before="0" w:after="0"/>
        <w:ind w:firstLine="567"/>
        <w:jc w:val="both"/>
        <w:rPr>
          <w:sz w:val="28"/>
          <w:szCs w:val="28"/>
        </w:rPr>
      </w:pPr>
      <w:r>
        <w:rPr>
          <w:rFonts w:cs="Times New Roman"/>
          <w:color w:val="000000"/>
          <w:sz w:val="28"/>
          <w:szCs w:val="28"/>
          <w:shd w:fill="FFFFFF" w:val="clear"/>
        </w:rPr>
        <w:t>рішення виконавчого комітету міської ради від 15.06.2022 № 286-1 «Про внесення змін до рішення виконавчого комітету від 21.11.2018 № 745-1 “Про оператора електронних систем у місті Луцьку”»;</w:t>
      </w:r>
    </w:p>
    <w:p>
      <w:pPr>
        <w:pStyle w:val="Normal"/>
        <w:spacing w:before="0" w:after="0"/>
        <w:ind w:firstLine="567"/>
        <w:jc w:val="both"/>
        <w:rPr>
          <w:sz w:val="28"/>
          <w:szCs w:val="28"/>
        </w:rPr>
      </w:pPr>
      <w:r>
        <w:rPr>
          <w:rFonts w:cs="Times New Roman"/>
          <w:color w:val="000000"/>
          <w:sz w:val="28"/>
          <w:szCs w:val="28"/>
          <w:shd w:fill="FFFFFF" w:val="clear"/>
        </w:rPr>
        <w:t>рішення міської ради від 31.08.2022 № 34/55  «Про затвердження Правил додержання тиші в громадських місцях на території Луцької міської територіальної громади»;</w:t>
      </w:r>
    </w:p>
    <w:p>
      <w:pPr>
        <w:pStyle w:val="Normal"/>
        <w:spacing w:before="0" w:after="0"/>
        <w:ind w:firstLine="567"/>
        <w:jc w:val="both"/>
        <w:rPr>
          <w:sz w:val="28"/>
          <w:szCs w:val="28"/>
        </w:rPr>
      </w:pPr>
      <w:r>
        <w:rPr>
          <w:rFonts w:eastAsia="Times New Roman" w:cs="Times New Roman"/>
          <w:color w:val="000000"/>
          <w:kern w:val="0"/>
          <w:sz w:val="28"/>
          <w:szCs w:val="28"/>
          <w:shd w:fill="FFFFFF" w:val="clear"/>
          <w:lang w:val="uk-UA" w:eastAsia="ru-RU" w:bidi="ar-SA"/>
        </w:rPr>
        <w:t>рішення виконавчого комітету</w:t>
      </w:r>
      <w:r>
        <w:rPr>
          <w:rFonts w:cs="Times New Roman"/>
          <w:color w:val="000000"/>
          <w:sz w:val="28"/>
          <w:szCs w:val="28"/>
          <w:shd w:fill="FFFFFF" w:val="clear"/>
        </w:rPr>
        <w:t xml:space="preserve"> від 20.12.2022 № 688-1 «Про внесення змін до рішення виконавчого комітету міської ради від 19.09.2018 № 595-1 “Про затвердження Правил приймання стічних вод до систем централізованого водовідведення міста Луцька на 2018-2022 роки”».</w:t>
      </w:r>
    </w:p>
    <w:p>
      <w:pPr>
        <w:pStyle w:val="Normal"/>
        <w:spacing w:lineRule="auto" w:line="240" w:before="0" w:after="0"/>
        <w:ind w:firstLine="567"/>
        <w:jc w:val="both"/>
        <w:rPr>
          <w:sz w:val="28"/>
          <w:szCs w:val="28"/>
        </w:rPr>
      </w:pPr>
      <w:r>
        <w:rPr>
          <w:rFonts w:cs="Times New Roman"/>
          <w:color w:val="000000"/>
          <w:sz w:val="28"/>
          <w:szCs w:val="28"/>
          <w:shd w:fill="FFFFFF" w:val="clear"/>
        </w:rPr>
        <w:t xml:space="preserve">Розробниками регуляторних актів підготовлено </w:t>
      </w:r>
      <w:r>
        <w:rPr>
          <w:rFonts w:eastAsia="Times New Roman" w:cs="Times New Roman"/>
          <w:color w:val="000000"/>
          <w:kern w:val="0"/>
          <w:sz w:val="28"/>
          <w:szCs w:val="28"/>
          <w:shd w:fill="FFFFFF" w:val="clear"/>
          <w:lang w:val="uk-UA" w:eastAsia="ru-RU" w:bidi="ar-SA"/>
        </w:rPr>
        <w:t>22 звіти</w:t>
      </w:r>
      <w:r>
        <w:rPr>
          <w:rFonts w:cs="Times New Roman"/>
          <w:color w:val="000000"/>
          <w:sz w:val="28"/>
          <w:szCs w:val="28"/>
          <w:shd w:fill="FFFFFF" w:val="clear"/>
        </w:rPr>
        <w:t xml:space="preserve"> про здійснення заходів щодо базового, повторного та періодичного </w:t>
      </w:r>
      <w:r>
        <w:rPr>
          <w:rFonts w:eastAsia="Times New Roman" w:cs="Times New Roman"/>
          <w:color w:val="000000"/>
          <w:kern w:val="0"/>
          <w:sz w:val="28"/>
          <w:szCs w:val="28"/>
          <w:shd w:fill="FFFFFF" w:val="clear"/>
          <w:lang w:val="uk-UA" w:eastAsia="ru-RU" w:bidi="ar-SA"/>
        </w:rPr>
        <w:t>відстеження</w:t>
      </w:r>
      <w:r>
        <w:rPr>
          <w:rFonts w:cs="Times New Roman"/>
          <w:color w:val="000000"/>
          <w:sz w:val="28"/>
          <w:szCs w:val="28"/>
          <w:shd w:fill="FFFFFF" w:val="clear"/>
        </w:rPr>
        <w:t xml:space="preserve"> результативності дії прийнятих </w:t>
      </w:r>
      <w:r>
        <w:rPr>
          <w:rFonts w:eastAsia="Times New Roman" w:cs="Times New Roman"/>
          <w:color w:val="000000"/>
          <w:kern w:val="0"/>
          <w:sz w:val="28"/>
          <w:szCs w:val="28"/>
          <w:shd w:fill="FFFFFF" w:val="clear"/>
          <w:lang w:val="uk-UA" w:eastAsia="ru-RU" w:bidi="ar-SA"/>
        </w:rPr>
        <w:t>регуляторних актів</w:t>
      </w:r>
      <w:r>
        <w:rPr>
          <w:rFonts w:cs="Times New Roman"/>
          <w:color w:val="000000"/>
          <w:sz w:val="28"/>
          <w:szCs w:val="28"/>
          <w:shd w:fill="FFFFFF" w:val="clear"/>
        </w:rPr>
        <w:t>.</w:t>
      </w:r>
    </w:p>
    <w:p>
      <w:pPr>
        <w:pStyle w:val="Normal"/>
        <w:widowControl w:val="false"/>
        <w:spacing w:lineRule="auto" w:line="240" w:before="0" w:after="0"/>
        <w:ind w:firstLine="567"/>
        <w:jc w:val="both"/>
        <w:rPr>
          <w:sz w:val="28"/>
          <w:szCs w:val="28"/>
        </w:rPr>
      </w:pPr>
      <w:r>
        <w:rPr>
          <w:rFonts w:cs="Times New Roman"/>
          <w:color w:val="000000"/>
          <w:spacing w:val="1"/>
          <w:sz w:val="28"/>
          <w:szCs w:val="28"/>
        </w:rPr>
        <w:t xml:space="preserve">На виконання </w:t>
      </w:r>
      <w:r>
        <w:rPr>
          <w:rFonts w:eastAsia="Times New Roman" w:cs="Times New Roman"/>
          <w:color w:val="000000"/>
          <w:spacing w:val="1"/>
          <w:kern w:val="0"/>
          <w:sz w:val="28"/>
          <w:szCs w:val="28"/>
          <w:lang w:val="uk-UA" w:eastAsia="ru-RU" w:bidi="ar-SA"/>
        </w:rPr>
        <w:t>протокольного</w:t>
      </w:r>
      <w:r>
        <w:rPr>
          <w:rFonts w:cs="Times New Roman"/>
          <w:color w:val="000000"/>
          <w:spacing w:val="1"/>
          <w:sz w:val="28"/>
          <w:szCs w:val="28"/>
        </w:rPr>
        <w:t xml:space="preserve"> рішення постійної комісії</w:t>
      </w:r>
      <w:r>
        <w:rPr>
          <w:rFonts w:cs="Times New Roman"/>
          <w:b/>
          <w:color w:val="000000"/>
          <w:spacing w:val="1"/>
          <w:sz w:val="28"/>
          <w:szCs w:val="28"/>
        </w:rPr>
        <w:t xml:space="preserve"> </w:t>
      </w:r>
      <w:r>
        <w:rPr>
          <w:rFonts w:cs="Times New Roman"/>
          <w:spacing w:val="1"/>
          <w:sz w:val="28"/>
          <w:szCs w:val="28"/>
        </w:rPr>
        <w:t xml:space="preserve">від 20.12.2021 № 7 відповідальним виконавчим органам міської ради було доручено переглянути 18 регуляторних актів </w:t>
      </w:r>
      <w:r>
        <w:rPr>
          <w:rFonts w:cs="Times New Roman"/>
          <w:sz w:val="28"/>
          <w:szCs w:val="28"/>
        </w:rPr>
        <w:t xml:space="preserve">шляхом внесення відповідних змін або скасування, </w:t>
      </w:r>
      <w:r>
        <w:rPr>
          <w:rFonts w:eastAsia="Times New Roman" w:cs="Times New Roman"/>
          <w:color w:val="auto"/>
          <w:kern w:val="0"/>
          <w:sz w:val="28"/>
          <w:szCs w:val="28"/>
          <w:lang w:val="uk-UA" w:eastAsia="ru-RU" w:bidi="ar-SA"/>
        </w:rPr>
        <w:t>з них</w:t>
      </w:r>
      <w:r>
        <w:rPr>
          <w:rFonts w:cs="Times New Roman"/>
          <w:sz w:val="28"/>
          <w:szCs w:val="28"/>
        </w:rPr>
        <w:t>:</w:t>
      </w:r>
    </w:p>
    <w:p>
      <w:pPr>
        <w:pStyle w:val="Normal"/>
        <w:widowControl w:val="false"/>
        <w:spacing w:before="0" w:after="0"/>
        <w:ind w:firstLine="567"/>
        <w:jc w:val="both"/>
        <w:rPr>
          <w:sz w:val="28"/>
          <w:szCs w:val="28"/>
        </w:rPr>
      </w:pPr>
      <w:r>
        <w:rPr>
          <w:rFonts w:cs="Times New Roman"/>
          <w:sz w:val="28"/>
          <w:szCs w:val="28"/>
        </w:rPr>
        <w:t>8</w:t>
      </w:r>
      <w:r>
        <w:rPr>
          <w:rFonts w:cs="Times New Roman"/>
          <w:color w:val="000000"/>
          <w:sz w:val="28"/>
          <w:szCs w:val="28"/>
        </w:rPr>
        <w:t xml:space="preserve"> – </w:t>
      </w:r>
      <w:r>
        <w:rPr>
          <w:rFonts w:eastAsia="Times New Roman" w:cs="Times New Roman"/>
          <w:color w:val="000000"/>
          <w:spacing w:val="1"/>
          <w:kern w:val="0"/>
          <w:sz w:val="28"/>
          <w:szCs w:val="28"/>
          <w:lang w:val="uk-UA" w:eastAsia="ru-RU" w:bidi="ar-SA"/>
        </w:rPr>
        <w:t>виконано</w:t>
      </w:r>
      <w:r>
        <w:rPr>
          <w:rFonts w:cs="Times New Roman"/>
          <w:color w:val="000000"/>
          <w:spacing w:val="1"/>
          <w:sz w:val="28"/>
          <w:szCs w:val="28"/>
        </w:rPr>
        <w:t>, 7</w:t>
      </w:r>
      <w:r>
        <w:rPr>
          <w:rFonts w:cs="Times New Roman"/>
          <w:color w:val="000000"/>
          <w:sz w:val="28"/>
          <w:szCs w:val="28"/>
        </w:rPr>
        <w:t xml:space="preserve"> –</w:t>
      </w:r>
      <w:r>
        <w:rPr>
          <w:rFonts w:cs="Times New Roman"/>
          <w:color w:val="000000"/>
          <w:spacing w:val="1"/>
          <w:sz w:val="28"/>
          <w:szCs w:val="28"/>
        </w:rPr>
        <w:t xml:space="preserve"> в роботі, 3</w:t>
      </w:r>
      <w:r>
        <w:rPr>
          <w:rFonts w:cs="Times New Roman"/>
          <w:color w:val="000000"/>
          <w:sz w:val="28"/>
          <w:szCs w:val="28"/>
        </w:rPr>
        <w:t xml:space="preserve"> – </w:t>
      </w:r>
      <w:r>
        <w:rPr>
          <w:rFonts w:eastAsia="Times New Roman" w:cs="Times New Roman"/>
          <w:color w:val="000000"/>
          <w:kern w:val="0"/>
          <w:sz w:val="28"/>
          <w:szCs w:val="28"/>
          <w:lang w:val="uk-UA" w:eastAsia="ru-RU" w:bidi="ar-SA"/>
        </w:rPr>
        <w:t>заплановано</w:t>
      </w:r>
      <w:r>
        <w:rPr>
          <w:rFonts w:cs="Times New Roman"/>
          <w:color w:val="000000"/>
          <w:spacing w:val="1"/>
          <w:sz w:val="28"/>
          <w:szCs w:val="28"/>
        </w:rPr>
        <w:t xml:space="preserve"> на 2023 рік.</w:t>
      </w:r>
    </w:p>
    <w:p>
      <w:pPr>
        <w:pStyle w:val="Normal"/>
        <w:widowControl/>
        <w:suppressAutoHyphens w:val="true"/>
        <w:bidi w:val="0"/>
        <w:spacing w:lineRule="auto" w:line="240" w:before="0" w:after="0"/>
        <w:ind w:firstLine="574"/>
        <w:jc w:val="both"/>
        <w:rPr>
          <w:sz w:val="28"/>
          <w:szCs w:val="28"/>
        </w:rPr>
      </w:pPr>
      <w:r>
        <w:rPr>
          <w:rFonts w:cs="Times New Roman"/>
          <w:color w:val="000000"/>
          <w:spacing w:val="3"/>
          <w:sz w:val="28"/>
          <w:szCs w:val="28"/>
          <w:highlight w:val="white"/>
          <w:shd w:fill="FFFFFF" w:val="clear"/>
          <w:lang w:val="uk-UA"/>
        </w:rPr>
        <w:t>Підготовлено проєкт рішення міської ради «Про звіт міського голови щодо здійснення державної регуляторної політики виконавчими органами Луцької міської ради у 2022 році».</w:t>
      </w:r>
    </w:p>
    <w:p>
      <w:pPr>
        <w:pStyle w:val="Normal"/>
        <w:widowControl/>
        <w:suppressAutoHyphens w:val="true"/>
        <w:bidi w:val="0"/>
        <w:spacing w:lineRule="auto" w:line="240" w:before="0" w:after="0"/>
        <w:ind w:left="0" w:right="0" w:firstLine="567"/>
        <w:jc w:val="left"/>
        <w:rPr>
          <w:sz w:val="28"/>
          <w:szCs w:val="28"/>
        </w:rPr>
      </w:pPr>
      <w:r>
        <w:rPr>
          <w:sz w:val="28"/>
          <w:szCs w:val="28"/>
          <w:lang w:val="uk-UA"/>
        </w:rPr>
        <w:t>Енергоощадження.</w:t>
      </w:r>
    </w:p>
    <w:p>
      <w:pPr>
        <w:pStyle w:val="Normal"/>
        <w:spacing w:lineRule="auto" w:line="240" w:before="0" w:after="0"/>
        <w:ind w:firstLine="573"/>
        <w:jc w:val="both"/>
        <w:rPr>
          <w:sz w:val="28"/>
          <w:szCs w:val="28"/>
        </w:rPr>
      </w:pPr>
      <w:r>
        <w:rPr>
          <w:rFonts w:cs="Times New Roman"/>
          <w:sz w:val="28"/>
          <w:szCs w:val="28"/>
        </w:rPr>
        <w:t xml:space="preserve">У 2022 році укладено </w:t>
      </w:r>
      <w:r>
        <w:rPr>
          <w:rFonts w:cs="Times New Roman"/>
          <w:b w:val="false"/>
          <w:bCs w:val="false"/>
          <w:sz w:val="28"/>
          <w:szCs w:val="28"/>
          <w:shd w:fill="FFFFFF" w:val="clear"/>
        </w:rPr>
        <w:t>33 енергосервісних договори,</w:t>
      </w:r>
      <w:r>
        <w:rPr>
          <w:rFonts w:cs="Times New Roman"/>
          <w:sz w:val="28"/>
          <w:szCs w:val="28"/>
        </w:rPr>
        <w:t xml:space="preserve"> які стосуються закладів освіти громади. Всього впродовж 2019-2022 років заключено 41 енергосервісний контракт між департаментом освіти міської ради та енергосервісними компаніями ТОВ «ЕСКО ЦЕНТРАЛЬ», ТОВ  «ЕСКО ЮА», ТОВ «ЕЛТЕК ЛАЙТ». </w:t>
      </w:r>
    </w:p>
    <w:p>
      <w:pPr>
        <w:pStyle w:val="Normal"/>
        <w:spacing w:lineRule="auto" w:line="240" w:before="0" w:after="0"/>
        <w:ind w:firstLine="573"/>
        <w:jc w:val="both"/>
        <w:rPr>
          <w:sz w:val="28"/>
          <w:szCs w:val="28"/>
        </w:rPr>
      </w:pPr>
      <w:r>
        <w:rPr>
          <w:rFonts w:cs="Times New Roman"/>
          <w:sz w:val="28"/>
          <w:szCs w:val="28"/>
        </w:rPr>
        <w:t>На даний час 35 договорів загальною сумою 211 636,79 тис. грн – на стадії реалізації;</w:t>
      </w:r>
    </w:p>
    <w:p>
      <w:pPr>
        <w:pStyle w:val="Normal"/>
        <w:widowControl w:val="false"/>
        <w:tabs>
          <w:tab w:val="clear" w:pos="708"/>
          <w:tab w:val="left" w:pos="900" w:leader="none"/>
        </w:tabs>
        <w:snapToGrid w:val="false"/>
        <w:spacing w:before="0" w:after="0"/>
        <w:ind w:firstLine="567"/>
        <w:jc w:val="both"/>
        <w:rPr>
          <w:sz w:val="28"/>
          <w:szCs w:val="28"/>
        </w:rPr>
      </w:pPr>
      <w:r>
        <w:rPr>
          <w:rFonts w:cs="Times New Roman"/>
          <w:sz w:val="28"/>
          <w:szCs w:val="28"/>
        </w:rPr>
        <w:t>4 договори на загальну суму 2 856,38 тис. грн виконано у 2022 році;</w:t>
      </w:r>
    </w:p>
    <w:p>
      <w:pPr>
        <w:pStyle w:val="Normal"/>
        <w:widowControl w:val="false"/>
        <w:tabs>
          <w:tab w:val="clear" w:pos="708"/>
          <w:tab w:val="left" w:pos="900" w:leader="none"/>
        </w:tabs>
        <w:snapToGrid w:val="false"/>
        <w:spacing w:before="0" w:after="0"/>
        <w:ind w:firstLine="567"/>
        <w:jc w:val="both"/>
        <w:rPr>
          <w:sz w:val="28"/>
          <w:szCs w:val="28"/>
        </w:rPr>
      </w:pPr>
      <w:r>
        <w:rPr>
          <w:rFonts w:cs="Times New Roman"/>
          <w:sz w:val="28"/>
          <w:szCs w:val="28"/>
        </w:rPr>
        <w:t>2 договори розірвано (в т. ч. 1 – у 2022 році).</w:t>
      </w:r>
    </w:p>
    <w:p>
      <w:pPr>
        <w:pStyle w:val="Normal"/>
        <w:spacing w:lineRule="auto" w:line="240" w:before="0" w:after="0"/>
        <w:ind w:firstLine="573"/>
        <w:jc w:val="both"/>
        <w:rPr>
          <w:sz w:val="28"/>
          <w:szCs w:val="28"/>
        </w:rPr>
      </w:pPr>
      <w:r>
        <w:rPr>
          <w:rFonts w:cs="Times New Roman"/>
          <w:sz w:val="28"/>
          <w:szCs w:val="28"/>
        </w:rPr>
        <w:t xml:space="preserve">Системою онлайн </w:t>
      </w:r>
      <w:r>
        <w:rPr>
          <w:rFonts w:cs="Times New Roman"/>
          <w:b w:val="false"/>
          <w:bCs w:val="false"/>
          <w:sz w:val="28"/>
          <w:szCs w:val="28"/>
        </w:rPr>
        <w:t>моніторингу споживання енергетичних ресурсів</w:t>
      </w:r>
      <w:r>
        <w:rPr>
          <w:rFonts w:cs="Times New Roman"/>
          <w:b/>
          <w:bCs/>
          <w:sz w:val="28"/>
          <w:szCs w:val="28"/>
        </w:rPr>
        <w:t xml:space="preserve"> </w:t>
      </w:r>
      <w:r>
        <w:rPr>
          <w:rFonts w:cs="Times New Roman"/>
          <w:sz w:val="28"/>
          <w:szCs w:val="28"/>
        </w:rPr>
        <w:t>«ЕнергоПлан» охоплено 148 установ та закладів комунальної власності, що мають на балансі та/або в користуванні 277 будівель. У звітному періоді до бази об’єктів моніторингу додано 8 закладів бюджетної сфери приєднаних територіальних громад.</w:t>
      </w:r>
    </w:p>
    <w:p>
      <w:pPr>
        <w:pStyle w:val="Normal"/>
        <w:spacing w:lineRule="auto" w:line="240" w:before="0" w:after="0"/>
        <w:ind w:firstLine="573"/>
        <w:jc w:val="both"/>
        <w:rPr>
          <w:sz w:val="28"/>
          <w:szCs w:val="28"/>
        </w:rPr>
      </w:pPr>
      <w:r>
        <w:rPr>
          <w:rFonts w:cs="Times New Roman"/>
          <w:sz w:val="28"/>
          <w:szCs w:val="28"/>
          <w:highlight w:val="white"/>
        </w:rPr>
        <w:t>Інвестиційною платформою сусідства Європейського Союзу затверджено</w:t>
      </w:r>
      <w:r>
        <w:rPr>
          <w:rFonts w:cs="Times New Roman"/>
          <w:b w:val="false"/>
          <w:bCs w:val="false"/>
          <w:sz w:val="28"/>
          <w:szCs w:val="28"/>
          <w:highlight w:val="white"/>
        </w:rPr>
        <w:t xml:space="preserve"> грант в сумі 1 660 тис. євро н</w:t>
      </w:r>
      <w:r>
        <w:rPr>
          <w:rFonts w:cs="Times New Roman"/>
          <w:sz w:val="28"/>
          <w:szCs w:val="28"/>
          <w:highlight w:val="white"/>
        </w:rPr>
        <w:t xml:space="preserve">а спільний з НЕФКО проєкт «Реконструкція учбово-лабораторного корпусу Луцького національного технічного університету під гуртожиток для внутрішньо переміщених осіб». Проєкт реалізується в рамках програми «Підтримка ЄС для нагальних потреб розміщення ВПО в Україні». </w:t>
      </w:r>
    </w:p>
    <w:p>
      <w:pPr>
        <w:pStyle w:val="Normal"/>
        <w:spacing w:lineRule="auto" w:line="240" w:before="0" w:after="0"/>
        <w:ind w:firstLine="573"/>
        <w:jc w:val="both"/>
        <w:rPr>
          <w:sz w:val="28"/>
          <w:szCs w:val="28"/>
        </w:rPr>
      </w:pPr>
      <w:r>
        <w:rPr>
          <w:rFonts w:cs="Times New Roman"/>
          <w:sz w:val="28"/>
          <w:szCs w:val="28"/>
          <w:highlight w:val="white"/>
        </w:rPr>
        <w:t>Мета проєкту – покращення умов проживання та забезпечення житлом внутрішньо переміщених осіб, зменшення споживання енергії, та, як наслідок, скорочення викидів парникових газів.</w:t>
      </w:r>
      <w:r>
        <w:rPr>
          <w:rFonts w:cs="Times New Roman"/>
          <w:color w:val="FF0000"/>
          <w:sz w:val="28"/>
          <w:szCs w:val="28"/>
        </w:rPr>
        <w:t xml:space="preserve"> </w:t>
      </w:r>
      <w:r>
        <w:rPr>
          <w:rFonts w:cs="Times New Roman"/>
          <w:sz w:val="28"/>
          <w:szCs w:val="28"/>
        </w:rPr>
        <w:t>Ремонтні роботи в учбово-лабораторному корпусі університету тривають.</w:t>
      </w:r>
    </w:p>
    <w:p>
      <w:pPr>
        <w:pStyle w:val="Normal"/>
        <w:spacing w:lineRule="auto" w:line="240" w:before="0" w:after="0"/>
        <w:ind w:firstLine="573"/>
        <w:jc w:val="both"/>
        <w:rPr>
          <w:sz w:val="28"/>
          <w:szCs w:val="28"/>
        </w:rPr>
      </w:pPr>
      <w:r>
        <w:rPr>
          <w:rFonts w:cs="Times New Roman"/>
          <w:sz w:val="28"/>
          <w:szCs w:val="28"/>
        </w:rPr>
        <w:t xml:space="preserve">Триває підготовка до розробки </w:t>
      </w:r>
      <w:r>
        <w:rPr>
          <w:rFonts w:cs="Times New Roman"/>
          <w:b w:val="false"/>
          <w:bCs w:val="false"/>
          <w:sz w:val="28"/>
          <w:szCs w:val="28"/>
        </w:rPr>
        <w:t>Плану дій сталого енергетичного розвитку та клімату Луцької міської територіальної громади до 2030 року.</w:t>
      </w:r>
    </w:p>
    <w:p>
      <w:pPr>
        <w:pStyle w:val="Normal"/>
        <w:widowControl/>
        <w:suppressAutoHyphens w:val="true"/>
        <w:bidi w:val="0"/>
        <w:spacing w:lineRule="auto" w:line="240" w:before="0" w:after="0"/>
        <w:ind w:firstLine="573"/>
        <w:jc w:val="both"/>
        <w:rPr>
          <w:sz w:val="28"/>
          <w:szCs w:val="28"/>
        </w:rPr>
      </w:pPr>
      <w:r>
        <w:rPr>
          <w:rFonts w:cs="Times New Roman"/>
          <w:color w:val="000000"/>
          <w:spacing w:val="3"/>
          <w:sz w:val="28"/>
          <w:szCs w:val="28"/>
          <w:highlight w:val="white"/>
          <w:shd w:fill="FFFFFF" w:val="clear"/>
          <w:lang w:val="uk-UA"/>
        </w:rPr>
        <w:t xml:space="preserve">22-23 грудня 2022 року в Луцькій міській територіальній громаді </w:t>
      </w:r>
      <w:r>
        <w:rPr>
          <w:rFonts w:cs="Times New Roman"/>
          <w:b w:val="false"/>
          <w:bCs w:val="false"/>
          <w:color w:val="000000"/>
          <w:spacing w:val="3"/>
          <w:sz w:val="28"/>
          <w:szCs w:val="28"/>
          <w:highlight w:val="white"/>
          <w:shd w:fill="FFFFFF" w:val="clear"/>
          <w:lang w:val="uk-UA"/>
        </w:rPr>
        <w:t xml:space="preserve">проведено </w:t>
      </w:r>
      <w:r>
        <w:rPr>
          <w:rFonts w:cs="Times New Roman"/>
          <w:b w:val="false"/>
          <w:bCs w:val="false"/>
          <w:color w:val="000000"/>
          <w:spacing w:val="3"/>
          <w:sz w:val="28"/>
          <w:szCs w:val="28"/>
          <w:highlight w:val="white"/>
          <w:shd w:fill="FFFFFF" w:val="clear"/>
          <w:lang w:val="ru-RU"/>
        </w:rPr>
        <w:t>«</w:t>
      </w:r>
      <w:r>
        <w:rPr>
          <w:rFonts w:cs="Times New Roman"/>
          <w:b w:val="false"/>
          <w:bCs w:val="false"/>
          <w:color w:val="000000"/>
          <w:spacing w:val="3"/>
          <w:sz w:val="28"/>
          <w:szCs w:val="28"/>
          <w:highlight w:val="white"/>
          <w:shd w:fill="FFFFFF" w:val="clear"/>
          <w:lang w:val="uk-UA"/>
        </w:rPr>
        <w:t>Дні сталої енергії – 2022</w:t>
      </w:r>
      <w:r>
        <w:rPr>
          <w:rFonts w:cs="Times New Roman"/>
          <w:b w:val="false"/>
          <w:bCs w:val="false"/>
          <w:color w:val="000000"/>
          <w:spacing w:val="3"/>
          <w:sz w:val="28"/>
          <w:szCs w:val="28"/>
          <w:highlight w:val="white"/>
          <w:shd w:fill="FFFFFF" w:val="clear"/>
          <w:lang w:val="ru-RU"/>
        </w:rPr>
        <w:t>»</w:t>
      </w:r>
      <w:r>
        <w:rPr>
          <w:rFonts w:cs="Times New Roman"/>
          <w:b w:val="false"/>
          <w:bCs w:val="false"/>
          <w:color w:val="000000"/>
          <w:spacing w:val="3"/>
          <w:sz w:val="28"/>
          <w:szCs w:val="28"/>
          <w:highlight w:val="white"/>
          <w:shd w:fill="FFFFFF" w:val="clear"/>
          <w:lang w:val="uk-UA"/>
        </w:rPr>
        <w:t>.</w:t>
      </w:r>
      <w:r>
        <w:rPr>
          <w:rFonts w:cs="Times New Roman"/>
          <w:color w:val="000000"/>
          <w:spacing w:val="3"/>
          <w:sz w:val="28"/>
          <w:szCs w:val="28"/>
          <w:highlight w:val="white"/>
          <w:shd w:fill="FFFFFF" w:val="clear"/>
          <w:lang w:val="uk-UA"/>
        </w:rPr>
        <w:t xml:space="preserve"> Зокрема, в усіх ЗЗСО громади проведено </w:t>
      </w:r>
      <w:r>
        <w:rPr>
          <w:rFonts w:cs="Times New Roman"/>
          <w:color w:val="000000"/>
          <w:spacing w:val="3"/>
          <w:sz w:val="28"/>
          <w:szCs w:val="28"/>
          <w:highlight w:val="white"/>
          <w:shd w:fill="FFFFFF" w:val="clear"/>
          <w:lang w:val="ru-RU"/>
        </w:rPr>
        <w:t xml:space="preserve">інтерактивні </w:t>
      </w:r>
      <w:r>
        <w:rPr>
          <w:rFonts w:cs="Times New Roman"/>
          <w:color w:val="000000"/>
          <w:spacing w:val="3"/>
          <w:sz w:val="28"/>
          <w:szCs w:val="28"/>
          <w:highlight w:val="white"/>
          <w:shd w:fill="FFFFFF" w:val="clear"/>
          <w:lang w:val="uk-UA"/>
        </w:rPr>
        <w:t>уроки з енергоощадження, а також організовано конкурси на збір відпрацьованих елементів живлення та макулатури.</w:t>
      </w:r>
    </w:p>
    <w:p>
      <w:pPr>
        <w:pStyle w:val="Normal"/>
        <w:widowControl/>
        <w:suppressAutoHyphens w:val="true"/>
        <w:bidi w:val="0"/>
        <w:spacing w:lineRule="auto" w:line="240" w:before="0" w:after="0"/>
        <w:ind w:firstLine="573"/>
        <w:jc w:val="both"/>
        <w:rPr>
          <w:rFonts w:ascii="Times New Roman" w:hAnsi="Times New Roman" w:cs="Times New Roman"/>
          <w:color w:val="000000"/>
          <w:sz w:val="28"/>
          <w:szCs w:val="28"/>
        </w:rPr>
      </w:pPr>
      <w:r>
        <w:rPr>
          <w:rFonts w:cs="Times New Roman"/>
          <w:color w:val="000000"/>
          <w:sz w:val="28"/>
          <w:szCs w:val="28"/>
        </w:rPr>
      </w:r>
    </w:p>
    <w:p>
      <w:pPr>
        <w:pStyle w:val="Normal"/>
        <w:widowControl/>
        <w:suppressAutoHyphens w:val="true"/>
        <w:bidi w:val="0"/>
        <w:spacing w:lineRule="auto" w:line="240" w:before="0" w:after="0"/>
        <w:ind w:left="0" w:right="0" w:firstLine="567"/>
        <w:jc w:val="both"/>
        <w:rPr>
          <w:sz w:val="28"/>
          <w:szCs w:val="28"/>
        </w:rPr>
      </w:pPr>
      <w:r>
        <w:rPr>
          <w:sz w:val="28"/>
          <w:szCs w:val="28"/>
          <w:u w:val="single"/>
          <w:lang w:val="uk-UA"/>
        </w:rPr>
        <w:t>5. </w:t>
      </w:r>
      <w:r>
        <w:rPr>
          <w:rFonts w:eastAsia="Times New Roman" w:cs="Times New Roman"/>
          <w:color w:val="auto"/>
          <w:kern w:val="0"/>
          <w:sz w:val="28"/>
          <w:szCs w:val="28"/>
          <w:u w:val="single"/>
          <w:lang w:val="uk-UA" w:eastAsia="ru-RU" w:bidi="ar-SA"/>
        </w:rPr>
        <w:t>Тарифи</w:t>
      </w:r>
      <w:r>
        <w:rPr>
          <w:sz w:val="28"/>
          <w:szCs w:val="28"/>
          <w:u w:val="single"/>
          <w:lang w:val="uk-UA"/>
        </w:rPr>
        <w:t>.</w:t>
      </w:r>
    </w:p>
    <w:p>
      <w:pPr>
        <w:pStyle w:val="Normal"/>
        <w:widowControl/>
        <w:suppressAutoHyphens w:val="true"/>
        <w:bidi w:val="0"/>
        <w:spacing w:lineRule="auto" w:line="240" w:before="0" w:after="0"/>
        <w:ind w:left="0" w:right="0" w:firstLine="567"/>
        <w:jc w:val="both"/>
        <w:rPr/>
      </w:pPr>
      <w:r>
        <w:rPr>
          <w:sz w:val="28"/>
          <w:szCs w:val="28"/>
          <w:u w:val="none"/>
          <w:lang w:val="uk-UA"/>
        </w:rPr>
        <w:t>Протягом звітного періоду було опрацьовано матеріали, надані підприємствами з питань встановлення тарифів на житлово-комунальні та інші послуги відповідно до чинного законодавства. Підготовлено 26 рішень виконавчого комітету міської ради з питань, які віднесено до компетенції відділу тарифної політики. На розгляд виконавчого комітету внесено рішення на встановлення економічно-обґрунтованих тарифів на теплову енергію, послуги з постачання теплової енергії та гарячого водопостачання для забезпечення гарантій і компенсацій, визначених Законом України від 29.07.2022 № 2479-І</w:t>
      </w:r>
      <w:r>
        <w:rPr>
          <w:sz w:val="28"/>
          <w:szCs w:val="28"/>
          <w:u w:val="none"/>
          <w:lang w:val="en-US"/>
        </w:rPr>
        <w:t xml:space="preserve">X </w:t>
      </w:r>
      <w:r>
        <w:rPr>
          <w:rFonts w:cs="Times New Roman"/>
          <w:b w:val="false"/>
          <w:i w:val="false"/>
          <w:color w:val="000000"/>
          <w:sz w:val="28"/>
          <w:szCs w:val="28"/>
          <w:u w:val="none"/>
          <w:lang w:val="uk-UA"/>
        </w:rPr>
        <w:t>«Про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w:t>
      </w:r>
      <w:r>
        <w:rPr>
          <w:sz w:val="28"/>
          <w:szCs w:val="28"/>
          <w:u w:val="none"/>
          <w:lang w:val="uk-UA"/>
        </w:rPr>
        <w:t xml:space="preserve"> переглянуто тарифи для виробників теплової енергії з альтернативних джерел для ТОВ “Енергозбереження Волинь”, ТОВ “Енергозбереження Львів”, ПП “Енерготранссервіс-К”, а також переглянуто тарифи на послуги з поводження з побутовими відходами для усіх категорій споживачів.</w:t>
      </w:r>
    </w:p>
    <w:p>
      <w:pPr>
        <w:pStyle w:val="Normal"/>
        <w:widowControl/>
        <w:suppressAutoHyphens w:val="true"/>
        <w:bidi w:val="0"/>
        <w:spacing w:lineRule="auto" w:line="240" w:before="0" w:after="0"/>
        <w:ind w:left="0" w:right="0" w:firstLine="567"/>
        <w:jc w:val="both"/>
        <w:rPr>
          <w:sz w:val="28"/>
          <w:szCs w:val="28"/>
        </w:rPr>
      </w:pPr>
      <w:r>
        <w:rPr>
          <w:sz w:val="28"/>
          <w:szCs w:val="28"/>
          <w:lang w:val="uk-UA"/>
        </w:rPr>
        <w:t>Організовано та проведено 6 засідань комісії з питань ціноутворення та тарифної політики, на яких розглянуто 5 питань стосовно розрахунків тарифів на житлово-комунальні та інші послуги, підготовлено відповідні проєкти рішень виконавчого комітету.</w:t>
      </w:r>
    </w:p>
    <w:p>
      <w:pPr>
        <w:pStyle w:val="Normal"/>
        <w:widowControl/>
        <w:suppressAutoHyphens w:val="true"/>
        <w:bidi w:val="0"/>
        <w:spacing w:lineRule="auto" w:line="240" w:before="0" w:after="0"/>
        <w:ind w:left="0" w:right="0" w:firstLine="567"/>
        <w:jc w:val="both"/>
        <w:rPr>
          <w:sz w:val="28"/>
          <w:szCs w:val="28"/>
        </w:rPr>
      </w:pPr>
      <w:r>
        <w:rPr>
          <w:sz w:val="28"/>
          <w:szCs w:val="28"/>
          <w:lang w:val="uk-UA"/>
        </w:rPr>
        <w:t>З метою встановлення та забезпечення функціонування економічно-об</w:t>
      </w:r>
      <w:r>
        <w:rPr>
          <w:sz w:val="28"/>
          <w:szCs w:val="28"/>
          <w:u w:val="none"/>
          <w:lang w:val="uk-UA"/>
        </w:rPr>
        <w:t>ґ</w:t>
      </w:r>
      <w:r>
        <w:rPr>
          <w:sz w:val="28"/>
          <w:szCs w:val="28"/>
          <w:lang w:val="uk-UA"/>
        </w:rPr>
        <w:t xml:space="preserve">рунтованих тарифів, що належать до компетенції відділу, постійно здійснюється аналіз розміру чинних тарифів на житлово-комунальні послуги та моніторинг рівня відшкодування діючими тарифами фактичної вартості послуг. </w:t>
      </w:r>
    </w:p>
    <w:p>
      <w:pPr>
        <w:pStyle w:val="Normal"/>
        <w:widowControl/>
        <w:suppressAutoHyphens w:val="true"/>
        <w:bidi w:val="0"/>
        <w:spacing w:lineRule="auto" w:line="240" w:before="0" w:after="0"/>
        <w:ind w:left="0" w:right="0" w:firstLine="567"/>
        <w:jc w:val="both"/>
        <w:rPr>
          <w:sz w:val="28"/>
          <w:szCs w:val="28"/>
        </w:rPr>
      </w:pPr>
      <w:r>
        <w:rPr>
          <w:sz w:val="28"/>
          <w:szCs w:val="28"/>
          <w:lang w:val="uk-UA"/>
        </w:rPr>
        <w:t>Щоквартально здійснюється моніторинг середньої вартості житла в місті на вторинному ринку та нового будівництва.</w:t>
      </w:r>
    </w:p>
    <w:p>
      <w:pPr>
        <w:pStyle w:val="Normal"/>
        <w:widowControl/>
        <w:suppressAutoHyphens w:val="true"/>
        <w:bidi w:val="0"/>
        <w:spacing w:lineRule="auto" w:line="240" w:before="0" w:after="0"/>
        <w:ind w:left="0" w:right="0" w:firstLine="567"/>
        <w:jc w:val="both"/>
        <w:rPr/>
      </w:pPr>
      <w:r>
        <w:rPr>
          <w:sz w:val="28"/>
          <w:szCs w:val="28"/>
          <w:u w:val="none"/>
          <w:lang w:val="uk-UA"/>
        </w:rPr>
        <w:t xml:space="preserve">Постійно ведеться робота по оновленню інформації в разі зміни тарифів на житлово-комунальні послуги на офіційному сайті </w:t>
      </w:r>
      <w:r>
        <w:rPr>
          <w:rFonts w:eastAsia="Times New Roman" w:cs="Times New Roman"/>
          <w:color w:val="auto"/>
          <w:kern w:val="0"/>
          <w:sz w:val="28"/>
          <w:szCs w:val="28"/>
          <w:u w:val="none"/>
          <w:lang w:val="uk-UA" w:eastAsia="ru-RU" w:bidi="ar-SA"/>
        </w:rPr>
        <w:t>Луцької міської ради</w:t>
      </w:r>
      <w:r>
        <w:rPr>
          <w:sz w:val="28"/>
          <w:szCs w:val="28"/>
          <w:u w:val="none"/>
          <w:lang w:val="uk-UA"/>
        </w:rPr>
        <w:t>.</w:t>
      </w:r>
    </w:p>
    <w:p>
      <w:pPr>
        <w:pStyle w:val="Normal"/>
        <w:widowControl/>
        <w:suppressAutoHyphens w:val="true"/>
        <w:bidi w:val="0"/>
        <w:spacing w:lineRule="auto" w:line="240" w:before="0" w:after="0"/>
        <w:ind w:left="0" w:right="0" w:firstLine="567"/>
        <w:jc w:val="both"/>
        <w:rPr>
          <w:rFonts w:cs="Times New Roman"/>
          <w:u w:val="none"/>
          <w:lang w:val="uk-UA"/>
        </w:rPr>
      </w:pPr>
      <w:r>
        <w:rPr>
          <w:rFonts w:cs="Times New Roman"/>
          <w:u w:val="none"/>
          <w:lang w:val="uk-UA"/>
        </w:rPr>
      </w:r>
    </w:p>
    <w:p>
      <w:pPr>
        <w:pStyle w:val="Normal"/>
        <w:widowControl/>
        <w:suppressAutoHyphens w:val="true"/>
        <w:bidi w:val="0"/>
        <w:spacing w:lineRule="auto" w:line="240" w:before="0" w:after="0"/>
        <w:ind w:left="0" w:right="0" w:firstLine="567"/>
        <w:jc w:val="both"/>
        <w:rPr>
          <w:sz w:val="28"/>
          <w:szCs w:val="28"/>
        </w:rPr>
      </w:pPr>
      <w:r>
        <w:rPr>
          <w:rFonts w:cs="Times New Roman"/>
          <w:sz w:val="28"/>
          <w:szCs w:val="28"/>
        </w:rPr>
        <w:t>У звітному періоді, в умовах воєнного стану, департаментом економічної політики проводився облік розподіленої гуманітарної допомоги містам, військовим частинам та теробороні Збройних сил України. Також здійснювався ряд заходів щодо отримання, логістичного супроводу та дистрибуції гуманітарної допомоги, від Всесвітньої продовольчої програми ООН (225 тонн борошна та 75 тонн гороху), Європейського інвестиційного банку («зігріваючі» комплекти – пледи, рюкзаки, термокружки), інших міжнародних організацій та Луцької міської ради (тушкованка, макаронні вироби, печиво тощо). Допомогу надано категоріям населення, постраждалим від бойових дій, мешканцям громади, які найбільше потребують підтримки тощо.</w:t>
      </w:r>
    </w:p>
    <w:p>
      <w:pPr>
        <w:pStyle w:val="Normal"/>
        <w:widowControl w:val="false"/>
        <w:tabs>
          <w:tab w:val="clear" w:pos="708"/>
          <w:tab w:val="left" w:pos="900" w:leader="none"/>
        </w:tabs>
        <w:ind w:left="0" w:right="0" w:firstLine="567"/>
        <w:jc w:val="both"/>
        <w:rPr>
          <w:color w:val="auto"/>
          <w:sz w:val="28"/>
          <w:szCs w:val="28"/>
        </w:rPr>
      </w:pPr>
      <w:r>
        <w:rPr>
          <w:rFonts w:cs="Times New Roman"/>
          <w:color w:val="000000"/>
          <w:kern w:val="0"/>
          <w:sz w:val="28"/>
          <w:szCs w:val="28"/>
          <w:shd w:fill="auto" w:val="clear"/>
        </w:rPr>
        <w:t xml:space="preserve">Проводилися переговори з Європарламентарями щодо забезпечення </w:t>
      </w:r>
      <w:r>
        <w:rPr>
          <w:rFonts w:cs="Times New Roman"/>
          <w:b w:val="false"/>
          <w:bCs w:val="false"/>
          <w:color w:val="000000"/>
          <w:kern w:val="0"/>
          <w:sz w:val="28"/>
          <w:szCs w:val="28"/>
          <w:shd w:fill="auto" w:val="clear"/>
        </w:rPr>
        <w:t xml:space="preserve">резервним живленням об’єктів критичної інфраструктури (котелень та водозабору), а також Луцької міської клінічної лікарні. Досягнуто попередньої домовленості про отримання шести дизельних генераторів потужністю 100-400 кВт, перший з яких, потужністю 220 кВт, придбано урядом Бельгійської землі Фландрія і передано Луцькій громаді через представництво Червоного Хреста в січні 2023 року.  </w:t>
      </w:r>
    </w:p>
    <w:p>
      <w:pPr>
        <w:pStyle w:val="Normal"/>
        <w:widowControl w:val="false"/>
        <w:tabs>
          <w:tab w:val="clear" w:pos="708"/>
          <w:tab w:val="left" w:pos="900" w:leader="none"/>
        </w:tabs>
        <w:suppressAutoHyphens w:val="true"/>
        <w:bidi w:val="0"/>
        <w:spacing w:lineRule="auto" w:line="240" w:before="0" w:after="0"/>
        <w:ind w:left="0" w:right="0" w:firstLine="567"/>
        <w:jc w:val="both"/>
        <w:rPr/>
      </w:pPr>
      <w:r>
        <w:rPr>
          <w:rFonts w:cs="Times New Roman"/>
          <w:b w:val="false"/>
          <w:bCs w:val="false"/>
          <w:color w:val="000000"/>
          <w:kern w:val="0"/>
          <w:sz w:val="28"/>
          <w:szCs w:val="28"/>
          <w:shd w:fill="auto" w:val="clear"/>
        </w:rPr>
        <w:t>Впродовж 2022 року департаментом економічної політики опрацьовувалось питання створення індустріального парку</w:t>
      </w:r>
      <w:r>
        <w:rPr>
          <w:rFonts w:cs="Times New Roman"/>
          <w:color w:val="000000"/>
          <w:kern w:val="0"/>
          <w:sz w:val="28"/>
          <w:szCs w:val="28"/>
          <w:shd w:fill="auto" w:val="clear"/>
        </w:rPr>
        <w:t xml:space="preserve">. Для його розміщення </w:t>
      </w:r>
      <w:r>
        <w:rPr>
          <w:rFonts w:cs="Times New Roman"/>
          <w:color w:val="000000"/>
          <w:sz w:val="28"/>
          <w:szCs w:val="28"/>
          <w:shd w:fill="auto" w:val="clear"/>
        </w:rPr>
        <w:t>попередньо обрано перспективну земельну ділянку комунальної власності в селі Милуші площею близько 10 га (з перспективою розширення до 20 га). На даний момент земельна ділянка на етапі формування.</w:t>
      </w:r>
    </w:p>
    <w:p>
      <w:pPr>
        <w:pStyle w:val="Normal"/>
        <w:widowControl/>
        <w:suppressAutoHyphens w:val="true"/>
        <w:bidi w:val="0"/>
        <w:spacing w:lineRule="auto" w:line="240" w:before="0" w:after="0"/>
        <w:ind w:left="0" w:right="0" w:firstLine="567"/>
        <w:jc w:val="both"/>
        <w:rPr>
          <w:sz w:val="28"/>
          <w:szCs w:val="28"/>
        </w:rPr>
      </w:pPr>
      <w:r>
        <w:rPr>
          <w:rFonts w:eastAsia="Times New Roman" w:cs="Times New Roman"/>
          <w:color w:val="auto"/>
          <w:kern w:val="0"/>
          <w:sz w:val="28"/>
          <w:szCs w:val="28"/>
          <w:u w:val="none"/>
          <w:lang w:val="uk-UA" w:eastAsia="ru-RU" w:bidi="ar-SA"/>
        </w:rPr>
        <w:t>Д</w:t>
      </w:r>
      <w:r>
        <w:rPr>
          <w:rFonts w:cs="Times New Roman"/>
          <w:sz w:val="28"/>
          <w:szCs w:val="28"/>
          <w:u w:val="none"/>
          <w:lang w:val="uk-UA"/>
        </w:rPr>
        <w:t>епартамент приймав активну участь в організації прийому іноземних делегацій, в т. ч. потенційних інвесторів з США, Польщі, Туреччини та ін.</w:t>
      </w:r>
    </w:p>
    <w:p>
      <w:pPr>
        <w:pStyle w:val="Normal"/>
        <w:widowControl/>
        <w:suppressAutoHyphens w:val="true"/>
        <w:bidi w:val="0"/>
        <w:spacing w:lineRule="auto" w:line="240" w:before="0" w:after="0"/>
        <w:ind w:left="0" w:right="0" w:firstLine="567"/>
        <w:jc w:val="both"/>
        <w:rPr>
          <w:sz w:val="28"/>
          <w:szCs w:val="28"/>
          <w:lang w:val="ru-RU"/>
        </w:rPr>
      </w:pPr>
      <w:r>
        <w:rPr/>
      </w:r>
    </w:p>
    <w:p>
      <w:pPr>
        <w:pStyle w:val="Normal"/>
        <w:jc w:val="both"/>
        <w:rPr>
          <w:rFonts w:ascii="Times New Roman" w:hAnsi="Times New Roman" w:eastAsia="Times New Roman" w:cs="Times New Roman"/>
          <w:color w:val="auto"/>
          <w:kern w:val="0"/>
          <w:sz w:val="28"/>
          <w:szCs w:val="28"/>
          <w:lang w:val="uk-UA" w:eastAsia="ru-RU" w:bidi="ar-SA"/>
        </w:rPr>
      </w:pPr>
      <w:r>
        <w:rPr/>
      </w:r>
    </w:p>
    <w:sectPr>
      <w:type w:val="nextPage"/>
      <w:pgSz w:w="11906" w:h="16838"/>
      <w:pgMar w:left="1701"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imesNewRomanPS-BoldMT">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5a01"/>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uk-UA" w:eastAsia="ru-RU" w:bidi="ar-SA"/>
    </w:rPr>
  </w:style>
  <w:style w:type="paragraph" w:styleId="6">
    <w:name w:val="Heading 6"/>
    <w:basedOn w:val="Normal"/>
    <w:next w:val="Normal"/>
    <w:qFormat/>
    <w:pPr>
      <w:spacing w:before="240" w:after="60"/>
      <w:outlineLvl w:val="5"/>
    </w:pPr>
    <w:rPr>
      <w:b/>
      <w:bCs/>
      <w:sz w:val="22"/>
      <w:szCs w:val="22"/>
    </w:rPr>
  </w:style>
  <w:style w:type="character" w:styleId="DefaultParagraphFont" w:default="1">
    <w:name w:val="Default Paragraph Font"/>
    <w:uiPriority w:val="1"/>
    <w:semiHidden/>
    <w:unhideWhenUsed/>
    <w:qFormat/>
    <w:rPr/>
  </w:style>
  <w:style w:type="character" w:styleId="Style13">
    <w:name w:val="Гіперпосилання"/>
    <w:rsid w:val="000b5a01"/>
    <w:rPr>
      <w:color w:val="0000FF"/>
      <w:u w:val="single"/>
    </w:rPr>
  </w:style>
  <w:style w:type="character" w:styleId="Rvts23">
    <w:name w:val="rvts23"/>
    <w:qFormat/>
    <w:rPr/>
  </w:style>
  <w:style w:type="character" w:styleId="Rvts15">
    <w:name w:val="rvts15"/>
    <w:qFormat/>
    <w:rPr/>
  </w:style>
  <w:style w:type="character" w:styleId="Style14">
    <w:name w:val="Знак Знак"/>
    <w:qFormat/>
    <w:rPr>
      <w:sz w:val="28"/>
    </w:rPr>
  </w:style>
  <w:style w:type="character" w:styleId="Style15">
    <w:name w:val="Основной шрифт абзаца"/>
    <w:qFormat/>
    <w:rPr/>
  </w:style>
  <w:style w:type="character" w:styleId="1">
    <w:name w:val="Основной шрифт абзаца1"/>
    <w:qFormat/>
    <w:rPr/>
  </w:style>
  <w:style w:type="character" w:styleId="M4221128086506148267xfm55047169">
    <w:name w:val="m_-4221128086506148267xfm_55047169"/>
    <w:qFormat/>
    <w:rPr/>
  </w:style>
  <w:style w:type="character" w:styleId="Fontstyle01">
    <w:name w:val="fontstyle01"/>
    <w:qFormat/>
    <w:rPr>
      <w:rFonts w:ascii="TimesNewRomanPS-BoldMT" w:hAnsi="TimesNewRomanPS-BoldMT" w:eastAsia="TimesNewRomanPS-BoldMT" w:cs="TimesNewRomanPS-BoldMT"/>
      <w:b/>
      <w:bCs/>
      <w:i w:val="false"/>
      <w:iCs w:val="false"/>
      <w:color w:val="000000"/>
      <w:sz w:val="28"/>
      <w:szCs w:val="28"/>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paragraph" w:styleId="Style51" w:customStyle="1">
    <w:name w:val="Style5"/>
    <w:basedOn w:val="Normal"/>
    <w:qFormat/>
    <w:rsid w:val="000b5a01"/>
    <w:pPr>
      <w:widowControl w:val="false"/>
      <w:spacing w:lineRule="exact" w:line="312"/>
      <w:ind w:firstLine="550"/>
      <w:jc w:val="both"/>
    </w:pPr>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w:basedOn w:val="Normal"/>
    <w:qFormat/>
    <w:pPr/>
    <w:rPr>
      <w:rFonts w:ascii="Verdana" w:hAnsi="Verdana" w:cs="Verdana"/>
      <w:sz w:val="20"/>
      <w:szCs w:val="20"/>
      <w:lang w:val="en-US"/>
    </w:rPr>
  </w:style>
  <w:style w:type="paragraph" w:styleId="Style23">
    <w:name w:val="Название объекта"/>
    <w:basedOn w:val="Normal"/>
    <w:qFormat/>
    <w:pPr>
      <w:spacing w:before="120" w:after="120"/>
    </w:pPr>
    <w:rPr>
      <w:i/>
      <w:iCs/>
    </w:rPr>
  </w:style>
  <w:style w:type="paragraph" w:styleId="11">
    <w:name w:val="Звичайна таблиця1"/>
    <w:qFormat/>
    <w:pPr>
      <w:widowControl/>
      <w:suppressAutoHyphens w:val="true"/>
      <w:bidi w:val="0"/>
      <w:spacing w:before="0" w:after="0"/>
      <w:jc w:val="left"/>
      <w:textAlignment w:val="auto"/>
    </w:pPr>
    <w:rPr>
      <w:rFonts w:ascii="Calibri" w:hAnsi="Calibri" w:eastAsia="Calibri" w:cs="Times New Roman"/>
      <w:color w:val="auto"/>
      <w:kern w:val="2"/>
      <w:sz w:val="22"/>
      <w:szCs w:val="22"/>
      <w:lang w:val="uk-UA" w:eastAsia="uk-UA" w:bidi="ar-SA"/>
    </w:rPr>
  </w:style>
  <w:style w:type="paragraph" w:styleId="12">
    <w:name w:val="Абзац списка1"/>
    <w:qFormat/>
    <w:pPr>
      <w:widowControl/>
      <w:suppressAutoHyphens w:val="false"/>
      <w:bidi w:val="0"/>
      <w:spacing w:lineRule="auto" w:line="247" w:before="0" w:after="160"/>
      <w:ind w:left="720" w:hanging="0"/>
      <w:contextualSpacing/>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ListParagraph">
    <w:name w:val="List Paragraph"/>
    <w:qFormat/>
    <w:pPr>
      <w:widowControl w:val="false"/>
      <w:suppressAutoHyphens w:val="false"/>
      <w:bidi w:val="0"/>
      <w:spacing w:before="0" w:after="0"/>
      <w:ind w:left="720" w:hanging="0"/>
      <w:contextualSpacing/>
      <w:jc w:val="left"/>
    </w:pPr>
    <w:rPr>
      <w:rFonts w:ascii="Calibri" w:hAnsi="Calibri" w:eastAsia="Calibri" w:cs="" w:asciiTheme="minorHAnsi" w:cstheme="minorBidi" w:eastAsiaTheme="minorHAnsi" w:hAnsiTheme="minorHAnsi"/>
      <w:color w:val="auto"/>
      <w:kern w:val="0"/>
      <w:sz w:val="20"/>
      <w:szCs w:val="20"/>
      <w:lang w:val="uk-UA" w:eastAsia="en-US" w:bidi="ar-SA"/>
    </w:rPr>
  </w:style>
  <w:style w:type="paragraph" w:styleId="Caption">
    <w:name w:val="caption"/>
    <w:qFormat/>
    <w:pPr>
      <w:widowControl/>
      <w:suppressAutoHyphens w:val="true"/>
      <w:bidi w:val="0"/>
      <w:spacing w:before="120" w:after="120"/>
      <w:jc w:val="left"/>
    </w:pPr>
    <w:rPr>
      <w:rFonts w:ascii="Calibri" w:hAnsi="Calibri" w:eastAsia="Calibri" w:cs="" w:asciiTheme="minorHAnsi" w:cstheme="minorBidi" w:eastAsiaTheme="minorHAnsi" w:hAnsiTheme="minorHAnsi"/>
      <w:i/>
      <w:iCs/>
      <w:color w:val="auto"/>
      <w:kern w:val="0"/>
      <w:sz w:val="22"/>
      <w:szCs w:val="22"/>
      <w:lang w:val="uk-UA" w:eastAsia="en-US" w:bidi="ar-SA"/>
    </w:rPr>
  </w:style>
  <w:style w:type="paragraph" w:styleId="Textbody">
    <w:name w:val="Text body"/>
    <w:qFormat/>
    <w:pPr>
      <w:widowControl/>
      <w:suppressAutoHyphens w:val="true"/>
      <w:bidi w:val="0"/>
      <w:spacing w:lineRule="auto" w:line="276" w:before="0" w:after="14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0" w:cs="0"/>
      <w:color w:val="auto"/>
      <w:kern w:val="2"/>
      <w:sz w:val="24"/>
      <w:szCs w:val="24"/>
      <w:lang w:val="uk-UA" w:eastAsia="zh-CN" w:bidi="hi-IN"/>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534</TotalTime>
  <Application>LibreOffice/7.1.3.2$Windows_X86_64 LibreOffice_project/47f78053abe362b9384784d31a6e56f8511eb1c1</Application>
  <AppVersion>15.0000</AppVersion>
  <Pages>8</Pages>
  <Words>2731</Words>
  <Characters>19159</Characters>
  <CharactersWithSpaces>21850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cp:lastPrinted>2023-01-25T14:05:00Z</cp:lastPrinted>
  <dcterms:modified xsi:type="dcterms:W3CDTF">2023-01-30T09:23:10Z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file>