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3847" w:rsidRDefault="00E5338A">
      <w:pPr>
        <w:pStyle w:val="ab"/>
        <w:ind w:firstLine="850"/>
        <w:jc w:val="center"/>
      </w:pPr>
      <w:bookmarkStart w:id="0" w:name="_GoBack"/>
      <w:bookmarkEnd w:id="0"/>
      <w:r>
        <w:rPr>
          <w:b/>
          <w:color w:val="222222"/>
          <w:szCs w:val="28"/>
        </w:rPr>
        <w:t>Про роботу управління персоналу Луцької міської ради                                        за І квартал 2023 року</w:t>
      </w:r>
    </w:p>
    <w:p w:rsidR="00373847" w:rsidRDefault="00E5338A">
      <w:pPr>
        <w:pStyle w:val="af7"/>
        <w:tabs>
          <w:tab w:val="left" w:pos="567"/>
        </w:tabs>
        <w:ind w:firstLine="567"/>
        <w:jc w:val="both"/>
      </w:pPr>
      <w:r>
        <w:rPr>
          <w:rFonts w:ascii="Times New Roman" w:hAnsi="Times New Roman" w:cs="Times New Roman"/>
          <w:sz w:val="28"/>
          <w:szCs w:val="28"/>
        </w:rPr>
        <w:t xml:space="preserve">Управління персоналу Луцької міської ради здійснює свою діяльність відповідно до Положення про управління персоналу Луцької міської ради, затвердженого рішенням Луцької міської ради </w:t>
      </w:r>
      <w:r>
        <w:rPr>
          <w:rFonts w:ascii="Times New Roman" w:hAnsi="Times New Roman" w:cs="Times New Roman"/>
          <w:color w:val="222222"/>
          <w:sz w:val="28"/>
          <w:szCs w:val="28"/>
        </w:rPr>
        <w:t>від 28.04.2021 №10/70</w:t>
      </w:r>
      <w:r>
        <w:rPr>
          <w:rFonts w:ascii="Times New Roman" w:hAnsi="Times New Roman" w:cs="Times New Roman"/>
          <w:sz w:val="28"/>
          <w:szCs w:val="28"/>
        </w:rPr>
        <w:t xml:space="preserve">  та  </w:t>
      </w:r>
      <w:r>
        <w:rPr>
          <w:rFonts w:ascii="Times New Roman" w:hAnsi="Times New Roman" w:cs="Times New Roman"/>
          <w:bCs/>
          <w:color w:val="000000"/>
          <w:sz w:val="28"/>
          <w:szCs w:val="28"/>
        </w:rPr>
        <w:t>забезпечує  кадровий менеджмент у виконавчих органах міської ради.</w:t>
      </w:r>
    </w:p>
    <w:p w:rsidR="00373847" w:rsidRDefault="00373847">
      <w:pPr>
        <w:pStyle w:val="af7"/>
        <w:ind w:firstLine="709"/>
        <w:jc w:val="both"/>
        <w:rPr>
          <w:rFonts w:ascii="Times New Roman" w:hAnsi="Times New Roman" w:cs="Times New Roman"/>
          <w:bCs/>
          <w:color w:val="000000"/>
          <w:sz w:val="28"/>
          <w:szCs w:val="28"/>
        </w:rPr>
      </w:pPr>
    </w:p>
    <w:p w:rsidR="00373847" w:rsidRDefault="00E5338A">
      <w:pPr>
        <w:pStyle w:val="af7"/>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1.Кадрова робота.</w:t>
      </w:r>
    </w:p>
    <w:p w:rsidR="00373847" w:rsidRDefault="00E5338A">
      <w:pPr>
        <w:pStyle w:val="af7"/>
        <w:tabs>
          <w:tab w:val="left" w:pos="567"/>
        </w:tabs>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Формування складу посадових осіб місцевого самоврядування проводилось у відповідності до Закону України “Про службу в органах місцевого самоврядування” та інших нормативних документів, що регулюють порядок призначення на посади посадових осіб місцевого самоврядування.</w:t>
      </w:r>
    </w:p>
    <w:p w:rsidR="00373847" w:rsidRDefault="00373847">
      <w:pPr>
        <w:pStyle w:val="af7"/>
        <w:ind w:firstLine="709"/>
        <w:jc w:val="both"/>
        <w:rPr>
          <w:rFonts w:ascii="Times New Roman" w:hAnsi="Times New Roman" w:cs="Times New Roman"/>
          <w:bCs/>
          <w:color w:val="000000"/>
          <w:sz w:val="28"/>
          <w:szCs w:val="28"/>
        </w:rPr>
      </w:pPr>
    </w:p>
    <w:tbl>
      <w:tblPr>
        <w:tblW w:w="9692" w:type="dxa"/>
        <w:tblInd w:w="-40" w:type="dxa"/>
        <w:tblLayout w:type="fixed"/>
        <w:tblCellMar>
          <w:top w:w="55" w:type="dxa"/>
          <w:left w:w="30" w:type="dxa"/>
          <w:bottom w:w="55" w:type="dxa"/>
          <w:right w:w="55" w:type="dxa"/>
        </w:tblCellMar>
        <w:tblLook w:val="04A0" w:firstRow="1" w:lastRow="0" w:firstColumn="1" w:lastColumn="0" w:noHBand="0" w:noVBand="1"/>
      </w:tblPr>
      <w:tblGrid>
        <w:gridCol w:w="1530"/>
        <w:gridCol w:w="1303"/>
        <w:gridCol w:w="1359"/>
        <w:gridCol w:w="1760"/>
        <w:gridCol w:w="1587"/>
        <w:gridCol w:w="1307"/>
        <w:gridCol w:w="846"/>
      </w:tblGrid>
      <w:tr w:rsidR="00373847">
        <w:trPr>
          <w:trHeight w:val="582"/>
        </w:trPr>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2"/>
                <w:szCs w:val="22"/>
              </w:rPr>
            </w:pPr>
            <w:r>
              <w:rPr>
                <w:b/>
                <w:sz w:val="22"/>
                <w:szCs w:val="22"/>
              </w:rPr>
              <w:t>Призначено/прийнято:</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2"/>
                <w:szCs w:val="22"/>
              </w:rPr>
            </w:pPr>
            <w:r>
              <w:rPr>
                <w:sz w:val="22"/>
                <w:szCs w:val="22"/>
              </w:rPr>
              <w:t>*як переможець конкурсу</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2"/>
                <w:szCs w:val="22"/>
              </w:rPr>
            </w:pPr>
            <w:r>
              <w:rPr>
                <w:sz w:val="22"/>
                <w:szCs w:val="22"/>
              </w:rPr>
              <w:t>*по переводу з державної установи</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2"/>
                <w:szCs w:val="22"/>
              </w:rPr>
            </w:pPr>
            <w:r>
              <w:rPr>
                <w:sz w:val="22"/>
                <w:szCs w:val="22"/>
              </w:rPr>
              <w:t xml:space="preserve">*за рекомендацією конкурсної комісії зараховано до кадрового резерву та в подальшому </w:t>
            </w:r>
            <w:proofErr w:type="spellStart"/>
            <w:r>
              <w:rPr>
                <w:sz w:val="22"/>
                <w:szCs w:val="22"/>
              </w:rPr>
              <w:t>працевлаштовано</w:t>
            </w:r>
            <w:proofErr w:type="spellEnd"/>
          </w:p>
        </w:tc>
        <w:tc>
          <w:tcPr>
            <w:tcW w:w="1587" w:type="dxa"/>
            <w:tcBorders>
              <w:top w:val="single" w:sz="4" w:space="0" w:color="000001"/>
              <w:left w:val="single" w:sz="4" w:space="0" w:color="000001"/>
              <w:bottom w:val="single" w:sz="4" w:space="0" w:color="000001"/>
            </w:tcBorders>
          </w:tcPr>
          <w:p w:rsidR="00373847" w:rsidRDefault="00E5338A">
            <w:pPr>
              <w:pStyle w:val="af0"/>
              <w:widowControl w:val="0"/>
              <w:jc w:val="center"/>
              <w:rPr>
                <w:sz w:val="22"/>
                <w:szCs w:val="22"/>
              </w:rPr>
            </w:pPr>
            <w:r>
              <w:rPr>
                <w:sz w:val="22"/>
                <w:szCs w:val="22"/>
              </w:rPr>
              <w:t>*за загальним трудовим законодавством</w:t>
            </w:r>
          </w:p>
        </w:tc>
        <w:tc>
          <w:tcPr>
            <w:tcW w:w="1307"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2"/>
                <w:szCs w:val="22"/>
              </w:rPr>
              <w:t>*</w:t>
            </w:r>
            <w:r>
              <w:rPr>
                <w:iCs/>
                <w:color w:val="000000"/>
                <w:sz w:val="22"/>
                <w:szCs w:val="22"/>
                <w:highlight w:val="white"/>
                <w:shd w:val="clear" w:color="auto" w:fill="FFFFFF"/>
              </w:rPr>
              <w:t xml:space="preserve">відповідно до вимог статей 9, 10 Закону України </w:t>
            </w:r>
            <w:r>
              <w:rPr>
                <w:rStyle w:val="a5"/>
                <w:b w:val="0"/>
                <w:iCs/>
                <w:color w:val="000000"/>
                <w:sz w:val="22"/>
                <w:szCs w:val="22"/>
                <w:highlight w:val="white"/>
                <w:shd w:val="clear" w:color="auto" w:fill="FFFFFF"/>
              </w:rPr>
              <w:t>“Про правовий режим воєнного стану”</w:t>
            </w: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17</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0</w:t>
            </w:r>
          </w:p>
        </w:tc>
        <w:tc>
          <w:tcPr>
            <w:tcW w:w="1359"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0</w:t>
            </w:r>
          </w:p>
        </w:tc>
        <w:tc>
          <w:tcPr>
            <w:tcW w:w="1760"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0</w:t>
            </w:r>
          </w:p>
        </w:tc>
        <w:tc>
          <w:tcPr>
            <w:tcW w:w="1587"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6</w:t>
            </w:r>
          </w:p>
        </w:tc>
        <w:tc>
          <w:tcPr>
            <w:tcW w:w="1307"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11</w:t>
            </w: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Переведено в межах виконавчих органів міської ради:</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*на вищі посади</w:t>
            </w:r>
          </w:p>
        </w:tc>
        <w:tc>
          <w:tcPr>
            <w:tcW w:w="1359"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 на посади в межах категорії посад</w:t>
            </w:r>
          </w:p>
        </w:tc>
        <w:tc>
          <w:tcPr>
            <w:tcW w:w="1760"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 на нижчі посади (за згодою)</w:t>
            </w:r>
          </w:p>
        </w:tc>
        <w:tc>
          <w:tcPr>
            <w:tcW w:w="1587" w:type="dxa"/>
            <w:tcBorders>
              <w:top w:val="single" w:sz="4" w:space="0" w:color="000001"/>
              <w:left w:val="single" w:sz="4" w:space="0" w:color="000001"/>
              <w:bottom w:val="single" w:sz="4" w:space="0" w:color="000001"/>
            </w:tcBorders>
          </w:tcPr>
          <w:p w:rsidR="00373847" w:rsidRDefault="00373847">
            <w:pPr>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lastRenderedPageBreak/>
              <w:t>Всього: 8</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5</w:t>
            </w:r>
          </w:p>
        </w:tc>
        <w:tc>
          <w:tcPr>
            <w:tcW w:w="1359"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1</w:t>
            </w:r>
          </w:p>
        </w:tc>
        <w:tc>
          <w:tcPr>
            <w:tcW w:w="1760"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2</w:t>
            </w:r>
          </w:p>
        </w:tc>
        <w:tc>
          <w:tcPr>
            <w:tcW w:w="1587" w:type="dxa"/>
            <w:tcBorders>
              <w:top w:val="single" w:sz="4" w:space="0" w:color="000001"/>
              <w:left w:val="single" w:sz="4" w:space="0" w:color="000001"/>
              <w:bottom w:val="single" w:sz="4" w:space="0" w:color="000001"/>
            </w:tcBorders>
          </w:tcPr>
          <w:p w:rsidR="00373847" w:rsidRDefault="00373847">
            <w:pPr>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Укладено  строкових трудових договорів</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*Вперше укладених</w:t>
            </w:r>
          </w:p>
        </w:tc>
        <w:tc>
          <w:tcPr>
            <w:tcW w:w="1359" w:type="dxa"/>
            <w:tcBorders>
              <w:top w:val="single" w:sz="4" w:space="0" w:color="000001"/>
              <w:left w:val="single" w:sz="4" w:space="0" w:color="000001"/>
              <w:bottom w:val="single" w:sz="4" w:space="0" w:color="000001"/>
            </w:tcBorders>
          </w:tcPr>
          <w:p w:rsidR="00373847" w:rsidRDefault="00E5338A">
            <w:pPr>
              <w:widowControl w:val="0"/>
              <w:jc w:val="center"/>
              <w:rPr>
                <w:sz w:val="20"/>
                <w:szCs w:val="20"/>
              </w:rPr>
            </w:pPr>
            <w:r>
              <w:rPr>
                <w:sz w:val="20"/>
                <w:szCs w:val="20"/>
              </w:rPr>
              <w:t>*підготовлено додаткових угод до них</w:t>
            </w:r>
          </w:p>
        </w:tc>
        <w:tc>
          <w:tcPr>
            <w:tcW w:w="1760" w:type="dxa"/>
            <w:tcBorders>
              <w:top w:val="single" w:sz="4" w:space="0" w:color="000001"/>
              <w:left w:val="single" w:sz="4" w:space="0" w:color="000001"/>
              <w:bottom w:val="single" w:sz="4" w:space="0" w:color="000001"/>
            </w:tcBorders>
          </w:tcPr>
          <w:p w:rsidR="00373847" w:rsidRDefault="00373847">
            <w:pPr>
              <w:widowControl w:val="0"/>
              <w:jc w:val="center"/>
            </w:pPr>
          </w:p>
        </w:tc>
        <w:tc>
          <w:tcPr>
            <w:tcW w:w="1587" w:type="dxa"/>
            <w:tcBorders>
              <w:top w:val="single" w:sz="4" w:space="0" w:color="000001"/>
              <w:left w:val="single" w:sz="4" w:space="0" w:color="000001"/>
              <w:bottom w:val="single" w:sz="4" w:space="0" w:color="000001"/>
            </w:tcBorders>
          </w:tcPr>
          <w:p w:rsidR="00373847" w:rsidRDefault="00373847">
            <w:pPr>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7</w:t>
            </w:r>
          </w:p>
          <w:p w:rsidR="00373847" w:rsidRDefault="00373847">
            <w:pPr>
              <w:pStyle w:val="af0"/>
              <w:widowControl w:val="0"/>
              <w:jc w:val="center"/>
              <w:rPr>
                <w:b/>
                <w:sz w:val="20"/>
                <w:szCs w:val="20"/>
              </w:rPr>
            </w:pP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3</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4</w:t>
            </w:r>
          </w:p>
        </w:tc>
        <w:tc>
          <w:tcPr>
            <w:tcW w:w="1760"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Звільнено:</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за угодою сторін</w:t>
            </w:r>
          </w:p>
          <w:p w:rsidR="00373847" w:rsidRDefault="00E5338A">
            <w:pPr>
              <w:pStyle w:val="af0"/>
              <w:widowControl w:val="0"/>
              <w:jc w:val="center"/>
              <w:rPr>
                <w:sz w:val="20"/>
                <w:szCs w:val="20"/>
              </w:rPr>
            </w:pPr>
            <w:r>
              <w:rPr>
                <w:sz w:val="20"/>
                <w:szCs w:val="20"/>
              </w:rPr>
              <w:t>п.1 ст.36</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за власним бажанням</w:t>
            </w:r>
          </w:p>
          <w:p w:rsidR="00373847" w:rsidRDefault="00E5338A">
            <w:pPr>
              <w:pStyle w:val="af0"/>
              <w:widowControl w:val="0"/>
              <w:jc w:val="center"/>
              <w:rPr>
                <w:sz w:val="20"/>
                <w:szCs w:val="20"/>
              </w:rPr>
            </w:pPr>
            <w:r>
              <w:rPr>
                <w:sz w:val="20"/>
                <w:szCs w:val="20"/>
              </w:rPr>
              <w:t>ст.38</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за переведенням в іншу установу, організацію</w:t>
            </w:r>
          </w:p>
          <w:p w:rsidR="00373847" w:rsidRDefault="00E5338A">
            <w:pPr>
              <w:pStyle w:val="af0"/>
              <w:widowControl w:val="0"/>
              <w:jc w:val="center"/>
              <w:rPr>
                <w:sz w:val="20"/>
                <w:szCs w:val="20"/>
              </w:rPr>
            </w:pPr>
            <w:r>
              <w:rPr>
                <w:sz w:val="20"/>
                <w:szCs w:val="20"/>
              </w:rPr>
              <w:t>п.5 ст.36</w:t>
            </w:r>
          </w:p>
        </w:tc>
        <w:tc>
          <w:tcPr>
            <w:tcW w:w="158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за скороченням штату</w:t>
            </w:r>
          </w:p>
          <w:p w:rsidR="00373847" w:rsidRDefault="00E5338A">
            <w:pPr>
              <w:pStyle w:val="af0"/>
              <w:widowControl w:val="0"/>
              <w:jc w:val="center"/>
              <w:rPr>
                <w:sz w:val="20"/>
                <w:szCs w:val="20"/>
              </w:rPr>
            </w:pPr>
            <w:r>
              <w:rPr>
                <w:sz w:val="20"/>
                <w:szCs w:val="20"/>
              </w:rPr>
              <w:t>п.1 ст.40</w:t>
            </w:r>
          </w:p>
        </w:tc>
        <w:tc>
          <w:tcPr>
            <w:tcW w:w="130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у зв'язку із закінченням строкового трудового договору</w:t>
            </w:r>
          </w:p>
          <w:p w:rsidR="00373847" w:rsidRDefault="00E5338A">
            <w:pPr>
              <w:pStyle w:val="af0"/>
              <w:widowControl w:val="0"/>
              <w:jc w:val="center"/>
              <w:rPr>
                <w:sz w:val="20"/>
                <w:szCs w:val="20"/>
              </w:rPr>
            </w:pPr>
            <w:r>
              <w:rPr>
                <w:sz w:val="20"/>
                <w:szCs w:val="20"/>
              </w:rPr>
              <w:t>п.2 ст.36</w:t>
            </w:r>
          </w:p>
        </w:tc>
        <w:tc>
          <w:tcPr>
            <w:tcW w:w="846" w:type="dxa"/>
            <w:tcBorders>
              <w:top w:val="single" w:sz="4" w:space="0" w:color="000001"/>
              <w:left w:val="single" w:sz="4" w:space="0" w:color="000001"/>
              <w:bottom w:val="single" w:sz="4" w:space="0" w:color="000001"/>
              <w:right w:val="single" w:sz="4" w:space="0" w:color="000001"/>
            </w:tcBorders>
          </w:tcPr>
          <w:p w:rsidR="00373847" w:rsidRDefault="00E5338A">
            <w:pPr>
              <w:pStyle w:val="af0"/>
              <w:widowControl w:val="0"/>
              <w:jc w:val="center"/>
              <w:rPr>
                <w:sz w:val="20"/>
                <w:szCs w:val="20"/>
              </w:rPr>
            </w:pPr>
            <w:r>
              <w:rPr>
                <w:sz w:val="20"/>
                <w:szCs w:val="20"/>
              </w:rPr>
              <w:t>*інша підстава</w:t>
            </w: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24</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10</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6</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w:t>
            </w:r>
          </w:p>
        </w:tc>
        <w:tc>
          <w:tcPr>
            <w:tcW w:w="158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1</w:t>
            </w:r>
          </w:p>
        </w:tc>
        <w:tc>
          <w:tcPr>
            <w:tcW w:w="130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5</w:t>
            </w:r>
          </w:p>
        </w:tc>
        <w:tc>
          <w:tcPr>
            <w:tcW w:w="846" w:type="dxa"/>
            <w:tcBorders>
              <w:top w:val="single" w:sz="4" w:space="0" w:color="000001"/>
              <w:left w:val="single" w:sz="4" w:space="0" w:color="000001"/>
              <w:bottom w:val="single" w:sz="4" w:space="0" w:color="000001"/>
              <w:right w:val="single" w:sz="4" w:space="0" w:color="000001"/>
            </w:tcBorders>
          </w:tcPr>
          <w:p w:rsidR="00373847" w:rsidRDefault="00E5338A">
            <w:pPr>
              <w:pStyle w:val="af0"/>
              <w:widowControl w:val="0"/>
              <w:jc w:val="center"/>
              <w:rPr>
                <w:sz w:val="20"/>
                <w:szCs w:val="20"/>
              </w:rPr>
            </w:pPr>
            <w:r>
              <w:rPr>
                <w:sz w:val="20"/>
                <w:szCs w:val="20"/>
              </w:rPr>
              <w:t>2</w:t>
            </w: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Стажування пройшли:</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в межах кадрового резерву</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з подальшим переведенням на посаду</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інше</w:t>
            </w: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rPr>
                <w:sz w:val="20"/>
                <w:szCs w:val="20"/>
              </w:rP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rPr>
                <w:sz w:val="20"/>
                <w:szCs w:val="20"/>
              </w:rP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27</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11</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5</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11</w:t>
            </w: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Встановлено надбавки за вислугу років:</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*3 роки</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 5 років</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*10 років</w:t>
            </w:r>
          </w:p>
        </w:tc>
        <w:tc>
          <w:tcPr>
            <w:tcW w:w="158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*15 років</w:t>
            </w:r>
          </w:p>
        </w:tc>
        <w:tc>
          <w:tcPr>
            <w:tcW w:w="130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*20 років</w:t>
            </w:r>
          </w:p>
        </w:tc>
        <w:tc>
          <w:tcPr>
            <w:tcW w:w="846" w:type="dxa"/>
            <w:tcBorders>
              <w:top w:val="single" w:sz="4" w:space="0" w:color="000001"/>
              <w:left w:val="single" w:sz="4" w:space="0" w:color="000001"/>
              <w:bottom w:val="single" w:sz="4" w:space="0" w:color="000001"/>
              <w:right w:val="single" w:sz="4" w:space="0" w:color="000001"/>
            </w:tcBorders>
          </w:tcPr>
          <w:p w:rsidR="00373847" w:rsidRDefault="00E5338A">
            <w:pPr>
              <w:pStyle w:val="af0"/>
              <w:widowControl w:val="0"/>
              <w:jc w:val="center"/>
              <w:rPr>
                <w:sz w:val="20"/>
                <w:szCs w:val="20"/>
              </w:rPr>
            </w:pPr>
            <w:r>
              <w:rPr>
                <w:sz w:val="20"/>
                <w:szCs w:val="20"/>
              </w:rPr>
              <w:t>* 25 років і більше</w:t>
            </w: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19</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3</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2</w:t>
            </w:r>
          </w:p>
        </w:tc>
        <w:tc>
          <w:tcPr>
            <w:tcW w:w="1760"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0</w:t>
            </w:r>
          </w:p>
        </w:tc>
        <w:tc>
          <w:tcPr>
            <w:tcW w:w="158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7</w:t>
            </w:r>
          </w:p>
        </w:tc>
        <w:tc>
          <w:tcPr>
            <w:tcW w:w="1307"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5</w:t>
            </w:r>
          </w:p>
        </w:tc>
        <w:tc>
          <w:tcPr>
            <w:tcW w:w="846" w:type="dxa"/>
            <w:tcBorders>
              <w:top w:val="single" w:sz="4" w:space="0" w:color="000001"/>
              <w:left w:val="single" w:sz="4" w:space="0" w:color="000001"/>
              <w:bottom w:val="single" w:sz="4" w:space="0" w:color="000001"/>
              <w:right w:val="single" w:sz="4" w:space="0" w:color="000001"/>
            </w:tcBorders>
          </w:tcPr>
          <w:p w:rsidR="00373847" w:rsidRDefault="00E5338A">
            <w:pPr>
              <w:pStyle w:val="af0"/>
              <w:widowControl w:val="0"/>
              <w:jc w:val="center"/>
              <w:rPr>
                <w:sz w:val="20"/>
                <w:szCs w:val="20"/>
              </w:rPr>
            </w:pPr>
            <w:r>
              <w:rPr>
                <w:sz w:val="20"/>
                <w:szCs w:val="20"/>
              </w:rPr>
              <w:t>2</w:t>
            </w: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Присвоєно рангів:</w:t>
            </w:r>
          </w:p>
        </w:tc>
        <w:tc>
          <w:tcPr>
            <w:tcW w:w="1303"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59"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760"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15</w:t>
            </w:r>
          </w:p>
        </w:tc>
        <w:tc>
          <w:tcPr>
            <w:tcW w:w="1303"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59"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760"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Укладено контрактів з керівниками</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*вперше укладених</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*підготовлено додаткових угод</w:t>
            </w:r>
          </w:p>
        </w:tc>
        <w:tc>
          <w:tcPr>
            <w:tcW w:w="1760"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r w:rsidR="00373847">
        <w:tc>
          <w:tcPr>
            <w:tcW w:w="1529" w:type="dxa"/>
            <w:tcBorders>
              <w:top w:val="single" w:sz="4" w:space="0" w:color="000001"/>
              <w:left w:val="single" w:sz="4" w:space="0" w:color="000001"/>
              <w:bottom w:val="single" w:sz="4" w:space="0" w:color="000001"/>
            </w:tcBorders>
          </w:tcPr>
          <w:p w:rsidR="00373847" w:rsidRDefault="00E5338A">
            <w:pPr>
              <w:pStyle w:val="af0"/>
              <w:widowControl w:val="0"/>
              <w:jc w:val="center"/>
              <w:rPr>
                <w:b/>
                <w:sz w:val="20"/>
                <w:szCs w:val="20"/>
              </w:rPr>
            </w:pPr>
            <w:r>
              <w:rPr>
                <w:b/>
                <w:sz w:val="20"/>
                <w:szCs w:val="20"/>
              </w:rPr>
              <w:t>Всього: 6</w:t>
            </w:r>
          </w:p>
        </w:tc>
        <w:tc>
          <w:tcPr>
            <w:tcW w:w="1303" w:type="dxa"/>
            <w:tcBorders>
              <w:top w:val="single" w:sz="4" w:space="0" w:color="000001"/>
              <w:left w:val="single" w:sz="4" w:space="0" w:color="000001"/>
              <w:bottom w:val="single" w:sz="4" w:space="0" w:color="000001"/>
            </w:tcBorders>
          </w:tcPr>
          <w:p w:rsidR="00373847" w:rsidRDefault="00E5338A">
            <w:pPr>
              <w:pStyle w:val="af0"/>
              <w:widowControl w:val="0"/>
              <w:jc w:val="center"/>
            </w:pPr>
            <w:r>
              <w:t>-</w:t>
            </w:r>
          </w:p>
        </w:tc>
        <w:tc>
          <w:tcPr>
            <w:tcW w:w="1359" w:type="dxa"/>
            <w:tcBorders>
              <w:top w:val="single" w:sz="4" w:space="0" w:color="000001"/>
              <w:left w:val="single" w:sz="4" w:space="0" w:color="000001"/>
              <w:bottom w:val="single" w:sz="4" w:space="0" w:color="000001"/>
            </w:tcBorders>
          </w:tcPr>
          <w:p w:rsidR="00373847" w:rsidRDefault="00E5338A">
            <w:pPr>
              <w:pStyle w:val="af0"/>
              <w:widowControl w:val="0"/>
              <w:jc w:val="center"/>
              <w:rPr>
                <w:sz w:val="20"/>
                <w:szCs w:val="20"/>
              </w:rPr>
            </w:pPr>
            <w:r>
              <w:rPr>
                <w:sz w:val="20"/>
                <w:szCs w:val="20"/>
              </w:rPr>
              <w:t>6</w:t>
            </w:r>
          </w:p>
        </w:tc>
        <w:tc>
          <w:tcPr>
            <w:tcW w:w="1760"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58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1307" w:type="dxa"/>
            <w:tcBorders>
              <w:top w:val="single" w:sz="4" w:space="0" w:color="000001"/>
              <w:left w:val="single" w:sz="4" w:space="0" w:color="000001"/>
              <w:bottom w:val="single" w:sz="4" w:space="0" w:color="000001"/>
            </w:tcBorders>
          </w:tcPr>
          <w:p w:rsidR="00373847" w:rsidRDefault="00373847">
            <w:pPr>
              <w:pStyle w:val="af0"/>
              <w:widowControl w:val="0"/>
              <w:jc w:val="center"/>
            </w:pPr>
          </w:p>
        </w:tc>
        <w:tc>
          <w:tcPr>
            <w:tcW w:w="846" w:type="dxa"/>
            <w:tcBorders>
              <w:top w:val="single" w:sz="4" w:space="0" w:color="000001"/>
              <w:left w:val="single" w:sz="4" w:space="0" w:color="000001"/>
              <w:bottom w:val="single" w:sz="4" w:space="0" w:color="000001"/>
              <w:right w:val="single" w:sz="4" w:space="0" w:color="000001"/>
            </w:tcBorders>
          </w:tcPr>
          <w:p w:rsidR="00373847" w:rsidRDefault="00373847">
            <w:pPr>
              <w:pStyle w:val="af0"/>
              <w:widowControl w:val="0"/>
              <w:jc w:val="center"/>
            </w:pPr>
          </w:p>
        </w:tc>
      </w:tr>
    </w:tbl>
    <w:p w:rsidR="00373847" w:rsidRDefault="00E5338A">
      <w:pPr>
        <w:tabs>
          <w:tab w:val="left" w:pos="540"/>
          <w:tab w:val="decimal" w:leader="underscore" w:pos="1800"/>
          <w:tab w:val="decimal" w:leader="underscore" w:pos="3402"/>
          <w:tab w:val="left" w:pos="4800"/>
        </w:tabs>
        <w:jc w:val="both"/>
      </w:pPr>
      <w:r>
        <w:rPr>
          <w:color w:val="000000"/>
          <w:szCs w:val="28"/>
        </w:rPr>
        <w:tab/>
      </w:r>
      <w:r>
        <w:rPr>
          <w:szCs w:val="28"/>
          <w:shd w:val="clear" w:color="auto" w:fill="FFFFFF"/>
        </w:rPr>
        <w:t xml:space="preserve">Відповідно до статті 119 КЗпП України, Закону України “Про військовий обов’язок і військову службу”, статті 24 Закону України “Про основи національного спротиву”, постанови Кабінету Міністрів України від 29.12.2021 №1449 “Про затвердження Положення про добровольчі формування територіальних громад”, Указів Президента України від 24.02.2022 №64/2022 “Про введення воєнного стану в Україні”, зі змінами, та №69/2022 “Про загальну мобілізацію”, зі змінами, підготовлено розпорядження міського голови щодо увільнення однієї посадової особи місцевого самоврядування </w:t>
      </w:r>
      <w:r>
        <w:rPr>
          <w:szCs w:val="28"/>
        </w:rPr>
        <w:t>від роботи у зв’язку з призовом на військову службу.</w:t>
      </w:r>
    </w:p>
    <w:p w:rsidR="00373847" w:rsidRDefault="00E5338A">
      <w:pPr>
        <w:tabs>
          <w:tab w:val="left" w:pos="540"/>
          <w:tab w:val="decimal" w:leader="underscore" w:pos="1800"/>
          <w:tab w:val="decimal" w:leader="underscore" w:pos="3402"/>
          <w:tab w:val="left" w:pos="4800"/>
        </w:tabs>
        <w:ind w:firstLine="567"/>
        <w:jc w:val="both"/>
      </w:pPr>
      <w:r>
        <w:rPr>
          <w:szCs w:val="28"/>
        </w:rPr>
        <w:t>Управлінням персоналу здійснюється робота щодо кадрового забезпечення пунктів допомоги відповідно до розпорядження міського голови від 18.04.2022 № 119 “Про організацію роботи пунктів допомоги Збройним силам України, підрозділам територіальної оборони, внутрішньо переміщеним особам та містам України, які потребують гуманітарної допомоги”, зі змінами.</w:t>
      </w:r>
    </w:p>
    <w:p w:rsidR="00373847" w:rsidRDefault="00E5338A">
      <w:pPr>
        <w:tabs>
          <w:tab w:val="left" w:pos="540"/>
          <w:tab w:val="decimal" w:leader="underscore" w:pos="1800"/>
          <w:tab w:val="decimal" w:leader="underscore" w:pos="3402"/>
          <w:tab w:val="left" w:pos="4800"/>
        </w:tabs>
        <w:jc w:val="both"/>
      </w:pPr>
      <w:r>
        <w:rPr>
          <w:szCs w:val="28"/>
        </w:rPr>
        <w:tab/>
        <w:t xml:space="preserve">Проведена робота щодо організації адаптації новопризначених працівників Луцької міської ради, розроблено Положення про організацію адаптації новопризначених працівників Луцької міської ради, яке затверджено розпорядженням міського голови від  22.02.2023 №10-ра. Упродовж звітного </w:t>
      </w:r>
      <w:r>
        <w:rPr>
          <w:szCs w:val="28"/>
        </w:rPr>
        <w:lastRenderedPageBreak/>
        <w:t>періоду здійснено адаптацію 3 новопризначених працівників департаментів соціальної політики, економічної політики, містобудування, земельних ресурсів та реклами.</w:t>
      </w:r>
    </w:p>
    <w:p w:rsidR="00373847" w:rsidRDefault="00E5338A">
      <w:pPr>
        <w:tabs>
          <w:tab w:val="left" w:pos="540"/>
          <w:tab w:val="decimal" w:leader="underscore" w:pos="1800"/>
          <w:tab w:val="decimal" w:leader="underscore" w:pos="3402"/>
          <w:tab w:val="left" w:pos="4800"/>
        </w:tabs>
        <w:jc w:val="both"/>
      </w:pPr>
      <w:r>
        <w:rPr>
          <w:szCs w:val="28"/>
        </w:rPr>
        <w:tab/>
        <w:t xml:space="preserve">З метою забезпечення єдиного підходу при розробленні, оформленні, перегляді, внесенні змін і зберіганні посадових інструкцій посадових осіб місцевого самоврядування розроблено Порядок роботи з посадовими інструкціями посадових осіб місцевого самоврядування (службовців, робітників) виконавчих органів Луцької міської ради, який затверджений розпорядженням міського голови від 11.01.2023 № 2-ра. Упродовж звітного періоду актуалізовано посадові інструкції працівників управління соціальних служб для сім'ї, дітей та молоді, управління охорони здоров'я та управління персоналу. </w:t>
      </w:r>
    </w:p>
    <w:p w:rsidR="00373847" w:rsidRDefault="00E5338A">
      <w:pPr>
        <w:pStyle w:val="af7"/>
        <w:tabs>
          <w:tab w:val="left" w:pos="567"/>
        </w:tabs>
        <w:ind w:firstLine="567"/>
        <w:jc w:val="both"/>
        <w:rPr>
          <w:sz w:val="28"/>
          <w:szCs w:val="28"/>
        </w:rPr>
      </w:pPr>
      <w:r>
        <w:rPr>
          <w:rFonts w:ascii="Times New Roman" w:hAnsi="Times New Roman" w:cs="Times New Roman"/>
          <w:sz w:val="28"/>
          <w:szCs w:val="28"/>
        </w:rPr>
        <w:t>Управлінням персоналу</w:t>
      </w:r>
      <w:r>
        <w:rPr>
          <w:rFonts w:ascii="Times New Roman" w:hAnsi="Times New Roman" w:cs="Times New Roman"/>
          <w:sz w:val="28"/>
          <w:szCs w:val="28"/>
          <w:shd w:val="clear" w:color="auto" w:fill="FFFFFF"/>
        </w:rPr>
        <w:t xml:space="preserve">  розглянуто 1334 заяви щодо прийому на роботу, переведення, звільнення працівників, надання їм відпусток та матеріальних допомог. Підготовлено 657 розпоряджень міського голови з кадрових питань, з них: </w:t>
      </w:r>
      <w:r>
        <w:rPr>
          <w:rFonts w:ascii="Times New Roman" w:hAnsi="Times New Roman" w:cs="Times New Roman"/>
          <w:color w:val="191919"/>
          <w:sz w:val="28"/>
          <w:szCs w:val="28"/>
          <w:shd w:val="clear" w:color="auto" w:fill="FFFFFF"/>
        </w:rPr>
        <w:t>14</w:t>
      </w:r>
      <w:r>
        <w:rPr>
          <w:rFonts w:ascii="Times New Roman" w:hAnsi="Times New Roman" w:cs="Times New Roman"/>
          <w:color w:val="020202"/>
          <w:sz w:val="28"/>
          <w:szCs w:val="28"/>
          <w:shd w:val="clear" w:color="auto" w:fill="FFFFFF"/>
        </w:rPr>
        <w:t xml:space="preserve"> щодо штатних розписів, положень, посадових інструкцій,  порядку проведення щорічної оцінки, плану роботи з кадрами; </w:t>
      </w:r>
      <w:r>
        <w:rPr>
          <w:rFonts w:ascii="Times New Roman" w:hAnsi="Times New Roman"/>
          <w:color w:val="020202"/>
          <w:sz w:val="28"/>
          <w:szCs w:val="28"/>
        </w:rPr>
        <w:t>369 – про прийняття, переведення, звільнення, атестацію, підвищення кваліфікації, стажування, заохочення (нагородження, преміювання), нарахування матеріальної допомоги, відпустки за власний рахунок; 258 – про щорічні оплачувані відпустки, короткострокові відрядження в межах України та за кордон; 16 – про участь у навчанні, виконання обов'язків, службове розслідування.</w:t>
      </w:r>
    </w:p>
    <w:p w:rsidR="00373847" w:rsidRDefault="00E5338A">
      <w:pPr>
        <w:pStyle w:val="af7"/>
        <w:tabs>
          <w:tab w:val="left" w:pos="567"/>
        </w:tabs>
        <w:ind w:firstLine="567"/>
        <w:jc w:val="both"/>
        <w:rPr>
          <w:sz w:val="28"/>
          <w:szCs w:val="28"/>
        </w:rPr>
      </w:pPr>
      <w:r>
        <w:rPr>
          <w:rFonts w:ascii="Times New Roman" w:hAnsi="Times New Roman" w:cs="Times New Roman"/>
          <w:sz w:val="28"/>
          <w:szCs w:val="28"/>
          <w:shd w:val="clear" w:color="auto" w:fill="FFFFFF"/>
        </w:rPr>
        <w:t>Підготовлено 17 наказів управління персоналу з основної діяльності та кадрових питань.</w:t>
      </w:r>
      <w:r>
        <w:rPr>
          <w:rFonts w:cs="Times New Roman"/>
          <w:sz w:val="28"/>
          <w:szCs w:val="28"/>
          <w:shd w:val="clear" w:color="auto" w:fill="FFFFFF"/>
        </w:rPr>
        <w:t xml:space="preserve">                                                                                                       </w:t>
      </w:r>
    </w:p>
    <w:p w:rsidR="00373847" w:rsidRDefault="00E5338A">
      <w:pPr>
        <w:pStyle w:val="ab"/>
        <w:tabs>
          <w:tab w:val="left" w:pos="567"/>
        </w:tabs>
        <w:spacing w:line="240" w:lineRule="auto"/>
        <w:jc w:val="both"/>
        <w:rPr>
          <w:szCs w:val="28"/>
        </w:rPr>
      </w:pPr>
      <w:r>
        <w:rPr>
          <w:color w:val="000000"/>
          <w:szCs w:val="28"/>
          <w:shd w:val="clear" w:color="auto" w:fill="FFFFFF"/>
        </w:rPr>
        <w:t xml:space="preserve">     </w:t>
      </w:r>
      <w:r>
        <w:rPr>
          <w:color w:val="000000"/>
          <w:szCs w:val="28"/>
          <w:shd w:val="clear" w:color="auto" w:fill="FFFFFF"/>
        </w:rPr>
        <w:tab/>
        <w:t>Розглянуто 93 звернення громадян, 132 листа вхідної кореспонденції. Окрім того, протягом звітного періоду управлінням надано інформацію на 1 публічний запит.</w:t>
      </w:r>
    </w:p>
    <w:p w:rsidR="00373847" w:rsidRDefault="00E5338A">
      <w:pPr>
        <w:pStyle w:val="af7"/>
        <w:tabs>
          <w:tab w:val="left" w:pos="683"/>
        </w:tabs>
        <w:ind w:firstLine="567"/>
        <w:jc w:val="both"/>
        <w:rPr>
          <w:sz w:val="28"/>
          <w:szCs w:val="28"/>
        </w:rPr>
      </w:pPr>
      <w:r>
        <w:rPr>
          <w:rFonts w:ascii="Times New Roman" w:hAnsi="Times New Roman" w:cs="Times New Roman"/>
          <w:b/>
          <w:bCs/>
          <w:color w:val="000000"/>
          <w:sz w:val="28"/>
          <w:szCs w:val="28"/>
          <w:shd w:val="clear" w:color="auto" w:fill="FFFFFF"/>
        </w:rPr>
        <w:t>2. Щорічна оцінка діяльності посадових осіб місцевого самоврядування та атестація.</w:t>
      </w:r>
    </w:p>
    <w:p w:rsidR="00373847" w:rsidRDefault="00E5338A">
      <w:pPr>
        <w:pStyle w:val="af7"/>
        <w:ind w:firstLine="567"/>
        <w:jc w:val="both"/>
        <w:rPr>
          <w:sz w:val="28"/>
          <w:szCs w:val="28"/>
        </w:rPr>
      </w:pPr>
      <w:r>
        <w:rPr>
          <w:rFonts w:ascii="Times New Roman" w:hAnsi="Times New Roman" w:cs="Times New Roman"/>
          <w:color w:val="000000"/>
          <w:sz w:val="28"/>
          <w:szCs w:val="28"/>
        </w:rPr>
        <w:t>Відповідно до Порядку проведення щорічної оцінки виконання посадовими особами місцевого самоврядування апарату міської ради та виконавчого комітету, виконавчих органів міської ради, покладених на них обов’язків і завдань, затвердженого розпорядженням міського голови від 13.12.2021 № 165-ра, розпорядження міського голови від 09.01.2022 № 1-ра “Про проведення щорічної оцінки виконання посадовими особами місцевого самоврядування апарату міської ради та виконавчого комітету, виконавчих органів міської ради, покладених на них обов’язків та завдань”  та з метою здійснення регулярного контролю за проходженням служби в органах місцевого самоврядування, а також професійними досягненнями посадових осіб місцевого самоврядування апарату міської ради, виконавчого комітету та виконавчих органів міської ради проведена щорічна оцінка виконання покладених на них обов’язків і завдань у термін з 16.01.2023 до 31.01.2023.</w:t>
      </w:r>
    </w:p>
    <w:p w:rsidR="00373847" w:rsidRDefault="00E5338A">
      <w:pPr>
        <w:pStyle w:val="af7"/>
        <w:ind w:firstLine="709"/>
        <w:jc w:val="both"/>
        <w:rPr>
          <w:sz w:val="28"/>
          <w:szCs w:val="28"/>
        </w:rPr>
      </w:pPr>
      <w:r>
        <w:rPr>
          <w:rFonts w:ascii="Times New Roman" w:hAnsi="Times New Roman" w:cs="Times New Roman"/>
          <w:color w:val="000000"/>
          <w:sz w:val="28"/>
          <w:szCs w:val="28"/>
        </w:rPr>
        <w:t xml:space="preserve">Щорічну оцінку за вказаний період пройшли 369 посадових осіб місцевого самоврядування. Не підлягали щорічній оцінці 135 посадових осіб </w:t>
      </w:r>
      <w:r>
        <w:rPr>
          <w:rFonts w:ascii="Times New Roman" w:hAnsi="Times New Roman" w:cs="Times New Roman"/>
          <w:color w:val="000000"/>
          <w:sz w:val="28"/>
          <w:szCs w:val="28"/>
        </w:rPr>
        <w:lastRenderedPageBreak/>
        <w:t>місцевого самоврядування.</w:t>
      </w:r>
    </w:p>
    <w:p w:rsidR="00373847" w:rsidRDefault="00E5338A">
      <w:pPr>
        <w:pStyle w:val="af7"/>
        <w:ind w:firstLine="709"/>
        <w:jc w:val="both"/>
      </w:pPr>
      <w:r>
        <w:rPr>
          <w:rFonts w:ascii="Times New Roman" w:hAnsi="Times New Roman" w:cs="Times New Roman"/>
          <w:color w:val="000000"/>
          <w:sz w:val="28"/>
          <w:szCs w:val="28"/>
        </w:rPr>
        <w:t xml:space="preserve">Щорічна оцінка виконання посадовими особами місцевого самоврядування покладених на них обов’язків і завдань пройшла на  високому  організаційному рівні. За результатами щорічної оцінки, проведеної безпосередніми керівниками та керівниками вищого рівня, високу оцінку  отримали  350 осіб,  добру – 18 осіб, 1 особа отримала задовільну оцінку.  </w:t>
      </w:r>
    </w:p>
    <w:p w:rsidR="00373847" w:rsidRDefault="00E5338A">
      <w:pPr>
        <w:pStyle w:val="af7"/>
        <w:ind w:firstLine="709"/>
        <w:jc w:val="both"/>
      </w:pPr>
      <w:r>
        <w:rPr>
          <w:rFonts w:ascii="Times New Roman" w:hAnsi="Times New Roman" w:cs="Times New Roman"/>
          <w:color w:val="000000"/>
          <w:sz w:val="28"/>
          <w:szCs w:val="28"/>
        </w:rPr>
        <w:t>Загалом щорічна оцінка засв</w:t>
      </w:r>
      <w:r>
        <w:rPr>
          <w:rFonts w:ascii="Times New Roman" w:eastAsia="SimSun" w:hAnsi="Times New Roman" w:cs="Times New Roman"/>
          <w:color w:val="000000"/>
          <w:sz w:val="28"/>
          <w:szCs w:val="28"/>
          <w:lang w:bidi="ar-SA"/>
        </w:rPr>
        <w:t>і</w:t>
      </w:r>
      <w:r>
        <w:rPr>
          <w:rFonts w:ascii="Times New Roman" w:hAnsi="Times New Roman" w:cs="Times New Roman"/>
          <w:color w:val="000000"/>
          <w:sz w:val="28"/>
          <w:szCs w:val="28"/>
        </w:rPr>
        <w:t>дчила високий рівень професіоналізму, відповідність ділових кваліфікацій, рівня знань і навичок посадових осіб місцевого самоврядування займаним посадам.</w:t>
      </w:r>
    </w:p>
    <w:p w:rsidR="00373847" w:rsidRDefault="00E5338A">
      <w:pPr>
        <w:pStyle w:val="af7"/>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Під час проведення щорічної оцінки результатів роботи посадових осіб місцевого самоврядування безпосередніми керівниками і співбесіди з ними був забезпечений об’єктивний та принциповий підхід оцінки їх професійного рівня та висловлена низка рекомендацій щодо підвищення ефективності роботи, необхідності у прояві ініціативності, стимулювання творчого підходу до виконання службових обов’язків, підвищення якості ділової комунікації, направлення на навчання та підвищення кваліфікації і кар’єрного росту тощо.</w:t>
      </w:r>
    </w:p>
    <w:p w:rsidR="00373847" w:rsidRDefault="00E5338A">
      <w:pPr>
        <w:pStyle w:val="af7"/>
        <w:ind w:firstLine="709"/>
        <w:jc w:val="both"/>
      </w:pPr>
      <w:r>
        <w:rPr>
          <w:rFonts w:ascii="Times New Roman" w:hAnsi="Times New Roman" w:cs="Times New Roman"/>
          <w:bCs/>
          <w:sz w:val="28"/>
          <w:szCs w:val="28"/>
          <w:shd w:val="clear" w:color="auto" w:fill="FFFFFF"/>
        </w:rPr>
        <w:t xml:space="preserve">Відповідно до статті 17 Закону України «Про службу в органах місцевого самоврядування», Типового положення про проведення атестації посадових осіб місцевого самоврядування, затвердженого постановою Кабінету Міністрів України від 26.10.2001 № 1440, із змінами та доповненнями, Положення про проведення атестації посадових осіб місцевого самоврядування апарату міської ради, виконавчого комітету та виконавчих органів міської ради, затвердженого розпорядженням міського голови від 16.12.2021 № 170-ра, розпорядження міського голови від 18.01.2023 № 66-рб «Про проведення атестації посадових осіб місцевого самоврядування апарату виконавчого комітету та виконавчих органів міської ради», проведено атестацію посадових осіб місцевого самоврядування  у термін з 20.02.2023 до 10.03.2023.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Кількісний та персональний склад атестаційної комісії, термін і графіки проведення атестації були доведені до відома посадових осіб місцевого самоврядування. На кожного працівника, який підлягав атестації, складені службові характеристики, з якими вони ознайомились під час співбесіди з безпосередніми керівниками. Під час атестації враховувались також результати попередньої атестації та щорічного оцінювання виконання посадовими особами місцевого самоврядування покладених на них завдань та обов’язків за період, що минув після попередньої атестації. Атестаційна комісія забезпечила об’єктивний розгляд і професійну оцінку діяльності кожної посадової особи, яка атестувалась, зокрема щодо виконання покладених на неї службових обов’язків, знання та користування у своїй роботі державною мовою, а також принципово підійшла до підготовки рекомендацій для подальшого використання її досвіду і знань у роботі виконавчих органів міської ради.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За результатами атестації атестаційна комісія визнала такими, що відповідають займаній посаді, 367 посадових осіб місцевого самоврядування, з них рекомендовано: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6 осіб зарахувати у кадровий резерв на вищу посаду;</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1 особі здобути освіту у галузі знань «Право»;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lastRenderedPageBreak/>
        <w:t xml:space="preserve">1 особі підвищити кваліфікацію у сфері правового регулювання питань архітектури та будівництва;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1 особі доручити виконання обов’язків, пов’язаних з веденням діловодства, в межах спеціальності, кваліфікації чи посади, що не тягне за собою істотних змін праці.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На момент проведення атестації з загального списку працівників, затвердженого розпорядженням міського голови, 1 особа не підлягала атестації (переведення на іншу посаду), 2 особи не виявили бажання проходити атестацію (вагітність та досягнення граничного віку перебування на службі в органах місцевого самоврядування).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Окрім того, 2 особам перенесено проходження атестації на іншу дату у зв'язку з тимчасовою втратою працездатності та проходженням військової служби. </w:t>
      </w:r>
    </w:p>
    <w:p w:rsidR="00373847" w:rsidRDefault="00E5338A">
      <w:pPr>
        <w:pStyle w:val="af7"/>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Загалом атестація підтвердила високі ділові та професійні якості посадових осіб місцевого самоврядування, їх сприйнятливість до нових завдань і здатність практично їх реалізовувати. </w:t>
      </w:r>
    </w:p>
    <w:p w:rsidR="00373847" w:rsidRDefault="00373847">
      <w:pPr>
        <w:pStyle w:val="af7"/>
        <w:ind w:firstLine="709"/>
        <w:jc w:val="both"/>
        <w:rPr>
          <w:rFonts w:ascii="Times New Roman" w:hAnsi="Times New Roman" w:cs="Times New Roman"/>
          <w:b/>
          <w:bCs/>
          <w:color w:val="000000"/>
          <w:sz w:val="28"/>
          <w:szCs w:val="28"/>
        </w:rPr>
      </w:pPr>
    </w:p>
    <w:p w:rsidR="00373847" w:rsidRDefault="00E5338A">
      <w:pPr>
        <w:pStyle w:val="af7"/>
        <w:ind w:firstLine="709"/>
        <w:jc w:val="both"/>
      </w:pPr>
      <w:r>
        <w:rPr>
          <w:rFonts w:ascii="Times New Roman" w:hAnsi="Times New Roman" w:cs="Times New Roman"/>
          <w:b/>
          <w:bCs/>
          <w:color w:val="000000"/>
          <w:sz w:val="28"/>
          <w:szCs w:val="28"/>
        </w:rPr>
        <w:t>3.</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Підвищення рівня професійної компетентності працівників.</w:t>
      </w:r>
    </w:p>
    <w:p w:rsidR="00373847" w:rsidRDefault="00E5338A">
      <w:pPr>
        <w:pStyle w:val="af7"/>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Ведеться постійна робота щодо запровадження системності та безперервності у </w:t>
      </w:r>
      <w:proofErr w:type="spellStart"/>
      <w:r>
        <w:rPr>
          <w:rFonts w:ascii="Times New Roman" w:hAnsi="Times New Roman" w:cs="Times New Roman"/>
          <w:color w:val="000000"/>
          <w:sz w:val="28"/>
          <w:szCs w:val="28"/>
        </w:rPr>
        <w:t>професійно</w:t>
      </w:r>
      <w:proofErr w:type="spellEnd"/>
      <w:r>
        <w:rPr>
          <w:rFonts w:ascii="Times New Roman" w:hAnsi="Times New Roman" w:cs="Times New Roman"/>
          <w:color w:val="000000"/>
          <w:sz w:val="28"/>
          <w:szCs w:val="28"/>
        </w:rPr>
        <w:t>-освітньому процесі підвищення кваліфікації посадових осіб місцевого самоврядування.</w:t>
      </w:r>
    </w:p>
    <w:p w:rsidR="00373847" w:rsidRDefault="00E5338A">
      <w:pPr>
        <w:pStyle w:val="af7"/>
        <w:ind w:firstLine="709"/>
        <w:jc w:val="both"/>
      </w:pPr>
      <w:r>
        <w:rPr>
          <w:rFonts w:ascii="Times New Roman" w:hAnsi="Times New Roman" w:cs="Times New Roman"/>
          <w:color w:val="000000"/>
          <w:sz w:val="28"/>
          <w:szCs w:val="28"/>
        </w:rPr>
        <w:t>Для належної організації підвищення кваліфікації посадових осіб виконавчих органів Луцької міської ради управління персоналу отримало можливість виконувати функції «Служби управління персоналом» на Порталі управління знаннями Національного агентства питань державної служби. Проведено роз'яснювальна робота з керівниками виконавчих органів міської ради щодо необхідності реєстрації працівників на вказаному вище Порталі,  відповідно упродовж звітного періоду 343 працівники здійснили реєстрацію.</w:t>
      </w:r>
    </w:p>
    <w:p w:rsidR="00373847" w:rsidRDefault="00E5338A">
      <w:pPr>
        <w:pStyle w:val="af7"/>
        <w:ind w:firstLine="709"/>
        <w:jc w:val="both"/>
      </w:pPr>
      <w:r>
        <w:rPr>
          <w:rFonts w:ascii="Times New Roman" w:hAnsi="Times New Roman" w:cs="Times New Roman"/>
          <w:color w:val="000000"/>
          <w:sz w:val="28"/>
          <w:szCs w:val="28"/>
        </w:rPr>
        <w:t xml:space="preserve">З метою підвищення ефективності професійного навчання посадових осіб виконавчих органів Луцької міської ради  розроблено </w:t>
      </w:r>
      <w:r>
        <w:rPr>
          <w:rFonts w:ascii="Times New Roman" w:hAnsi="Times New Roman" w:cs="Times New Roman"/>
          <w:color w:val="070707"/>
          <w:sz w:val="28"/>
          <w:szCs w:val="28"/>
        </w:rPr>
        <w:t xml:space="preserve">Порядок організації </w:t>
      </w:r>
      <w:r>
        <w:rPr>
          <w:rFonts w:ascii="Times New Roman" w:hAnsi="Times New Roman" w:cs="Times New Roman"/>
          <w:color w:val="000000"/>
          <w:sz w:val="28"/>
          <w:szCs w:val="28"/>
        </w:rPr>
        <w:t xml:space="preserve">професійного навчання посадових осіб виконавчих органів Луцької міської ради та оцінювання </w:t>
      </w:r>
      <w:r>
        <w:rPr>
          <w:rFonts w:ascii="Times New Roman" w:eastAsia="Times New Roman" w:hAnsi="Times New Roman" w:cs="Times New Roman"/>
          <w:color w:val="070707"/>
          <w:sz w:val="28"/>
          <w:szCs w:val="28"/>
          <w:lang w:eastAsia="uk-UA"/>
        </w:rPr>
        <w:t>його результативності, який затверджений розпорядженням міського голови від 23.03.2023 №12-ра.</w:t>
      </w:r>
    </w:p>
    <w:p w:rsidR="00373847" w:rsidRDefault="00E5338A">
      <w:pPr>
        <w:pStyle w:val="af7"/>
        <w:ind w:firstLine="709"/>
        <w:jc w:val="both"/>
      </w:pPr>
      <w:r>
        <w:rPr>
          <w:rFonts w:ascii="Times New Roman" w:hAnsi="Times New Roman" w:cs="Times New Roman"/>
          <w:color w:val="000000"/>
          <w:sz w:val="28"/>
          <w:szCs w:val="28"/>
        </w:rPr>
        <w:t>Відповідно до плану внутрішнього навчання посадових осіб місцевого самоврядування виконавчих органів Луцької міської ради на 2023 рік на звітний період було заплановано 9 внутрішніх навчань, з яких проведено 8.  Загалом у навчаннях взяло участь 394 працівники виконавчих органів Луцької міської ради.</w:t>
      </w:r>
    </w:p>
    <w:p w:rsidR="00373847" w:rsidRDefault="00E5338A">
      <w:pPr>
        <w:pStyle w:val="af7"/>
        <w:ind w:firstLine="709"/>
        <w:jc w:val="both"/>
      </w:pPr>
      <w:r>
        <w:rPr>
          <w:rFonts w:ascii="Times New Roman" w:hAnsi="Times New Roman" w:cs="Times New Roman"/>
          <w:color w:val="000000"/>
          <w:sz w:val="28"/>
          <w:szCs w:val="28"/>
        </w:rPr>
        <w:t xml:space="preserve">Згідно з </w:t>
      </w:r>
      <w:r>
        <w:rPr>
          <w:rFonts w:ascii="Times New Roman" w:hAnsi="Times New Roman" w:cs="Times New Roman"/>
          <w:color w:val="000000"/>
          <w:sz w:val="28"/>
          <w:szCs w:val="28"/>
          <w:shd w:val="clear" w:color="auto" w:fill="FFFFFF"/>
        </w:rPr>
        <w:t>планом-графіком підвищення кваліфікації державних службовців, посадових осіб місцевого самоврядування на 2023 рік відбулося 16 навчань за програмами постійно діючого та короткотермінового семінарів, у яких взяли участь та отримали свідоцтва про підвищення кваліфікації  126 посадових осіб місцевого самоврядування.</w:t>
      </w:r>
    </w:p>
    <w:p w:rsidR="00373847" w:rsidRDefault="00E5338A">
      <w:pPr>
        <w:pStyle w:val="af7"/>
        <w:ind w:firstLine="709"/>
        <w:jc w:val="both"/>
      </w:pPr>
      <w:r>
        <w:rPr>
          <w:rFonts w:ascii="Times New Roman" w:hAnsi="Times New Roman" w:cs="Times New Roman"/>
          <w:bCs/>
          <w:color w:val="000000"/>
          <w:sz w:val="28"/>
          <w:szCs w:val="28"/>
          <w:shd w:val="clear" w:color="auto" w:fill="FFFFFF"/>
        </w:rPr>
        <w:t xml:space="preserve">Під час  зовнішніх навчань посадові особи місцевого самоврядування Луцької міської ради працювали за </w:t>
      </w:r>
      <w:r>
        <w:rPr>
          <w:rFonts w:ascii="Times New Roman" w:hAnsi="Times New Roman" w:cs="Times New Roman"/>
          <w:color w:val="000000"/>
          <w:sz w:val="28"/>
          <w:szCs w:val="28"/>
          <w:shd w:val="clear" w:color="auto" w:fill="FFFFFF"/>
        </w:rPr>
        <w:t xml:space="preserve">програмами: “Управління персоналом в </w:t>
      </w:r>
      <w:r>
        <w:rPr>
          <w:rFonts w:ascii="Times New Roman" w:hAnsi="Times New Roman" w:cs="Times New Roman"/>
          <w:color w:val="000000"/>
          <w:sz w:val="28"/>
          <w:szCs w:val="28"/>
          <w:shd w:val="clear" w:color="auto" w:fill="FFFFFF"/>
        </w:rPr>
        <w:lastRenderedPageBreak/>
        <w:t>органах місцевого самоврядування”, “Державна мова”, “Соціально-психологічні аспекти діяльності публічного службовця”  “Співробітництво територіальних громад як інструмент вдосконалення надання послуг”,    “Державна політика в сфері соціального захисту населення”, “Стратегічні комунікації у публічному управлінні”, “Казначейське обслуговування розпорядників та одержувачів бюджетних коштів”.</w:t>
      </w:r>
    </w:p>
    <w:p w:rsidR="00373847" w:rsidRDefault="00E5338A">
      <w:pPr>
        <w:pStyle w:val="af7"/>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працівники виконавчих органів Луцької міської ради розпочали навчання за професійною програмою “Ділова англійська мова”.</w:t>
      </w:r>
    </w:p>
    <w:p w:rsidR="00373847" w:rsidRDefault="00E5338A">
      <w:pPr>
        <w:pStyle w:val="af7"/>
        <w:ind w:firstLine="709"/>
        <w:jc w:val="both"/>
        <w:rPr>
          <w:color w:val="020202"/>
        </w:rPr>
      </w:pPr>
      <w:r>
        <w:rPr>
          <w:rFonts w:ascii="Times New Roman" w:hAnsi="Times New Roman" w:cs="Times New Roman"/>
          <w:color w:val="020202"/>
          <w:sz w:val="28"/>
          <w:szCs w:val="28"/>
          <w:highlight w:val="white"/>
          <w:shd w:val="clear" w:color="auto" w:fill="FFFFFF"/>
        </w:rPr>
        <w:t xml:space="preserve">Очне навчання відбулося за програмами: “Командна робота і </w:t>
      </w:r>
      <w:proofErr w:type="spellStart"/>
      <w:r>
        <w:rPr>
          <w:rFonts w:ascii="Times New Roman" w:hAnsi="Times New Roman" w:cs="Times New Roman"/>
          <w:color w:val="020202"/>
          <w:sz w:val="28"/>
          <w:szCs w:val="28"/>
          <w:highlight w:val="white"/>
          <w:shd w:val="clear" w:color="auto" w:fill="FFFFFF"/>
        </w:rPr>
        <w:t>взаємодія”,“Організація</w:t>
      </w:r>
      <w:proofErr w:type="spellEnd"/>
      <w:r>
        <w:rPr>
          <w:rFonts w:ascii="Times New Roman" w:hAnsi="Times New Roman" w:cs="Times New Roman"/>
          <w:color w:val="020202"/>
          <w:sz w:val="28"/>
          <w:szCs w:val="28"/>
          <w:highlight w:val="white"/>
          <w:shd w:val="clear" w:color="auto" w:fill="FFFFFF"/>
        </w:rPr>
        <w:t xml:space="preserve"> роботи із захисту прав дітей у територіальний громаді”, “</w:t>
      </w:r>
      <w:proofErr w:type="spellStart"/>
      <w:r>
        <w:rPr>
          <w:rFonts w:ascii="Times New Roman" w:hAnsi="Times New Roman" w:cs="Times New Roman"/>
          <w:color w:val="020202"/>
          <w:sz w:val="28"/>
          <w:szCs w:val="28"/>
          <w:highlight w:val="white"/>
          <w:shd w:val="clear" w:color="auto" w:fill="FFFFFF"/>
        </w:rPr>
        <w:t>Мовнокомунікативний</w:t>
      </w:r>
      <w:proofErr w:type="spellEnd"/>
      <w:r>
        <w:rPr>
          <w:rFonts w:ascii="Times New Roman" w:hAnsi="Times New Roman" w:cs="Times New Roman"/>
          <w:color w:val="020202"/>
          <w:sz w:val="28"/>
          <w:szCs w:val="28"/>
          <w:highlight w:val="white"/>
          <w:shd w:val="clear" w:color="auto" w:fill="FFFFFF"/>
        </w:rPr>
        <w:t xml:space="preserve"> практикум для публічних службовців”,  “Робота в системі електронного документообігу «АСКОД»”. Загалом охоплено навчанням 41 особу.</w:t>
      </w:r>
    </w:p>
    <w:p w:rsidR="00373847" w:rsidRDefault="00E5338A">
      <w:pPr>
        <w:pStyle w:val="af7"/>
        <w:ind w:firstLine="709"/>
        <w:jc w:val="both"/>
      </w:pPr>
      <w:r>
        <w:rPr>
          <w:rFonts w:ascii="Times New Roman" w:hAnsi="Times New Roman" w:cs="Times New Roman"/>
          <w:color w:val="050505"/>
          <w:sz w:val="28"/>
          <w:szCs w:val="28"/>
          <w:highlight w:val="white"/>
          <w:shd w:val="clear" w:color="auto" w:fill="FFFFFF"/>
        </w:rPr>
        <w:t xml:space="preserve">В межах </w:t>
      </w:r>
      <w:proofErr w:type="spellStart"/>
      <w:r>
        <w:rPr>
          <w:rFonts w:ascii="Times New Roman" w:hAnsi="Times New Roman" w:cs="Times New Roman"/>
          <w:color w:val="050505"/>
          <w:sz w:val="28"/>
          <w:szCs w:val="28"/>
          <w:highlight w:val="white"/>
          <w:shd w:val="clear" w:color="auto" w:fill="FFFFFF"/>
        </w:rPr>
        <w:t>проєкту</w:t>
      </w:r>
      <w:proofErr w:type="spellEnd"/>
      <w:r>
        <w:rPr>
          <w:rFonts w:ascii="Times New Roman" w:hAnsi="Times New Roman" w:cs="Times New Roman"/>
          <w:color w:val="050505"/>
          <w:sz w:val="28"/>
          <w:szCs w:val="28"/>
          <w:highlight w:val="white"/>
          <w:shd w:val="clear" w:color="auto" w:fill="FFFFFF"/>
        </w:rPr>
        <w:t xml:space="preserve"> USAID “ГОВЕРЛА”</w:t>
      </w:r>
      <w:r>
        <w:rPr>
          <w:rFonts w:ascii="Times New Roman" w:hAnsi="Times New Roman" w:cs="Times New Roman"/>
          <w:color w:val="000000"/>
          <w:sz w:val="28"/>
          <w:szCs w:val="28"/>
          <w:highlight w:val="white"/>
          <w:shd w:val="clear" w:color="auto" w:fill="FFFFFF"/>
        </w:rPr>
        <w:t xml:space="preserve"> працівники пройшли навчання на теми: “Правовий статус виконавчого комітету як виконавчого органу місцевої ради. Регламентація його діяльності”, “Бюджетна звітність органів місцевого самоврядування та вимоги до її оприлюднення”, “Інституційно-</w:t>
      </w:r>
      <w:proofErr w:type="spellStart"/>
      <w:r>
        <w:rPr>
          <w:rFonts w:ascii="Times New Roman" w:hAnsi="Times New Roman" w:cs="Times New Roman"/>
          <w:color w:val="000000"/>
          <w:sz w:val="28"/>
          <w:szCs w:val="28"/>
          <w:highlight w:val="white"/>
          <w:shd w:val="clear" w:color="auto" w:fill="FFFFFF"/>
        </w:rPr>
        <w:t>органзіаційне</w:t>
      </w:r>
      <w:proofErr w:type="spellEnd"/>
      <w:r>
        <w:rPr>
          <w:rFonts w:ascii="Times New Roman" w:hAnsi="Times New Roman" w:cs="Times New Roman"/>
          <w:color w:val="000000"/>
          <w:sz w:val="28"/>
          <w:szCs w:val="28"/>
          <w:highlight w:val="white"/>
          <w:shd w:val="clear" w:color="auto" w:fill="FFFFFF"/>
        </w:rPr>
        <w:t xml:space="preserve"> забезпечення реалізації місцевою радою повноважень у сфері управління земельними ресурсами, містобудування та архітектури”, “Акти органів та посадових осіб місцевого самоврядування: вимоги до форми, структури та змісту. Порядок їх скасування та оскарження”.</w:t>
      </w:r>
    </w:p>
    <w:p w:rsidR="00373847" w:rsidRDefault="00E5338A">
      <w:pPr>
        <w:jc w:val="both"/>
      </w:pPr>
      <w:r>
        <w:rPr>
          <w:bCs w:val="0"/>
          <w:color w:val="000000"/>
          <w:szCs w:val="28"/>
          <w:highlight w:val="white"/>
          <w:shd w:val="clear" w:color="auto" w:fill="FFFFFF"/>
        </w:rPr>
        <w:tab/>
        <w:t>Працівники взяли також участь в інформаційній онлайн-сесії на тему: “Робота з документами  в ОМС: вимоги до їх створення, систематизації, збереження та відновлення в умовах воєнного стану”, яка проводилася за підтримки Регіонального офісу “U-LEAD з Європою” в Івано-Франківській області.</w:t>
      </w:r>
    </w:p>
    <w:p w:rsidR="00373847" w:rsidRDefault="00E5338A">
      <w:pPr>
        <w:pStyle w:val="af7"/>
        <w:ind w:firstLine="709"/>
        <w:jc w:val="both"/>
      </w:pPr>
      <w:r>
        <w:rPr>
          <w:rFonts w:ascii="Times New Roman" w:hAnsi="Times New Roman" w:cs="Times New Roman"/>
          <w:color w:val="000000"/>
          <w:sz w:val="28"/>
          <w:szCs w:val="28"/>
          <w:highlight w:val="white"/>
          <w:shd w:val="clear" w:color="auto" w:fill="FFFFFF"/>
        </w:rPr>
        <w:t xml:space="preserve">Актуальним для навчання спеціалістів був тренінг від Волинського регіонального відділення Асоціації міст України за підтримки </w:t>
      </w:r>
      <w:proofErr w:type="spellStart"/>
      <w:r>
        <w:rPr>
          <w:rFonts w:ascii="Times New Roman" w:hAnsi="Times New Roman" w:cs="Times New Roman"/>
          <w:color w:val="000000"/>
          <w:sz w:val="28"/>
          <w:szCs w:val="28"/>
          <w:highlight w:val="white"/>
          <w:shd w:val="clear" w:color="auto" w:fill="FFFFFF"/>
        </w:rPr>
        <w:t>проєкту</w:t>
      </w:r>
      <w:proofErr w:type="spellEnd"/>
      <w:r>
        <w:rPr>
          <w:rFonts w:ascii="Times New Roman" w:hAnsi="Times New Roman" w:cs="Times New Roman"/>
          <w:color w:val="000000"/>
          <w:sz w:val="28"/>
          <w:szCs w:val="28"/>
          <w:highlight w:val="white"/>
          <w:shd w:val="clear" w:color="auto" w:fill="FFFFFF"/>
        </w:rPr>
        <w:t xml:space="preserve"> </w:t>
      </w:r>
      <w:r>
        <w:rPr>
          <w:rFonts w:ascii="Times New Roman" w:hAnsi="Times New Roman" w:cs="Times New Roman"/>
          <w:color w:val="000000"/>
          <w:sz w:val="28"/>
          <w:szCs w:val="28"/>
          <w:highlight w:val="white"/>
          <w:shd w:val="clear" w:color="auto" w:fill="FFFFFF"/>
          <w:lang w:val="en-US"/>
        </w:rPr>
        <w:t>PROSTO</w:t>
      </w:r>
      <w:r w:rsidRPr="00E5338A">
        <w:rPr>
          <w:rFonts w:ascii="Times New Roman" w:hAnsi="Times New Roman" w:cs="Times New Roman"/>
          <w:color w:val="000000"/>
          <w:sz w:val="28"/>
          <w:szCs w:val="28"/>
          <w:highlight w:val="white"/>
          <w:shd w:val="clear" w:color="auto" w:fill="FFFFFF"/>
        </w:rPr>
        <w:t xml:space="preserve"> “</w:t>
      </w:r>
      <w:r>
        <w:rPr>
          <w:rFonts w:ascii="Times New Roman" w:hAnsi="Times New Roman" w:cs="Times New Roman"/>
          <w:color w:val="000000"/>
          <w:sz w:val="28"/>
          <w:szCs w:val="28"/>
          <w:highlight w:val="white"/>
          <w:shd w:val="clear" w:color="auto" w:fill="FFFFFF"/>
        </w:rPr>
        <w:t>Підтримка доступності послуг в Україні”.</w:t>
      </w:r>
    </w:p>
    <w:p w:rsidR="00373847" w:rsidRDefault="00E5338A">
      <w:pPr>
        <w:pStyle w:val="af7"/>
        <w:ind w:firstLine="709"/>
        <w:jc w:val="both"/>
      </w:pPr>
      <w:r>
        <w:rPr>
          <w:rFonts w:ascii="Times New Roman" w:hAnsi="Times New Roman" w:cs="Times New Roman"/>
          <w:color w:val="000000"/>
          <w:sz w:val="28"/>
          <w:szCs w:val="28"/>
          <w:highlight w:val="white"/>
          <w:shd w:val="clear" w:color="auto" w:fill="FFFFFF"/>
        </w:rPr>
        <w:t xml:space="preserve">Працівники управління соціальних служб для сім'ї, дітей та молоді взяли участь у тренінгу «Забезпечення комплексного ефективного супроводу задля розбудови економічної спроможності жінок, які знаходяться в складних життєвих обставинах, в тому числі постраждалих від домашнього насильства» в смт </w:t>
      </w:r>
      <w:proofErr w:type="spellStart"/>
      <w:r>
        <w:rPr>
          <w:rFonts w:ascii="Times New Roman" w:hAnsi="Times New Roman" w:cs="Times New Roman"/>
          <w:color w:val="000000"/>
          <w:sz w:val="28"/>
          <w:szCs w:val="28"/>
          <w:highlight w:val="white"/>
          <w:shd w:val="clear" w:color="auto" w:fill="FFFFFF"/>
        </w:rPr>
        <w:t>Жденієво</w:t>
      </w:r>
      <w:proofErr w:type="spellEnd"/>
      <w:r>
        <w:rPr>
          <w:rFonts w:ascii="Times New Roman" w:hAnsi="Times New Roman" w:cs="Times New Roman"/>
          <w:color w:val="000000"/>
          <w:sz w:val="28"/>
          <w:szCs w:val="28"/>
          <w:highlight w:val="white"/>
          <w:shd w:val="clear" w:color="auto" w:fill="FFFFFF"/>
        </w:rPr>
        <w:t xml:space="preserve"> Мукачівського району Закарпатської області. </w:t>
      </w:r>
    </w:p>
    <w:p w:rsidR="00373847" w:rsidRDefault="00E5338A">
      <w:pPr>
        <w:pStyle w:val="af7"/>
        <w:ind w:firstLine="709"/>
        <w:jc w:val="both"/>
      </w:pPr>
      <w:r>
        <w:rPr>
          <w:rFonts w:ascii="Times New Roman" w:hAnsi="Times New Roman" w:cs="Times New Roman"/>
          <w:color w:val="000000"/>
          <w:sz w:val="28"/>
          <w:szCs w:val="28"/>
          <w:highlight w:val="white"/>
          <w:shd w:val="clear" w:color="auto" w:fill="FFFFFF"/>
        </w:rPr>
        <w:t>Працівники департаменту муніципальної варти взяли участь в очних навчаннях на теми: «Актуальні питання з бухгалтерського обліку у 2023 році» та “Публічні закупівлі в умовах воєнного стану”.</w:t>
      </w:r>
    </w:p>
    <w:p w:rsidR="00373847" w:rsidRDefault="00E5338A">
      <w:pPr>
        <w:tabs>
          <w:tab w:val="left" w:pos="567"/>
        </w:tabs>
        <w:ind w:firstLine="567"/>
        <w:jc w:val="both"/>
      </w:pPr>
      <w:r>
        <w:rPr>
          <w:color w:val="000000"/>
          <w:szCs w:val="28"/>
        </w:rPr>
        <w:t xml:space="preserve">З метою організації подання щорічної декларації особи, уповноваженої на виконання функцій держави або місцевого самоврядування  спільно з Волинським регіональним центром підвищення кваліфікації </w:t>
      </w:r>
      <w:r w:rsidRPr="00E5338A">
        <w:rPr>
          <w:color w:val="000000"/>
          <w:szCs w:val="28"/>
        </w:rPr>
        <w:t>п</w:t>
      </w:r>
      <w:r>
        <w:rPr>
          <w:color w:val="000000"/>
          <w:szCs w:val="28"/>
        </w:rPr>
        <w:t xml:space="preserve">роведено </w:t>
      </w:r>
      <w:r>
        <w:rPr>
          <w:color w:val="050505"/>
          <w:szCs w:val="28"/>
        </w:rPr>
        <w:t xml:space="preserve">навчання за короткостроковою програмою </w:t>
      </w:r>
      <w:r>
        <w:rPr>
          <w:color w:val="000000"/>
          <w:szCs w:val="28"/>
        </w:rPr>
        <w:t xml:space="preserve">щодо електронного декларування. У навчанні взяли участь депутати, посадові особи місцевого самоврядування Луцької міської ради, уповноважені особи з питань запобігання та виявлення корупції </w:t>
      </w:r>
      <w:r>
        <w:rPr>
          <w:szCs w:val="28"/>
        </w:rPr>
        <w:t xml:space="preserve">підприємств, </w:t>
      </w:r>
      <w:bookmarkStart w:id="1" w:name="__DdeLink__735_2878352746"/>
      <w:r>
        <w:rPr>
          <w:szCs w:val="28"/>
        </w:rPr>
        <w:t>організацій (установ, закладів),</w:t>
      </w:r>
      <w:bookmarkEnd w:id="1"/>
      <w:r>
        <w:rPr>
          <w:szCs w:val="28"/>
        </w:rPr>
        <w:t xml:space="preserve"> що належать до комунальної власності міської територіальної громади, загалом навчанням охоплено 56 осіб.</w:t>
      </w:r>
    </w:p>
    <w:p w:rsidR="00373847" w:rsidRDefault="00E5338A">
      <w:pPr>
        <w:pStyle w:val="af7"/>
        <w:ind w:firstLine="567"/>
        <w:jc w:val="both"/>
        <w:rPr>
          <w:color w:val="000000"/>
          <w:szCs w:val="28"/>
        </w:rPr>
      </w:pPr>
      <w:r>
        <w:rPr>
          <w:rStyle w:val="a5"/>
          <w:rFonts w:ascii="Times New Roman" w:hAnsi="Times New Roman" w:cs="Times New Roman"/>
          <w:b w:val="0"/>
          <w:color w:val="000000"/>
          <w:sz w:val="28"/>
          <w:szCs w:val="28"/>
          <w:shd w:val="clear" w:color="auto" w:fill="FFFFFF"/>
        </w:rPr>
        <w:t>Окрім того, 259 працівників виконавчих органів міської ради пройшли навчальний онлайн-курс на тему “Правила поводження з вибухонебезпечними предметами”, в межах реалізації програми “Дивись під ноги! Дивись, куди ідеш”  Міжнародної благодійної організації “Фонд Східна Європа”.</w:t>
      </w:r>
    </w:p>
    <w:p w:rsidR="00373847" w:rsidRDefault="00E5338A">
      <w:pPr>
        <w:tabs>
          <w:tab w:val="left" w:pos="570"/>
        </w:tabs>
        <w:jc w:val="both"/>
      </w:pPr>
      <w:r>
        <w:rPr>
          <w:rStyle w:val="a5"/>
          <w:b w:val="0"/>
          <w:color w:val="020202"/>
          <w:szCs w:val="28"/>
          <w:lang w:eastAsia="ru-RU"/>
        </w:rPr>
        <w:tab/>
        <w:t>З метою запобігання емоційному вигоранню, подолання тривожності, підвищення стійкості психіки до несприятливих чинників, розширення меж психологічних та інтелектуальних можливостей працівників виконавчих органів міської ради управлінням персоналу спільно з департаментом молоді та спорту міської ради започатковано проведення циклу психологічних тренінгів. П</w:t>
      </w:r>
      <w:r>
        <w:rPr>
          <w:rStyle w:val="a5"/>
          <w:b w:val="0"/>
          <w:color w:val="020202"/>
          <w:szCs w:val="28"/>
          <w:shd w:val="clear" w:color="auto" w:fill="FFFFFF"/>
          <w:lang w:eastAsia="ru-RU"/>
        </w:rPr>
        <w:t>ерша зустріч відбулась на тему “Психологічні аспекти поведінки особистості у стресових ситуаціях”, де спікером  виступив Гошовський Ярослав, доктор психологічних наук, професор, завідувач кафедри педагогічної та вікової психології Волинського національного університету імені Лесі Українки, у навчанні взяли участь 52 особи.</w:t>
      </w:r>
    </w:p>
    <w:p w:rsidR="00373847" w:rsidRDefault="00E5338A">
      <w:pPr>
        <w:pStyle w:val="western"/>
        <w:spacing w:before="0" w:after="0" w:line="240" w:lineRule="auto"/>
        <w:ind w:firstLine="53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4. Службові відрядження.</w:t>
      </w:r>
    </w:p>
    <w:p w:rsidR="00373847" w:rsidRDefault="00E5338A">
      <w:pPr>
        <w:pStyle w:val="af7"/>
        <w:tabs>
          <w:tab w:val="left" w:pos="630"/>
        </w:tabs>
        <w:jc w:val="both"/>
      </w:pPr>
      <w:r>
        <w:rPr>
          <w:rFonts w:ascii="Times New Roman" w:hAnsi="Times New Roman" w:cs="Times New Roman"/>
          <w:color w:val="000000"/>
          <w:sz w:val="28"/>
          <w:szCs w:val="28"/>
        </w:rPr>
        <w:tab/>
        <w:t xml:space="preserve">Усі службові відрядження відбуваються відповідно Закону України від 01.07.2022 № 2352-IX «Про внесення змін до деяких законодавчих актів України щодо оптимізації трудових відносин», Указу Президента України від 23.01.2023 № 27/2023 «Про рішення Ради національної безпеки і оборони України від 23 січня 2023 року «Про деякі питання щодо перетину державного кордону України в умовах воєнного стану», постанови Кабінету Міністрів України від 27.01.1995 № 57 «Про затвердження Правил перетинання державного кордону громадянами України», зі змінами, Інструкції про службові відрядження в межах України та за кордон, затвердженої Міністерством фінансів України від 13.03.1998 № 59, Регламенту роботи виконавчого комітету та виконавчих органів Луцької міської ради. </w:t>
      </w:r>
    </w:p>
    <w:p w:rsidR="00373847" w:rsidRDefault="00E5338A">
      <w:pPr>
        <w:pStyle w:val="af7"/>
        <w:tabs>
          <w:tab w:val="left" w:pos="630"/>
        </w:tabs>
        <w:jc w:val="both"/>
      </w:pPr>
      <w:r>
        <w:rPr>
          <w:rFonts w:ascii="Times New Roman" w:hAnsi="Times New Roman" w:cs="Times New Roman"/>
          <w:color w:val="000000"/>
          <w:sz w:val="28"/>
          <w:szCs w:val="28"/>
        </w:rPr>
        <w:tab/>
        <w:t xml:space="preserve">Протягом звітного періоду було підготовлено 32 розпорядження про направлення працівників виконавчих органів міської ради у відрядження, з них                               24 розпорядження про відрядження в межах України та 8 - за кордон. Підготовлено 3 листи </w:t>
      </w:r>
      <w:r>
        <w:rPr>
          <w:rFonts w:ascii="Times New Roman" w:hAnsi="Times New Roman" w:cs="Times New Roman"/>
          <w:bCs/>
          <w:color w:val="000000"/>
          <w:sz w:val="28"/>
          <w:szCs w:val="28"/>
          <w:lang w:eastAsia="ar-SA" w:bidi="ar-SA"/>
        </w:rPr>
        <w:t>Державній прикордонній службі України щодо дозволу на виїзд за кордон у службові відрядження депутатів Луцької міської ради.</w:t>
      </w:r>
    </w:p>
    <w:p w:rsidR="00373847" w:rsidRDefault="00E5338A">
      <w:pPr>
        <w:tabs>
          <w:tab w:val="left" w:pos="630"/>
        </w:tabs>
        <w:jc w:val="both"/>
        <w:rPr>
          <w:szCs w:val="28"/>
        </w:rPr>
      </w:pPr>
      <w:r>
        <w:rPr>
          <w:color w:val="000000"/>
          <w:szCs w:val="28"/>
        </w:rPr>
        <w:tab/>
      </w:r>
      <w:r>
        <w:rPr>
          <w:color w:val="000000"/>
          <w:szCs w:val="28"/>
          <w:shd w:val="clear" w:color="auto" w:fill="FFFFFF"/>
        </w:rPr>
        <w:t xml:space="preserve">За результатами службових </w:t>
      </w:r>
      <w:proofErr w:type="spellStart"/>
      <w:r>
        <w:rPr>
          <w:color w:val="000000"/>
          <w:szCs w:val="28"/>
          <w:shd w:val="clear" w:color="auto" w:fill="FFFFFF"/>
        </w:rPr>
        <w:t>відряджень</w:t>
      </w:r>
      <w:proofErr w:type="spellEnd"/>
      <w:r>
        <w:rPr>
          <w:color w:val="000000"/>
          <w:szCs w:val="28"/>
          <w:shd w:val="clear" w:color="auto" w:fill="FFFFFF"/>
        </w:rPr>
        <w:t xml:space="preserve"> за кордон Луцька міська територіальна громада отримала </w:t>
      </w:r>
      <w:r>
        <w:rPr>
          <w:color w:val="050505"/>
          <w:szCs w:val="28"/>
          <w:shd w:val="clear" w:color="auto" w:fill="FFFFFF"/>
        </w:rPr>
        <w:t xml:space="preserve">автономні джерела живлення, які було профінансовано компанією </w:t>
      </w:r>
      <w:proofErr w:type="spellStart"/>
      <w:r>
        <w:rPr>
          <w:color w:val="050505"/>
          <w:szCs w:val="28"/>
          <w:shd w:val="clear" w:color="auto" w:fill="FFFFFF"/>
        </w:rPr>
        <w:t>Deloitte</w:t>
      </w:r>
      <w:proofErr w:type="spellEnd"/>
      <w:r>
        <w:rPr>
          <w:color w:val="050505"/>
          <w:szCs w:val="28"/>
          <w:shd w:val="clear" w:color="auto" w:fill="FFFFFF"/>
        </w:rPr>
        <w:t xml:space="preserve"> у межах акції «Генератори надії»,  гуманітарну допомогу, надану Адміністрацією міста </w:t>
      </w:r>
      <w:proofErr w:type="spellStart"/>
      <w:r>
        <w:rPr>
          <w:color w:val="050505"/>
          <w:szCs w:val="28"/>
          <w:shd w:val="clear" w:color="auto" w:fill="FFFFFF"/>
        </w:rPr>
        <w:t>Торунь</w:t>
      </w:r>
      <w:proofErr w:type="spellEnd"/>
      <w:r>
        <w:rPr>
          <w:color w:val="050505"/>
          <w:szCs w:val="28"/>
          <w:shd w:val="clear" w:color="auto" w:fill="FFFFFF"/>
        </w:rPr>
        <w:t xml:space="preserve"> для потреб Збройних Сил України, внутрішньо переміщених осіб територіальної громади.</w:t>
      </w:r>
    </w:p>
    <w:p w:rsidR="00373847" w:rsidRDefault="00E5338A">
      <w:pPr>
        <w:pStyle w:val="af7"/>
        <w:ind w:firstLine="709"/>
        <w:jc w:val="both"/>
      </w:pPr>
      <w:r>
        <w:rPr>
          <w:rFonts w:ascii="Times New Roman" w:hAnsi="Times New Roman" w:cs="Times New Roman"/>
          <w:bCs/>
          <w:color w:val="050505"/>
          <w:sz w:val="28"/>
          <w:szCs w:val="28"/>
          <w:shd w:val="clear" w:color="auto" w:fill="FFFFFF"/>
        </w:rPr>
        <w:t xml:space="preserve">Окрім того, працівниками виконавчих органів міської ради вивчено польський досвід у сфері міської мобільності: розвитку громадського транспорту, дорожньої та вело-інфраструктури, особливості паркування у містах, використання розумних рішень та інновацій у транспортній сфері, зменшення викидів CO² в атмосферу. Налагоджено співпрацю у сферах підприємництва та економічного розвитку, підтримки цифрової трансформації. Обговорено юридичні можливості спрощення доступу до практик та науковців, які мають досвід впровадження нових технологій та навчання, залучення допомоги експертів в розробці стратегії цифрової трансформації з урахуванням конкретних ситуацій та окреслено напрямки для майбутніх </w:t>
      </w:r>
      <w:proofErr w:type="spellStart"/>
      <w:r>
        <w:rPr>
          <w:rFonts w:ascii="Times New Roman" w:hAnsi="Times New Roman" w:cs="Times New Roman"/>
          <w:bCs/>
          <w:color w:val="050505"/>
          <w:sz w:val="28"/>
          <w:szCs w:val="28"/>
          <w:shd w:val="clear" w:color="auto" w:fill="FFFFFF"/>
        </w:rPr>
        <w:t>проєктів</w:t>
      </w:r>
      <w:proofErr w:type="spellEnd"/>
      <w:r>
        <w:rPr>
          <w:rFonts w:ascii="Times New Roman" w:hAnsi="Times New Roman" w:cs="Times New Roman"/>
          <w:bCs/>
          <w:color w:val="050505"/>
          <w:sz w:val="28"/>
          <w:szCs w:val="28"/>
          <w:shd w:val="clear" w:color="auto" w:fill="FFFFFF"/>
        </w:rPr>
        <w:t xml:space="preserve">. Отримано інформацію щодо функціонування пунктів роздільного збору побутових відходів, </w:t>
      </w:r>
      <w:proofErr w:type="spellStart"/>
      <w:r>
        <w:rPr>
          <w:rFonts w:ascii="Times New Roman" w:hAnsi="Times New Roman" w:cs="Times New Roman"/>
          <w:bCs/>
          <w:color w:val="050505"/>
          <w:sz w:val="28"/>
          <w:szCs w:val="28"/>
          <w:shd w:val="clear" w:color="auto" w:fill="FFFFFF"/>
        </w:rPr>
        <w:t>сміттєсортувальних</w:t>
      </w:r>
      <w:proofErr w:type="spellEnd"/>
      <w:r>
        <w:rPr>
          <w:rFonts w:ascii="Times New Roman" w:hAnsi="Times New Roman" w:cs="Times New Roman"/>
          <w:bCs/>
          <w:color w:val="050505"/>
          <w:sz w:val="28"/>
          <w:szCs w:val="28"/>
          <w:shd w:val="clear" w:color="auto" w:fill="FFFFFF"/>
        </w:rPr>
        <w:t xml:space="preserve">, </w:t>
      </w:r>
      <w:proofErr w:type="spellStart"/>
      <w:r>
        <w:rPr>
          <w:rFonts w:ascii="Times New Roman" w:hAnsi="Times New Roman" w:cs="Times New Roman"/>
          <w:bCs/>
          <w:color w:val="050505"/>
          <w:sz w:val="28"/>
          <w:szCs w:val="28"/>
          <w:shd w:val="clear" w:color="auto" w:fill="FFFFFF"/>
        </w:rPr>
        <w:t>сміттєпереробних</w:t>
      </w:r>
      <w:proofErr w:type="spellEnd"/>
      <w:r>
        <w:rPr>
          <w:rFonts w:ascii="Times New Roman" w:hAnsi="Times New Roman" w:cs="Times New Roman"/>
          <w:bCs/>
          <w:color w:val="050505"/>
          <w:sz w:val="28"/>
          <w:szCs w:val="28"/>
          <w:shd w:val="clear" w:color="auto" w:fill="FFFFFF"/>
        </w:rPr>
        <w:t xml:space="preserve"> та сміттєспалювальних станцій, станцій компостування органічних відходів, екологічного просвітницького центру </w:t>
      </w:r>
      <w:proofErr w:type="spellStart"/>
      <w:r>
        <w:rPr>
          <w:rFonts w:ascii="Times New Roman" w:hAnsi="Times New Roman" w:cs="Times New Roman"/>
          <w:bCs/>
          <w:color w:val="050505"/>
          <w:sz w:val="28"/>
          <w:szCs w:val="28"/>
          <w:shd w:val="clear" w:color="auto" w:fill="FFFFFF"/>
        </w:rPr>
        <w:t>EcoKid</w:t>
      </w:r>
      <w:proofErr w:type="spellEnd"/>
      <w:r>
        <w:rPr>
          <w:rFonts w:ascii="Times New Roman" w:hAnsi="Times New Roman" w:cs="Times New Roman"/>
          <w:bCs/>
          <w:color w:val="050505"/>
          <w:sz w:val="28"/>
          <w:szCs w:val="28"/>
          <w:shd w:val="clear" w:color="auto" w:fill="FFFFFF"/>
        </w:rPr>
        <w:t xml:space="preserve">; отримано технічні консультації щодо функціонування установок із очищення фільтрату на полігонах ТПВ. Налагоджено співпрацю у сфері культури та обговорено реалізацію низки </w:t>
      </w:r>
      <w:proofErr w:type="spellStart"/>
      <w:r>
        <w:rPr>
          <w:rFonts w:ascii="Times New Roman" w:hAnsi="Times New Roman" w:cs="Times New Roman"/>
          <w:bCs/>
          <w:color w:val="050505"/>
          <w:sz w:val="28"/>
          <w:szCs w:val="28"/>
          <w:shd w:val="clear" w:color="auto" w:fill="FFFFFF"/>
        </w:rPr>
        <w:t>проєктів</w:t>
      </w:r>
      <w:proofErr w:type="spellEnd"/>
      <w:r>
        <w:rPr>
          <w:rFonts w:ascii="Times New Roman" w:hAnsi="Times New Roman" w:cs="Times New Roman"/>
          <w:bCs/>
          <w:color w:val="050505"/>
          <w:sz w:val="28"/>
          <w:szCs w:val="28"/>
          <w:shd w:val="clear" w:color="auto" w:fill="FFFFFF"/>
        </w:rPr>
        <w:t>.</w:t>
      </w:r>
    </w:p>
    <w:p w:rsidR="00373847" w:rsidRDefault="00E5338A">
      <w:pPr>
        <w:pStyle w:val="af7"/>
        <w:ind w:firstLine="709"/>
        <w:jc w:val="both"/>
      </w:pPr>
      <w:r>
        <w:rPr>
          <w:rFonts w:ascii="Times New Roman" w:hAnsi="Times New Roman" w:cs="Times New Roman"/>
          <w:bCs/>
          <w:color w:val="050505"/>
          <w:sz w:val="28"/>
          <w:szCs w:val="28"/>
          <w:shd w:val="clear" w:color="auto" w:fill="FFFFFF"/>
        </w:rPr>
        <w:t xml:space="preserve">В межах візиту до Федеративної Республіки Німеччина отримано відзнаку Фонду ім. Г. </w:t>
      </w:r>
      <w:proofErr w:type="spellStart"/>
      <w:r>
        <w:rPr>
          <w:rFonts w:ascii="Times New Roman" w:hAnsi="Times New Roman" w:cs="Times New Roman"/>
          <w:bCs/>
          <w:color w:val="050505"/>
          <w:sz w:val="28"/>
          <w:szCs w:val="28"/>
          <w:shd w:val="clear" w:color="auto" w:fill="FFFFFF"/>
        </w:rPr>
        <w:t>Герделера</w:t>
      </w:r>
      <w:proofErr w:type="spellEnd"/>
      <w:r>
        <w:rPr>
          <w:rFonts w:ascii="Times New Roman" w:hAnsi="Times New Roman" w:cs="Times New Roman"/>
          <w:bCs/>
          <w:color w:val="050505"/>
          <w:sz w:val="28"/>
          <w:szCs w:val="28"/>
          <w:shd w:val="clear" w:color="auto" w:fill="FFFFFF"/>
        </w:rPr>
        <w:t xml:space="preserve"> за партнерський </w:t>
      </w:r>
      <w:proofErr w:type="spellStart"/>
      <w:r>
        <w:rPr>
          <w:rFonts w:ascii="Times New Roman" w:hAnsi="Times New Roman" w:cs="Times New Roman"/>
          <w:bCs/>
          <w:color w:val="050505"/>
          <w:sz w:val="28"/>
          <w:szCs w:val="28"/>
          <w:shd w:val="clear" w:color="auto" w:fill="FFFFFF"/>
        </w:rPr>
        <w:t>проєкт</w:t>
      </w:r>
      <w:proofErr w:type="spellEnd"/>
      <w:r>
        <w:rPr>
          <w:rFonts w:ascii="Times New Roman" w:hAnsi="Times New Roman" w:cs="Times New Roman"/>
          <w:bCs/>
          <w:color w:val="050505"/>
          <w:sz w:val="28"/>
          <w:szCs w:val="28"/>
          <w:shd w:val="clear" w:color="auto" w:fill="FFFFFF"/>
        </w:rPr>
        <w:t xml:space="preserve"> «Використання екологічних і розумних технологій у системі громадського транспорту міста Луцька». Налагоджено нові контакти для розширення перспектив співробітництва з партнерами за кордоном та реалізації корисних міжнародних ініціатив у майбутньому. </w:t>
      </w:r>
    </w:p>
    <w:p w:rsidR="00373847" w:rsidRDefault="00E5338A">
      <w:pPr>
        <w:pStyle w:val="af7"/>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Працівники департаменту “Центр надання адміністративних послуг у місті Луцьку” </w:t>
      </w:r>
      <w:r w:rsidRPr="00E5338A">
        <w:rPr>
          <w:rFonts w:ascii="Times New Roman" w:hAnsi="Times New Roman" w:cs="Times New Roman"/>
          <w:color w:val="000000"/>
          <w:sz w:val="28"/>
          <w:szCs w:val="28"/>
        </w:rPr>
        <w:t>з</w:t>
      </w:r>
      <w:r>
        <w:rPr>
          <w:rFonts w:ascii="Times New Roman" w:hAnsi="Times New Roman" w:cs="Times New Roman"/>
          <w:color w:val="000000"/>
          <w:sz w:val="28"/>
          <w:szCs w:val="28"/>
        </w:rPr>
        <w:t xml:space="preserve">а результатами відрядження у Державне підприємство «Поліграфічний комбінат “Україна” по виготовленню цінних паперів», отримали матеріальні цінності (принтер для двостороннього </w:t>
      </w:r>
      <w:proofErr w:type="spellStart"/>
      <w:r>
        <w:rPr>
          <w:rFonts w:ascii="Times New Roman" w:hAnsi="Times New Roman" w:cs="Times New Roman"/>
          <w:color w:val="000000"/>
          <w:sz w:val="28"/>
          <w:szCs w:val="28"/>
        </w:rPr>
        <w:t>ретрансферного</w:t>
      </w:r>
      <w:proofErr w:type="spellEnd"/>
      <w:r>
        <w:rPr>
          <w:rFonts w:ascii="Times New Roman" w:hAnsi="Times New Roman" w:cs="Times New Roman"/>
          <w:color w:val="000000"/>
          <w:sz w:val="28"/>
          <w:szCs w:val="28"/>
        </w:rPr>
        <w:t xml:space="preserve"> друку </w:t>
      </w:r>
      <w:proofErr w:type="spellStart"/>
      <w:r>
        <w:rPr>
          <w:rFonts w:ascii="Times New Roman" w:hAnsi="Times New Roman" w:cs="Times New Roman"/>
          <w:color w:val="000000"/>
          <w:sz w:val="28"/>
          <w:szCs w:val="28"/>
        </w:rPr>
        <w:t>Swiftpro</w:t>
      </w:r>
      <w:proofErr w:type="spellEnd"/>
      <w:r>
        <w:rPr>
          <w:rFonts w:ascii="Times New Roman" w:hAnsi="Times New Roman" w:cs="Times New Roman"/>
          <w:color w:val="000000"/>
          <w:sz w:val="28"/>
          <w:szCs w:val="28"/>
        </w:rPr>
        <w:t xml:space="preserve"> K60) та пройшли навчання по роботі з новим обладнанням. </w:t>
      </w:r>
    </w:p>
    <w:p w:rsidR="00373847" w:rsidRDefault="00E5338A">
      <w:pPr>
        <w:pStyle w:val="af7"/>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Працівники виконавчих органів міської ради брали участь у судових засіданнях, навчальних програмах, обміні досвідом у сфері соціального захисту населення, цифрових інструментів, екології, туризму тощо.</w:t>
      </w:r>
    </w:p>
    <w:p w:rsidR="00373847" w:rsidRDefault="00E5338A">
      <w:pPr>
        <w:pStyle w:val="western"/>
        <w:spacing w:before="0" w:after="0" w:line="240" w:lineRule="auto"/>
        <w:ind w:firstLine="539"/>
        <w:jc w:val="both"/>
        <w:rPr>
          <w:rFonts w:ascii="Times New Roman" w:hAnsi="Times New Roman" w:cs="Times New Roman"/>
          <w:b/>
          <w:color w:val="050505"/>
          <w:sz w:val="28"/>
          <w:szCs w:val="28"/>
          <w:shd w:val="clear" w:color="auto" w:fill="FFFFFF"/>
        </w:rPr>
      </w:pPr>
      <w:r>
        <w:rPr>
          <w:rFonts w:ascii="Times New Roman" w:hAnsi="Times New Roman" w:cs="Times New Roman"/>
          <w:b/>
          <w:color w:val="050505"/>
          <w:sz w:val="28"/>
          <w:szCs w:val="28"/>
          <w:shd w:val="clear" w:color="auto" w:fill="FFFFFF"/>
        </w:rPr>
        <w:t>5. Організація  роботи з молоддю, що навчається або закінчує вищі навчальні заклади, для проходження стажування та виробничої практики у виконавчих органах міської ради.</w:t>
      </w:r>
    </w:p>
    <w:p w:rsidR="00373847" w:rsidRDefault="00E5338A">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укладених договорів про проведення практики студентів на 2022-2023 навчальний рік проведено навчальну практику для 47 студентів Волинського національного університету імені Лесі Українки, Національного університету  “Острозька академія”, Сумського державного університету, Луцького національного технічного університету. Практика відбувалася у юридичному департаменті, департаменті “Центр надання адміністративних у місті Луцьку”, департаменті житлово-комунального господарства,  департаменті містобудування, земельних ресурсів та реклами, управлінні інформаційно-комунікаційних технологій, архівному відділі міської ради. </w:t>
      </w:r>
    </w:p>
    <w:p w:rsidR="00373847" w:rsidRDefault="00E5338A">
      <w:pPr>
        <w:pStyle w:val="af7"/>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Загалом під час практики студенти ознайомилися із засадами управлінської діяльності, опрацьовували нормативно-правові акти, положення про виконавчі органи та посадові інструкції посадових осіб, Регламентом роботи виконавчого комітету та виконавчих органів Луцької міської ради тощо. </w:t>
      </w:r>
    </w:p>
    <w:p w:rsidR="00373847" w:rsidRDefault="00E5338A">
      <w:pPr>
        <w:pStyle w:val="af7"/>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 результатами проходження практики формується база даних студентів, які  продемонстрували високий рівень знань та умінь.</w:t>
      </w:r>
    </w:p>
    <w:p w:rsidR="00373847" w:rsidRDefault="00373847">
      <w:pPr>
        <w:pStyle w:val="af7"/>
        <w:ind w:firstLine="709"/>
        <w:jc w:val="both"/>
        <w:rPr>
          <w:rFonts w:ascii="Times New Roman" w:hAnsi="Times New Roman" w:cs="Times New Roman"/>
          <w:color w:val="000000"/>
          <w:sz w:val="28"/>
          <w:szCs w:val="28"/>
        </w:rPr>
      </w:pPr>
    </w:p>
    <w:p w:rsidR="00373847" w:rsidRDefault="00E5338A">
      <w:pPr>
        <w:pStyle w:val="western"/>
        <w:spacing w:before="0" w:after="0" w:line="240" w:lineRule="auto"/>
        <w:ind w:firstLine="539"/>
        <w:jc w:val="both"/>
        <w:rPr>
          <w:rFonts w:ascii="Times New Roman" w:hAnsi="Times New Roman" w:cs="Times New Roman"/>
          <w:b/>
          <w:color w:val="050505"/>
          <w:sz w:val="28"/>
          <w:szCs w:val="28"/>
          <w:shd w:val="clear" w:color="auto" w:fill="FFFFFF"/>
        </w:rPr>
      </w:pPr>
      <w:r>
        <w:rPr>
          <w:rFonts w:ascii="Times New Roman" w:hAnsi="Times New Roman" w:cs="Times New Roman"/>
          <w:b/>
          <w:color w:val="050505"/>
          <w:sz w:val="28"/>
          <w:szCs w:val="28"/>
          <w:shd w:val="clear" w:color="auto" w:fill="FFFFFF"/>
        </w:rPr>
        <w:t xml:space="preserve"> 6. Підготовка матеріалів та надання пропозицій міському голові щодо заохочення та нагородження працівників.</w:t>
      </w:r>
    </w:p>
    <w:p w:rsidR="00373847" w:rsidRDefault="00E5338A">
      <w:pPr>
        <w:pStyle w:val="af7"/>
        <w:ind w:firstLine="709"/>
        <w:jc w:val="both"/>
      </w:pPr>
      <w:r>
        <w:rPr>
          <w:rFonts w:ascii="Times New Roman" w:hAnsi="Times New Roman" w:cs="Times New Roman"/>
          <w:color w:val="000000"/>
          <w:sz w:val="28"/>
          <w:szCs w:val="28"/>
        </w:rPr>
        <w:t xml:space="preserve">Відповідно до </w:t>
      </w:r>
      <w:r>
        <w:rPr>
          <w:rFonts w:ascii="Times New Roman" w:hAnsi="Times New Roman" w:cs="Times New Roman"/>
          <w:sz w:val="28"/>
          <w:szCs w:val="28"/>
        </w:rPr>
        <w:t xml:space="preserve">рішення Луцької міської ради </w:t>
      </w:r>
      <w:r>
        <w:rPr>
          <w:rFonts w:ascii="Times New Roman" w:hAnsi="Times New Roman" w:cs="Times New Roman"/>
          <w:sz w:val="28"/>
          <w:szCs w:val="28"/>
          <w:lang w:bidi="ar-SA"/>
        </w:rPr>
        <w:t>від 22.12.2021 № 24/119 “Про затвердження Програми розвитку культури Луцької міської територіальної громади на 2022-2025 роки”</w:t>
      </w:r>
      <w:r>
        <w:rPr>
          <w:rFonts w:ascii="Times New Roman" w:hAnsi="Times New Roman" w:cs="Times New Roman"/>
          <w:sz w:val="28"/>
          <w:szCs w:val="28"/>
        </w:rPr>
        <w:t xml:space="preserve"> та Положення про відзнаки міського голови, затвердженого  розпорядженням  міського  голови  від  01.06.2021 №111-ра, </w:t>
      </w:r>
      <w:r>
        <w:rPr>
          <w:rFonts w:ascii="Times New Roman" w:hAnsi="Times New Roman" w:cs="Times New Roman"/>
          <w:color w:val="000000"/>
          <w:sz w:val="28"/>
          <w:szCs w:val="28"/>
        </w:rPr>
        <w:t>за бездоганну працю, високі трудові досягнення, професійну майстерність, успіхи в реалізації програм економічного та соціального розвитку Луцької міської територіальної громади, активну благодійну, громадську та політичну діяльність, роботу з виховання підростаючого покоління, значний внесок у розвиток культури, мистецтва, науки, освіти, спорту та охорони здоров’я, місцевого самоврядування,</w:t>
      </w:r>
      <w:r>
        <w:rPr>
          <w:rFonts w:ascii="Times New Roman" w:hAnsi="Times New Roman" w:cs="Times New Roman"/>
          <w:color w:val="C9211E"/>
          <w:sz w:val="28"/>
          <w:szCs w:val="28"/>
        </w:rPr>
        <w:t xml:space="preserve"> </w:t>
      </w:r>
      <w:r>
        <w:rPr>
          <w:rFonts w:ascii="Times New Roman" w:hAnsi="Times New Roman" w:cs="Times New Roman"/>
          <w:color w:val="000000"/>
          <w:sz w:val="28"/>
          <w:szCs w:val="28"/>
        </w:rPr>
        <w:t xml:space="preserve">міжнародного співробітництва, за мужність і відвагу, виявлені при порятунку людей та матеріальних цінностей, забезпечення законності, прав і свобод громадян, розвиток Луцької міської територіальної громади </w:t>
      </w:r>
      <w:r>
        <w:rPr>
          <w:rFonts w:ascii="Times New Roman" w:hAnsi="Times New Roman" w:cs="Times New Roman"/>
          <w:color w:val="000000"/>
          <w:sz w:val="28"/>
          <w:szCs w:val="28"/>
          <w:shd w:val="clear" w:color="auto" w:fill="FFFFFF"/>
        </w:rPr>
        <w:t>протягом звітного періоду управлінням підготовлено 69 нагородних матеріалів, для відзначення осіб та колективів підприємств і організацій міста різних форм власності.</w:t>
      </w:r>
    </w:p>
    <w:p w:rsidR="00373847" w:rsidRDefault="00E5338A">
      <w:pPr>
        <w:pStyle w:val="af7"/>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саме:</w:t>
      </w:r>
    </w:p>
    <w:p w:rsidR="00373847" w:rsidRDefault="00E5338A">
      <w:pPr>
        <w:pStyle w:val="af7"/>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68 Подяк міського голови особам та колективам;</w:t>
      </w:r>
    </w:p>
    <w:p w:rsidR="00373847" w:rsidRDefault="00E5338A">
      <w:pPr>
        <w:pStyle w:val="af7"/>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Почесна грамота міського голови.</w:t>
      </w:r>
    </w:p>
    <w:p w:rsidR="00373847" w:rsidRDefault="00E5338A">
      <w:pPr>
        <w:pStyle w:val="af7"/>
        <w:ind w:firstLine="709"/>
        <w:jc w:val="both"/>
      </w:pPr>
      <w:r>
        <w:rPr>
          <w:rFonts w:ascii="Times New Roman" w:hAnsi="Times New Roman" w:cs="Times New Roman"/>
          <w:color w:val="000000"/>
          <w:sz w:val="28"/>
          <w:szCs w:val="28"/>
          <w:shd w:val="clear" w:color="auto" w:fill="FFFFFF"/>
        </w:rPr>
        <w:t>Окрім того, проведена робота щодо закупівлі нагородних матеріалів.</w:t>
      </w:r>
    </w:p>
    <w:p w:rsidR="00373847" w:rsidRDefault="00373847">
      <w:pPr>
        <w:pStyle w:val="af7"/>
        <w:ind w:firstLine="709"/>
        <w:jc w:val="both"/>
        <w:rPr>
          <w:rFonts w:ascii="Times New Roman" w:hAnsi="Times New Roman" w:cs="Times New Roman"/>
          <w:color w:val="000000"/>
          <w:sz w:val="28"/>
          <w:szCs w:val="28"/>
          <w:shd w:val="clear" w:color="auto" w:fill="FFFFFF"/>
        </w:rPr>
      </w:pPr>
    </w:p>
    <w:p w:rsidR="00373847" w:rsidRDefault="00E5338A">
      <w:pPr>
        <w:tabs>
          <w:tab w:val="left" w:pos="630"/>
          <w:tab w:val="left" w:pos="8850"/>
        </w:tabs>
        <w:ind w:right="-170"/>
        <w:jc w:val="both"/>
        <w:rPr>
          <w:b/>
          <w:color w:val="000000"/>
          <w:szCs w:val="28"/>
          <w:shd w:val="clear" w:color="auto" w:fill="FFFFFF"/>
        </w:rPr>
      </w:pPr>
      <w:r>
        <w:rPr>
          <w:b/>
          <w:color w:val="000000"/>
          <w:szCs w:val="28"/>
          <w:shd w:val="clear" w:color="auto" w:fill="FFFFFF"/>
        </w:rPr>
        <w:tab/>
        <w:t>7. Робота з питань запобігання та виявлення корупції</w:t>
      </w:r>
    </w:p>
    <w:p w:rsidR="00373847" w:rsidRDefault="00E5338A">
      <w:pPr>
        <w:ind w:firstLine="737"/>
        <w:jc w:val="both"/>
      </w:pPr>
      <w:r>
        <w:rPr>
          <w:bCs w:val="0"/>
          <w:color w:val="000000"/>
          <w:szCs w:val="28"/>
        </w:rPr>
        <w:t xml:space="preserve">Працівником відділу з питань запобігання та виявлення корупції </w:t>
      </w:r>
      <w:r>
        <w:rPr>
          <w:bCs w:val="0"/>
          <w:szCs w:val="28"/>
        </w:rPr>
        <w:t>управління персоналу</w:t>
      </w:r>
      <w:r>
        <w:rPr>
          <w:bCs w:val="0"/>
          <w:color w:val="000000"/>
          <w:szCs w:val="28"/>
        </w:rPr>
        <w:t xml:space="preserve"> Луцької міської ради </w:t>
      </w:r>
      <w:r>
        <w:rPr>
          <w:bCs w:val="0"/>
          <w:szCs w:val="28"/>
        </w:rPr>
        <w:t>надавались</w:t>
      </w:r>
      <w:r>
        <w:rPr>
          <w:bCs w:val="0"/>
          <w:color w:val="000000"/>
          <w:szCs w:val="28"/>
        </w:rPr>
        <w:t xml:space="preserve"> усні та письмові консультації щодо застосування антикорупційного законодавства </w:t>
      </w:r>
      <w:bookmarkStart w:id="2" w:name="__DdeLink__3230_1907269227"/>
      <w:r>
        <w:rPr>
          <w:bCs w:val="0"/>
          <w:color w:val="000000"/>
          <w:szCs w:val="28"/>
        </w:rPr>
        <w:t>працівникам виконавчих органів міської ради, депутатам міської ради, посадовим особам підприємств, організацій (установ, закладів), що належать до комунальної власності міської територіальної громади</w:t>
      </w:r>
      <w:bookmarkEnd w:id="2"/>
      <w:r>
        <w:rPr>
          <w:bCs w:val="0"/>
          <w:color w:val="000000"/>
          <w:szCs w:val="28"/>
        </w:rPr>
        <w:t>.</w:t>
      </w:r>
    </w:p>
    <w:p w:rsidR="00373847" w:rsidRDefault="00E5338A">
      <w:pPr>
        <w:pStyle w:val="af7"/>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Вживались заходи щодо виявлення конфлікту інтересів та сприяння його усуненню, здійснювався контроль за дотриманням вимог законодавства щодо врегулювання конфлікту інтересів.</w:t>
      </w:r>
    </w:p>
    <w:p w:rsidR="00373847" w:rsidRDefault="00E5338A">
      <w:pPr>
        <w:pStyle w:val="af7"/>
        <w:ind w:firstLine="709"/>
        <w:jc w:val="both"/>
      </w:pPr>
      <w:r>
        <w:rPr>
          <w:rStyle w:val="a5"/>
          <w:rFonts w:ascii="Times New Roman" w:hAnsi="Times New Roman" w:cs="Times New Roman"/>
          <w:b w:val="0"/>
          <w:color w:val="000000"/>
          <w:sz w:val="28"/>
          <w:szCs w:val="28"/>
        </w:rPr>
        <w:t xml:space="preserve">У зв'язку з введенням воєнного стану та відповідно до  Закону України </w:t>
      </w:r>
      <w:r>
        <w:rPr>
          <w:rStyle w:val="a5"/>
          <w:rFonts w:ascii="Times New Roman" w:hAnsi="Times New Roman" w:cs="Times New Roman"/>
          <w:b w:val="0"/>
          <w:bCs w:val="0"/>
          <w:color w:val="000000"/>
          <w:sz w:val="28"/>
          <w:szCs w:val="28"/>
        </w:rPr>
        <w:t xml:space="preserve">від </w:t>
      </w:r>
      <w:r>
        <w:rPr>
          <w:rStyle w:val="a5"/>
          <w:rFonts w:ascii="Times New Roman" w:hAnsi="Times New Roman" w:cs="Times New Roman"/>
          <w:b w:val="0"/>
          <w:color w:val="000000"/>
          <w:sz w:val="28"/>
          <w:szCs w:val="28"/>
        </w:rPr>
        <w:t xml:space="preserve">03.03.2022 № 2115-ІХ </w:t>
      </w:r>
      <w:r>
        <w:rPr>
          <w:rStyle w:val="a5"/>
          <w:rFonts w:ascii="Times New Roman" w:hAnsi="Times New Roman" w:cs="Times New Roman"/>
          <w:b w:val="0"/>
          <w:bCs w:val="0"/>
          <w:color w:val="000000"/>
          <w:sz w:val="28"/>
          <w:szCs w:val="28"/>
        </w:rPr>
        <w:t xml:space="preserve">“Про захист інтересів суб’єктів подання звітності та інших документів у період дії воєнного стану або стану війни” </w:t>
      </w:r>
      <w:r>
        <w:rPr>
          <w:rStyle w:val="a5"/>
          <w:rFonts w:ascii="Times New Roman" w:hAnsi="Times New Roman" w:cs="Times New Roman"/>
          <w:b w:val="0"/>
          <w:color w:val="000000"/>
          <w:sz w:val="28"/>
          <w:szCs w:val="28"/>
          <w:lang w:eastAsia="ar-SA"/>
        </w:rPr>
        <w:t xml:space="preserve"> </w:t>
      </w:r>
      <w:r>
        <w:rPr>
          <w:rFonts w:ascii="Times New Roman" w:hAnsi="Times New Roman" w:cs="Times New Roman"/>
          <w:color w:val="000000"/>
          <w:sz w:val="28"/>
          <w:szCs w:val="28"/>
          <w:lang w:eastAsia="ar-SA"/>
        </w:rPr>
        <w:t xml:space="preserve">працівникам виконавчих органів міської ради, депутатам міської ради, </w:t>
      </w:r>
      <w:r>
        <w:rPr>
          <w:rFonts w:ascii="Times New Roman" w:eastAsia="Times New Roman" w:hAnsi="Times New Roman" w:cs="Times New Roman"/>
          <w:color w:val="000000"/>
          <w:sz w:val="28"/>
          <w:szCs w:val="28"/>
          <w:lang w:bidi="ar-SA"/>
        </w:rPr>
        <w:t>посадовим особам</w:t>
      </w:r>
      <w:r>
        <w:rPr>
          <w:rFonts w:ascii="Times New Roman" w:hAnsi="Times New Roman" w:cs="Times New Roman"/>
          <w:color w:val="000000"/>
          <w:sz w:val="28"/>
          <w:szCs w:val="28"/>
          <w:lang w:eastAsia="ar-SA"/>
        </w:rPr>
        <w:t xml:space="preserve"> підприємств, організацій (установ, закладів), що належать до комунальної власності міської територіальної громади </w:t>
      </w:r>
      <w:r>
        <w:rPr>
          <w:rStyle w:val="a5"/>
          <w:rFonts w:ascii="Times New Roman" w:hAnsi="Times New Roman" w:cs="Times New Roman"/>
          <w:b w:val="0"/>
          <w:bCs w:val="0"/>
          <w:color w:val="000000"/>
          <w:sz w:val="28"/>
          <w:szCs w:val="28"/>
        </w:rPr>
        <w:t xml:space="preserve">надано роз'яснення щодо подання </w:t>
      </w:r>
      <w:r>
        <w:rPr>
          <w:rStyle w:val="a5"/>
          <w:rFonts w:ascii="Times New Roman" w:hAnsi="Times New Roman" w:cs="Times New Roman"/>
          <w:b w:val="0"/>
          <w:color w:val="000000"/>
          <w:sz w:val="28"/>
          <w:szCs w:val="28"/>
        </w:rPr>
        <w:t>декларації особи, уповноваженої на виконання функцій держави або місцевого самоврядування</w:t>
      </w:r>
      <w:r>
        <w:rPr>
          <w:rStyle w:val="a5"/>
          <w:rFonts w:ascii="Times New Roman" w:hAnsi="Times New Roman" w:cs="Times New Roman"/>
          <w:color w:val="000000"/>
          <w:sz w:val="28"/>
          <w:szCs w:val="28"/>
        </w:rPr>
        <w:t>.</w:t>
      </w:r>
    </w:p>
    <w:p w:rsidR="00373847" w:rsidRDefault="00373847">
      <w:pPr>
        <w:pStyle w:val="af7"/>
        <w:ind w:firstLine="709"/>
        <w:jc w:val="both"/>
        <w:rPr>
          <w:rStyle w:val="a5"/>
          <w:rFonts w:ascii="Times New Roman" w:hAnsi="Times New Roman" w:cs="Times New Roman"/>
          <w:color w:val="000000"/>
          <w:sz w:val="28"/>
          <w:szCs w:val="28"/>
        </w:rPr>
      </w:pPr>
    </w:p>
    <w:p w:rsidR="00373847" w:rsidRDefault="00E5338A">
      <w:pPr>
        <w:pStyle w:val="af7"/>
        <w:ind w:firstLine="709"/>
        <w:jc w:val="both"/>
      </w:pPr>
      <w:r>
        <w:rPr>
          <w:rStyle w:val="a5"/>
          <w:rFonts w:ascii="Times New Roman" w:hAnsi="Times New Roman" w:cs="Times New Roman"/>
          <w:color w:val="000000"/>
          <w:sz w:val="28"/>
          <w:szCs w:val="28"/>
        </w:rPr>
        <w:t xml:space="preserve">8. Робота щодо </w:t>
      </w:r>
      <w:proofErr w:type="spellStart"/>
      <w:r>
        <w:rPr>
          <w:rStyle w:val="a5"/>
          <w:rFonts w:ascii="Times New Roman" w:hAnsi="Times New Roman" w:cs="Times New Roman"/>
          <w:color w:val="000000"/>
          <w:sz w:val="28"/>
          <w:szCs w:val="28"/>
        </w:rPr>
        <w:t>погосподарського</w:t>
      </w:r>
      <w:proofErr w:type="spellEnd"/>
      <w:r>
        <w:rPr>
          <w:rStyle w:val="a5"/>
          <w:rFonts w:ascii="Times New Roman" w:hAnsi="Times New Roman" w:cs="Times New Roman"/>
          <w:color w:val="000000"/>
          <w:sz w:val="28"/>
          <w:szCs w:val="28"/>
        </w:rPr>
        <w:t xml:space="preserve"> обліку.</w:t>
      </w:r>
    </w:p>
    <w:p w:rsidR="00373847" w:rsidRDefault="00E5338A">
      <w:pPr>
        <w:widowControl w:val="0"/>
        <w:ind w:firstLine="567"/>
        <w:jc w:val="both"/>
        <w:rPr>
          <w:szCs w:val="28"/>
        </w:rPr>
      </w:pPr>
      <w:r>
        <w:rPr>
          <w:rStyle w:val="a5"/>
          <w:b w:val="0"/>
          <w:color w:val="000000"/>
          <w:szCs w:val="28"/>
        </w:rPr>
        <w:t xml:space="preserve">На виконання рішення виконавчого комітету Луцької міської ради від 17.11.2021 №931-1 “Про </w:t>
      </w:r>
      <w:proofErr w:type="spellStart"/>
      <w:r>
        <w:rPr>
          <w:rStyle w:val="a5"/>
          <w:b w:val="0"/>
          <w:color w:val="000000"/>
          <w:szCs w:val="28"/>
        </w:rPr>
        <w:t>погосподарський</w:t>
      </w:r>
      <w:proofErr w:type="spellEnd"/>
      <w:r>
        <w:rPr>
          <w:rStyle w:val="a5"/>
          <w:b w:val="0"/>
          <w:color w:val="000000"/>
          <w:szCs w:val="28"/>
        </w:rPr>
        <w:t xml:space="preserve"> облік” працівниками відділу документального забезпечення управління персоналу здійснюється робота щодо ведення </w:t>
      </w:r>
      <w:proofErr w:type="spellStart"/>
      <w:r>
        <w:rPr>
          <w:rStyle w:val="a5"/>
          <w:b w:val="0"/>
          <w:color w:val="000000"/>
          <w:szCs w:val="28"/>
        </w:rPr>
        <w:t>погосподарського</w:t>
      </w:r>
      <w:proofErr w:type="spellEnd"/>
      <w:r>
        <w:rPr>
          <w:rStyle w:val="a5"/>
          <w:b w:val="0"/>
          <w:color w:val="000000"/>
          <w:szCs w:val="28"/>
        </w:rPr>
        <w:t xml:space="preserve"> обліку на території сільських населених пунктів шляхом проведення обходу, </w:t>
      </w:r>
      <w:proofErr w:type="spellStart"/>
      <w:r>
        <w:rPr>
          <w:rStyle w:val="a5"/>
          <w:b w:val="0"/>
          <w:color w:val="000000"/>
          <w:szCs w:val="28"/>
        </w:rPr>
        <w:t>перезакладання</w:t>
      </w:r>
      <w:proofErr w:type="spellEnd"/>
      <w:r>
        <w:rPr>
          <w:rStyle w:val="a5"/>
          <w:b w:val="0"/>
          <w:color w:val="000000"/>
          <w:szCs w:val="28"/>
        </w:rPr>
        <w:t xml:space="preserve"> книг </w:t>
      </w:r>
      <w:proofErr w:type="spellStart"/>
      <w:r>
        <w:rPr>
          <w:rStyle w:val="a5"/>
          <w:b w:val="0"/>
          <w:color w:val="000000"/>
          <w:szCs w:val="28"/>
        </w:rPr>
        <w:t>погосподарського</w:t>
      </w:r>
      <w:proofErr w:type="spellEnd"/>
      <w:r>
        <w:rPr>
          <w:rStyle w:val="a5"/>
          <w:b w:val="0"/>
          <w:color w:val="000000"/>
          <w:szCs w:val="28"/>
        </w:rPr>
        <w:t xml:space="preserve"> обліку та наповнення відомостями нової програми “Місцевий облік об'єктів </w:t>
      </w:r>
      <w:proofErr w:type="spellStart"/>
      <w:r>
        <w:rPr>
          <w:rStyle w:val="a5"/>
          <w:b w:val="0"/>
          <w:color w:val="000000"/>
          <w:szCs w:val="28"/>
        </w:rPr>
        <w:t>погосподарського</w:t>
      </w:r>
      <w:proofErr w:type="spellEnd"/>
      <w:r>
        <w:rPr>
          <w:rStyle w:val="a5"/>
          <w:b w:val="0"/>
          <w:color w:val="000000"/>
          <w:szCs w:val="28"/>
        </w:rPr>
        <w:t xml:space="preserve"> обліку” (далі — Програма).</w:t>
      </w:r>
    </w:p>
    <w:p w:rsidR="00373847" w:rsidRDefault="00E5338A">
      <w:pPr>
        <w:pStyle w:val="Standard"/>
        <w:ind w:firstLine="567"/>
        <w:jc w:val="both"/>
        <w:rPr>
          <w:sz w:val="28"/>
          <w:szCs w:val="28"/>
        </w:rPr>
      </w:pPr>
      <w:r>
        <w:rPr>
          <w:rStyle w:val="a5"/>
          <w:rFonts w:ascii="Times New Roman" w:hAnsi="Times New Roman" w:cs="Times New Roman"/>
          <w:b w:val="0"/>
          <w:bCs w:val="0"/>
          <w:color w:val="000000"/>
          <w:sz w:val="28"/>
          <w:szCs w:val="28"/>
        </w:rPr>
        <w:t>Так, станом на 31.03.2023 у:</w:t>
      </w:r>
    </w:p>
    <w:p w:rsidR="00373847" w:rsidRDefault="00E5338A">
      <w:pPr>
        <w:pStyle w:val="Standard"/>
        <w:ind w:firstLine="567"/>
        <w:jc w:val="both"/>
      </w:pPr>
      <w:r>
        <w:rPr>
          <w:rFonts w:ascii="Times New Roman" w:hAnsi="Times New Roman" w:cs="Times New Roman"/>
          <w:sz w:val="28"/>
          <w:szCs w:val="28"/>
        </w:rPr>
        <w:t xml:space="preserve">Боголюбському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було наявно усього 1516 домогосподарств.  З вказаних об'єктів до Програми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інформацію щодо 1580 об'єктів ще у 2022 році щодо зареєстрованих осіб. За звітний період по 315 об'єктах інформацію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повністю, а до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 53. Під час обстеження додатково виявлено 10 об'єктів;</w:t>
      </w:r>
    </w:p>
    <w:p w:rsidR="00373847" w:rsidRDefault="00E5338A">
      <w:pPr>
        <w:pStyle w:val="Standard"/>
        <w:ind w:firstLine="567"/>
        <w:jc w:val="both"/>
      </w:pPr>
      <w:proofErr w:type="spellStart"/>
      <w:r>
        <w:rPr>
          <w:rFonts w:ascii="Times New Roman" w:hAnsi="Times New Roman" w:cs="Times New Roman"/>
          <w:sz w:val="28"/>
          <w:szCs w:val="28"/>
        </w:rPr>
        <w:t>Заборольському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було наявно усього 2012 домогосподарств, з яких до Програми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інформацію щодо 133 об'єктів, а до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 68. В ході обстеження виявлено  додатково 16 об'єктів (інформація щодо 4 внесена до Програми);</w:t>
      </w:r>
    </w:p>
    <w:p w:rsidR="00373847" w:rsidRDefault="00E5338A">
      <w:pPr>
        <w:pStyle w:val="Standard"/>
        <w:ind w:firstLine="567"/>
        <w:jc w:val="both"/>
      </w:pPr>
      <w:proofErr w:type="spellStart"/>
      <w:r>
        <w:rPr>
          <w:rFonts w:ascii="Times New Roman" w:hAnsi="Times New Roman" w:cs="Times New Roman"/>
          <w:sz w:val="28"/>
          <w:szCs w:val="28"/>
        </w:rPr>
        <w:t>Жидичинському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було наявно усього 1915 домогосподарств, з яких до Програми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інформацію щодо 17 об'єктів, а до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 181. В ході обстеження виявлено  додатково 29 об'єктів;</w:t>
      </w:r>
    </w:p>
    <w:p w:rsidR="00373847" w:rsidRDefault="00E5338A">
      <w:pPr>
        <w:pStyle w:val="Standard"/>
        <w:ind w:firstLine="567"/>
        <w:jc w:val="both"/>
      </w:pPr>
      <w:proofErr w:type="spellStart"/>
      <w:r>
        <w:rPr>
          <w:rFonts w:ascii="Times New Roman" w:hAnsi="Times New Roman" w:cs="Times New Roman"/>
          <w:sz w:val="28"/>
          <w:szCs w:val="28"/>
        </w:rPr>
        <w:t>Княгининівському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було наявно 2833 об'єкти, з яких до Програми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інформацію щодо 491 об'єкту, а до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 1433. В ході обстеження виявлено  додатково 130 об'єктів.</w:t>
      </w:r>
    </w:p>
    <w:p w:rsidR="00373847" w:rsidRDefault="00E5338A">
      <w:pPr>
        <w:pStyle w:val="Standard"/>
        <w:ind w:firstLine="567"/>
        <w:jc w:val="both"/>
      </w:pPr>
      <w:r>
        <w:rPr>
          <w:rFonts w:ascii="Times New Roman" w:hAnsi="Times New Roman" w:cs="Times New Roman"/>
          <w:sz w:val="28"/>
          <w:szCs w:val="28"/>
        </w:rPr>
        <w:t>Станом на 31.10.2019 року (</w:t>
      </w:r>
      <w:proofErr w:type="spellStart"/>
      <w:r>
        <w:rPr>
          <w:rFonts w:ascii="Times New Roman" w:hAnsi="Times New Roman" w:cs="Times New Roman"/>
          <w:sz w:val="28"/>
          <w:szCs w:val="28"/>
        </w:rPr>
        <w:t>погосподарський</w:t>
      </w:r>
      <w:proofErr w:type="spellEnd"/>
      <w:r>
        <w:rPr>
          <w:rFonts w:ascii="Times New Roman" w:hAnsi="Times New Roman" w:cs="Times New Roman"/>
          <w:sz w:val="28"/>
          <w:szCs w:val="28"/>
        </w:rPr>
        <w:t xml:space="preserve"> облік не вівся) у Прилуцькому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було наявно 1794 об'єкти, з яких до Програми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інформацію щодо 65 об'єктів, а до  книг </w:t>
      </w:r>
      <w:proofErr w:type="spellStart"/>
      <w:r>
        <w:rPr>
          <w:rFonts w:ascii="Times New Roman" w:hAnsi="Times New Roman" w:cs="Times New Roman"/>
          <w:sz w:val="28"/>
          <w:szCs w:val="28"/>
        </w:rPr>
        <w:t>погосподарського</w:t>
      </w:r>
      <w:proofErr w:type="spellEnd"/>
      <w:r>
        <w:rPr>
          <w:rFonts w:ascii="Times New Roman" w:hAnsi="Times New Roman" w:cs="Times New Roman"/>
          <w:sz w:val="28"/>
          <w:szCs w:val="28"/>
        </w:rPr>
        <w:t xml:space="preserve"> обліку — 184. В ході обстеження виявлено  додатково 42 об'єкти. </w:t>
      </w:r>
    </w:p>
    <w:p w:rsidR="00373847" w:rsidRDefault="00E5338A">
      <w:pPr>
        <w:pStyle w:val="Standard"/>
        <w:ind w:firstLine="567"/>
        <w:jc w:val="both"/>
        <w:rPr>
          <w:szCs w:val="28"/>
        </w:rPr>
      </w:pPr>
      <w:r>
        <w:rPr>
          <w:rStyle w:val="a5"/>
          <w:rFonts w:ascii="Times New Roman" w:hAnsi="Times New Roman" w:cs="Times New Roman"/>
          <w:b w:val="0"/>
          <w:bCs w:val="0"/>
          <w:color w:val="000000"/>
          <w:sz w:val="28"/>
          <w:szCs w:val="28"/>
        </w:rPr>
        <w:t xml:space="preserve">Окрім того, працівниками проводиться доповнення інформацією уже внесених у 2022 році об'єктів (при виготовленні правовстановлюючих документів, при зміні власників, при реєстрації чи знятті з реєстрації місця проживання). </w:t>
      </w:r>
    </w:p>
    <w:p w:rsidR="00373847" w:rsidRDefault="00373847">
      <w:pPr>
        <w:tabs>
          <w:tab w:val="left" w:pos="540"/>
        </w:tabs>
        <w:jc w:val="both"/>
        <w:rPr>
          <w:bCs w:val="0"/>
          <w:szCs w:val="28"/>
        </w:rPr>
      </w:pPr>
    </w:p>
    <w:p w:rsidR="00373847" w:rsidRDefault="00E5338A">
      <w:pPr>
        <w:pStyle w:val="af6"/>
        <w:tabs>
          <w:tab w:val="left" w:pos="1139"/>
        </w:tabs>
        <w:ind w:right="113" w:firstLine="0"/>
        <w:jc w:val="both"/>
      </w:pPr>
      <w:r>
        <w:t xml:space="preserve">     </w:t>
      </w:r>
    </w:p>
    <w:p w:rsidR="00373847" w:rsidRDefault="00373847">
      <w:pPr>
        <w:rPr>
          <w:sz w:val="24"/>
          <w:szCs w:val="21"/>
        </w:rPr>
      </w:pPr>
    </w:p>
    <w:p w:rsidR="00373847" w:rsidRDefault="00373847"/>
    <w:sectPr w:rsidR="00373847">
      <w:headerReference w:type="default" r:id="rId6"/>
      <w:footerReference w:type="default" r:id="rId7"/>
      <w:pgSz w:w="11906" w:h="16838"/>
      <w:pgMar w:top="851" w:right="580" w:bottom="1418" w:left="1797" w:header="53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71" w:rsidRDefault="00E5338A">
      <w:r>
        <w:separator/>
      </w:r>
    </w:p>
  </w:endnote>
  <w:endnote w:type="continuationSeparator" w:id="0">
    <w:p w:rsidR="00267B71" w:rsidRDefault="00E5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roman"/>
    <w:pitch w:val="variable"/>
  </w:font>
  <w:font w:name="Calibri;Century Gothic">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Verdana">
    <w:panose1 w:val="020B0604030504040204"/>
    <w:charset w:val="CC"/>
    <w:family w:val="roman"/>
    <w:pitch w:val="variable"/>
  </w:font>
  <w:font w:name="Tahoma">
    <w:panose1 w:val="020B060403050404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847" w:rsidRDefault="0037384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71" w:rsidRDefault="00E5338A">
      <w:r>
        <w:separator/>
      </w:r>
    </w:p>
  </w:footnote>
  <w:footnote w:type="continuationSeparator" w:id="0">
    <w:p w:rsidR="00267B71" w:rsidRDefault="00E533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847" w:rsidRDefault="00373847">
    <w:pPr>
      <w:pStyle w:val="af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47"/>
    <w:rsid w:val="00267B71"/>
    <w:rsid w:val="00373847"/>
    <w:rsid w:val="005E4A66"/>
    <w:rsid w:val="00E533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0685F49-800D-4B8C-A927-BBEB0529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bCs/>
      <w:color w:val="00000A"/>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a3">
    <w:name w:val="Основной шрифт абзаца"/>
    <w:qFormat/>
  </w:style>
  <w:style w:type="character" w:customStyle="1" w:styleId="1">
    <w:name w:val="Шрифт абзацу за промовчанням1"/>
    <w:qFormat/>
  </w:style>
  <w:style w:type="character" w:customStyle="1" w:styleId="apple-converted-space">
    <w:name w:val="apple-converted-space"/>
    <w:basedOn w:val="1"/>
    <w:qFormat/>
  </w:style>
  <w:style w:type="character" w:customStyle="1" w:styleId="a4">
    <w:name w:val="Текст у виносці Знак"/>
    <w:qFormat/>
    <w:rPr>
      <w:rFonts w:ascii="Segoe UI" w:hAnsi="Segoe UI" w:cs="Segoe UI"/>
      <w:bCs/>
      <w:sz w:val="18"/>
      <w:szCs w:val="18"/>
      <w:lang w:eastAsia="zh-CN"/>
    </w:rPr>
  </w:style>
  <w:style w:type="character" w:customStyle="1" w:styleId="a5">
    <w:name w:val="Виділення жирним"/>
    <w:qFormat/>
    <w:rPr>
      <w:b/>
      <w:bCs/>
    </w:rPr>
  </w:style>
  <w:style w:type="character" w:styleId="a6">
    <w:name w:val="Hyperlink"/>
    <w:rPr>
      <w:color w:val="000080"/>
      <w:u w:val="single"/>
    </w:rPr>
  </w:style>
  <w:style w:type="character" w:customStyle="1" w:styleId="a7">
    <w:name w:val="Відвідане гіперпосилання"/>
    <w:rPr>
      <w:color w:val="800000"/>
      <w:u w:val="single"/>
    </w:rPr>
  </w:style>
  <w:style w:type="character" w:styleId="a8">
    <w:name w:val="Emphasis"/>
    <w:basedOn w:val="a3"/>
    <w:qFormat/>
    <w:rPr>
      <w:rFonts w:ascii="Calibri;Century Gothic" w:hAnsi="Calibri;Century Gothic" w:cs="Calibri;Century Gothic"/>
      <w:b/>
      <w:i/>
      <w:iCs/>
    </w:rPr>
  </w:style>
  <w:style w:type="character" w:customStyle="1" w:styleId="a9">
    <w:name w:val="Символ нумерації"/>
    <w:qFormat/>
  </w:style>
  <w:style w:type="paragraph" w:customStyle="1" w:styleId="aa">
    <w:name w:val="Заголовок"/>
    <w:basedOn w:val="a"/>
    <w:next w:val="ab"/>
    <w:qFormat/>
    <w:pPr>
      <w:keepNext/>
      <w:spacing w:before="240" w:after="120"/>
    </w:pPr>
    <w:rPr>
      <w:rFonts w:ascii="Liberation Sans;Arial" w:eastAsia="Microsoft YaHei" w:hAnsi="Liberation Sans;Arial" w:cs="Arial"/>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Покажчик"/>
    <w:basedOn w:val="a"/>
    <w:qFormat/>
    <w:pPr>
      <w:suppressLineNumbers/>
    </w:pPr>
    <w:rPr>
      <w:rFonts w:cs="Arial"/>
    </w:rPr>
  </w:style>
  <w:style w:type="paragraph" w:customStyle="1" w:styleId="af">
    <w:name w:val="Знак"/>
    <w:basedOn w:val="a"/>
    <w:qFormat/>
    <w:rPr>
      <w:rFonts w:ascii="Verdana" w:hAnsi="Verdana" w:cs="Verdana"/>
      <w:bCs w:val="0"/>
      <w:sz w:val="20"/>
      <w:szCs w:val="20"/>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footer"/>
    <w:basedOn w:val="a"/>
    <w:pPr>
      <w:suppressLineNumbers/>
      <w:tabs>
        <w:tab w:val="center" w:pos="4650"/>
        <w:tab w:val="right" w:pos="9300"/>
      </w:tabs>
    </w:pPr>
  </w:style>
  <w:style w:type="paragraph" w:styleId="af4">
    <w:name w:val="header"/>
    <w:basedOn w:val="a"/>
    <w:pPr>
      <w:suppressLineNumbers/>
      <w:tabs>
        <w:tab w:val="center" w:pos="4650"/>
        <w:tab w:val="right" w:pos="9300"/>
      </w:tabs>
    </w:pPr>
  </w:style>
  <w:style w:type="paragraph" w:styleId="af5">
    <w:name w:val="Balloon Text"/>
    <w:basedOn w:val="a"/>
    <w:qFormat/>
    <w:rPr>
      <w:rFonts w:ascii="Segoe UI" w:hAnsi="Segoe UI" w:cs="Segoe UI"/>
      <w:sz w:val="18"/>
      <w:szCs w:val="18"/>
    </w:rPr>
  </w:style>
  <w:style w:type="paragraph" w:styleId="af6">
    <w:name w:val="List Paragraph"/>
    <w:basedOn w:val="a"/>
    <w:qFormat/>
    <w:pPr>
      <w:ind w:left="291" w:right="123" w:firstLine="599"/>
    </w:pPr>
    <w:rPr>
      <w:lang w:eastAsia="en-US"/>
    </w:rPr>
  </w:style>
  <w:style w:type="paragraph" w:styleId="af7">
    <w:name w:val="No Spacing"/>
    <w:qFormat/>
    <w:pPr>
      <w:widowControl w:val="0"/>
    </w:pPr>
    <w:rPr>
      <w:rFonts w:ascii="Arial" w:eastAsia="Tahoma" w:hAnsi="Arial" w:cs="Mangal"/>
      <w:color w:val="00000A"/>
      <w:sz w:val="36"/>
    </w:rPr>
  </w:style>
  <w:style w:type="paragraph" w:customStyle="1" w:styleId="western">
    <w:name w:val="western"/>
    <w:basedOn w:val="a"/>
    <w:qFormat/>
    <w:pPr>
      <w:spacing w:before="280" w:after="119" w:line="276" w:lineRule="auto"/>
    </w:pPr>
    <w:rPr>
      <w:rFonts w:ascii="Calibri" w:eastAsia="Calibri" w:hAnsi="Calibri" w:cs="Calibri"/>
      <w:sz w:val="22"/>
      <w:szCs w:val="22"/>
    </w:rPr>
  </w:style>
  <w:style w:type="paragraph" w:customStyle="1" w:styleId="Standard">
    <w:name w:val="Standard"/>
    <w:qFormat/>
    <w:pPr>
      <w:widowControl w:val="0"/>
      <w:textAlignment w:val="baseline"/>
    </w:pPr>
    <w:rPr>
      <w:rFonts w:ascii="Calibri" w:eastAsia="Calibri" w:hAnsi="Calibri" w:cs="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10</Pages>
  <Words>16029</Words>
  <Characters>9138</Characters>
  <Application>Microsoft Office Word</Application>
  <DocSecurity>0</DocSecurity>
  <Lines>76</Lines>
  <Paragraphs>50</Paragraphs>
  <ScaleCrop>false</ScaleCrop>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Kostjuk</dc:creator>
  <dc:description/>
  <cp:lastModifiedBy>Тетяна Тирилюк</cp:lastModifiedBy>
  <cp:revision>67</cp:revision>
  <cp:lastPrinted>2023-04-12T11:27:00Z</cp:lastPrinted>
  <dcterms:created xsi:type="dcterms:W3CDTF">2021-07-21T11:23:00Z</dcterms:created>
  <dcterms:modified xsi:type="dcterms:W3CDTF">2025-05-15T12:10:00Z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