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41E3F" w:rsidRDefault="005A0EF1">
      <w:pPr>
        <w:pStyle w:val="ab"/>
        <w:ind w:firstLine="850"/>
        <w:jc w:val="center"/>
      </w:pPr>
      <w:r>
        <w:rPr>
          <w:b/>
          <w:color w:val="222222"/>
          <w:szCs w:val="28"/>
        </w:rPr>
        <w:t>Про роботу управління персоналу Луцької міської ради                                        за І квартал 2025 року</w:t>
      </w:r>
    </w:p>
    <w:p w:rsidR="00541E3F" w:rsidRDefault="005A0EF1">
      <w:pPr>
        <w:pStyle w:val="af7"/>
        <w:tabs>
          <w:tab w:val="left" w:pos="567"/>
        </w:tabs>
        <w:ind w:firstLine="567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Упродовж І кварталу 2025 року управлінням персоналу Луцької міської ради здійснювалася робота щодо кадрового менеджменту у виконавчих органах міської ради,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організації та контролю за проведенням заходів з питань запобігання корупційним правопорушенням та п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равопорушенням, пов'язаним з корупцією; забезпечення документаційного та організаційно-технічного обслуговування діяльності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старост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старостинських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округів.</w:t>
      </w:r>
    </w:p>
    <w:p w:rsidR="00541E3F" w:rsidRDefault="005A0EF1">
      <w:pPr>
        <w:pStyle w:val="af7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1.Кадрова робота.</w:t>
      </w:r>
    </w:p>
    <w:p w:rsidR="00541E3F" w:rsidRDefault="005A0EF1">
      <w:pPr>
        <w:pStyle w:val="af8"/>
        <w:tabs>
          <w:tab w:val="left" w:pos="567"/>
        </w:tabs>
        <w:spacing w:after="120" w:line="24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  <w:shd w:val="clear" w:color="auto" w:fill="FFFFFF"/>
        </w:rPr>
        <w:t xml:space="preserve">Формування особового складу виконавчих органів міської ради                     здійснюється у відповідності до норм трудового законодавства з                       урахуванням вимог  </w:t>
      </w:r>
      <w:r>
        <w:rPr>
          <w:rFonts w:ascii="Times New Roman" w:hAnsi="Times New Roman"/>
          <w:bCs w:val="0"/>
          <w:iCs/>
          <w:sz w:val="28"/>
          <w:szCs w:val="28"/>
          <w:highlight w:val="white"/>
          <w:shd w:val="clear" w:color="auto" w:fill="FFFFFF"/>
        </w:rPr>
        <w:t>Закону України «</w:t>
      </w:r>
      <w:r>
        <w:rPr>
          <w:rStyle w:val="a5"/>
          <w:rFonts w:ascii="Times New Roman" w:hAnsi="Times New Roman"/>
          <w:b w:val="0"/>
          <w:iCs/>
          <w:sz w:val="28"/>
          <w:szCs w:val="28"/>
          <w:highlight w:val="white"/>
          <w:shd w:val="clear" w:color="auto" w:fill="FFFFFF"/>
        </w:rPr>
        <w:t>Про правовий режим воєнного стану»</w:t>
      </w:r>
      <w:r>
        <w:rPr>
          <w:rFonts w:ascii="Times New Roman" w:hAnsi="Times New Roman"/>
          <w:bCs w:val="0"/>
          <w:sz w:val="28"/>
          <w:szCs w:val="28"/>
          <w:shd w:val="clear" w:color="auto" w:fill="FFFFFF"/>
        </w:rPr>
        <w:t>, а також  Закону Укра</w:t>
      </w:r>
      <w:r>
        <w:rPr>
          <w:rFonts w:ascii="Times New Roman" w:hAnsi="Times New Roman"/>
          <w:bCs w:val="0"/>
          <w:sz w:val="28"/>
          <w:szCs w:val="28"/>
          <w:shd w:val="clear" w:color="auto" w:fill="FFFFFF"/>
        </w:rPr>
        <w:t xml:space="preserve">їни «Про службу в органах місцевого самоврядування», інших нормативних документів, що регулюють порядок призначення на посади в органи місцевого самоврядування. </w:t>
      </w:r>
    </w:p>
    <w:tbl>
      <w:tblPr>
        <w:tblW w:w="9888" w:type="dxa"/>
        <w:tblInd w:w="-236" w:type="dxa"/>
        <w:tblLayout w:type="fixed"/>
        <w:tblCellMar>
          <w:top w:w="55" w:type="dxa"/>
          <w:left w:w="3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57"/>
        <w:gridCol w:w="998"/>
        <w:gridCol w:w="1188"/>
        <w:gridCol w:w="1163"/>
        <w:gridCol w:w="1379"/>
        <w:gridCol w:w="1302"/>
        <w:gridCol w:w="1365"/>
        <w:gridCol w:w="1136"/>
      </w:tblGrid>
      <w:tr w:rsidR="00541E3F">
        <w:trPr>
          <w:trHeight w:val="582"/>
        </w:trPr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Призначено/прийнято: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*по переводу з  органів місцевого самоврядування, органів виконав</w:t>
            </w:r>
          </w:p>
          <w:p w:rsidR="00541E3F" w:rsidRDefault="005A0EF1">
            <w:pPr>
              <w:pStyle w:val="af0"/>
              <w:widowControl w:val="0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чої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влади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*за загальним трудовим законодавством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41E3F" w:rsidRDefault="005A0EF1">
            <w:pPr>
              <w:widowControl w:val="0"/>
              <w:jc w:val="center"/>
            </w:pPr>
            <w:r>
              <w:rPr>
                <w:sz w:val="21"/>
                <w:szCs w:val="21"/>
              </w:rPr>
              <w:t>*</w:t>
            </w:r>
            <w:r>
              <w:rPr>
                <w:iCs/>
                <w:color w:val="000000"/>
                <w:sz w:val="21"/>
                <w:szCs w:val="21"/>
                <w:highlight w:val="white"/>
                <w:shd w:val="clear" w:color="auto" w:fill="FFFFFF"/>
              </w:rPr>
              <w:t xml:space="preserve">відповідно до вимог статей 9, 10 Закону України </w:t>
            </w:r>
            <w:r>
              <w:rPr>
                <w:rStyle w:val="a5"/>
                <w:b w:val="0"/>
                <w:iCs/>
                <w:color w:val="000000"/>
                <w:sz w:val="21"/>
                <w:szCs w:val="21"/>
                <w:highlight w:val="white"/>
                <w:shd w:val="clear" w:color="auto" w:fill="FFFFFF"/>
              </w:rPr>
              <w:t>“Про правовий режим воєнного стану”</w:t>
            </w:r>
          </w:p>
        </w:tc>
        <w:tc>
          <w:tcPr>
            <w:tcW w:w="1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Переведено в межах виконавчих органів міської ради:</w:t>
            </w: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*на вищі посади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41E3F" w:rsidRDefault="005A0EF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на посади в межах категорії посад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1E3F" w:rsidRDefault="005A0EF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на нижчі посади</w:t>
            </w:r>
          </w:p>
          <w:p w:rsidR="00541E3F" w:rsidRDefault="005A0EF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(за </w:t>
            </w:r>
            <w:r>
              <w:rPr>
                <w:sz w:val="20"/>
                <w:szCs w:val="20"/>
              </w:rPr>
              <w:t>згодою)</w:t>
            </w:r>
          </w:p>
        </w:tc>
      </w:tr>
      <w:tr w:rsidR="00541E3F">
        <w:trPr>
          <w:trHeight w:val="308"/>
        </w:trPr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Всього: 7</w:t>
            </w: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41E3F" w:rsidRDefault="005A0EF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41E3F" w:rsidRDefault="005A0EF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Всього: 37</w:t>
            </w: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41E3F" w:rsidRDefault="005A0EF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1E3F" w:rsidRDefault="005A0EF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41E3F"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Укладено  строкових трудових договорів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*вперше укладених</w:t>
            </w:r>
          </w:p>
        </w:tc>
        <w:tc>
          <w:tcPr>
            <w:tcW w:w="235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41E3F" w:rsidRDefault="005A0EF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*підготовлено</w:t>
            </w:r>
          </w:p>
          <w:p w:rsidR="00541E3F" w:rsidRDefault="005A0EF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додаткових угод до них</w:t>
            </w:r>
          </w:p>
          <w:p w:rsidR="00541E3F" w:rsidRDefault="00541E3F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541E3F" w:rsidRDefault="00541E3F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</w:p>
          <w:p w:rsidR="00541E3F" w:rsidRDefault="005A0EF1">
            <w:pPr>
              <w:pStyle w:val="af0"/>
              <w:widowControl w:val="0"/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Укладено контрактів з керівниками</w:t>
            </w: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*вперше укладених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*підготовлено додаткових угод</w:t>
            </w:r>
          </w:p>
        </w:tc>
        <w:tc>
          <w:tcPr>
            <w:tcW w:w="11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1E3F" w:rsidRDefault="00541E3F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41E3F">
        <w:trPr>
          <w:trHeight w:val="337"/>
        </w:trPr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Всього: 14</w:t>
            </w:r>
          </w:p>
          <w:p w:rsidR="00541E3F" w:rsidRDefault="00541E3F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541E3F" w:rsidRDefault="00541E3F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5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41E3F" w:rsidRDefault="00541E3F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Всього: 4</w:t>
            </w: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1E3F" w:rsidRDefault="00541E3F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41E3F"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Звільнено: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за угодою сторін</w:t>
            </w:r>
          </w:p>
          <w:p w:rsidR="00541E3F" w:rsidRDefault="005A0EF1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п.1 ст.36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за власним бажанням</w:t>
            </w:r>
          </w:p>
          <w:p w:rsidR="00541E3F" w:rsidRDefault="005A0EF1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ст.38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за переведенням в іншу установу, організацію</w:t>
            </w:r>
          </w:p>
          <w:p w:rsidR="00541E3F" w:rsidRDefault="005A0EF1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п.5 ст.36</w:t>
            </w:r>
          </w:p>
        </w:tc>
        <w:tc>
          <w:tcPr>
            <w:tcW w:w="1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за скороченням штату</w:t>
            </w:r>
          </w:p>
          <w:p w:rsidR="00541E3F" w:rsidRDefault="005A0EF1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п.1 ст.40</w:t>
            </w: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у зв'язку із закінченням строкового трудового договору</w:t>
            </w:r>
          </w:p>
          <w:p w:rsidR="00541E3F" w:rsidRDefault="005A0EF1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п.2 ст.36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*інша підстава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Увільнено </w:t>
            </w:r>
            <w:r>
              <w:rPr>
                <w:b/>
                <w:sz w:val="20"/>
                <w:szCs w:val="20"/>
              </w:rPr>
              <w:t>у зв'язку з призовом на військову службу</w:t>
            </w:r>
          </w:p>
        </w:tc>
      </w:tr>
      <w:tr w:rsidR="00541E3F"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Всього: </w:t>
            </w:r>
            <w:r>
              <w:rPr>
                <w:b/>
                <w:sz w:val="20"/>
                <w:szCs w:val="20"/>
                <w:lang w:val="en-US"/>
              </w:rPr>
              <w:t>79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57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Всього: 1</w:t>
            </w:r>
          </w:p>
        </w:tc>
      </w:tr>
      <w:tr w:rsidR="00541E3F"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Стажування пройшли: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в межах кадрового резерву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з подальшим переведенням на посаду</w:t>
            </w:r>
          </w:p>
        </w:tc>
        <w:tc>
          <w:tcPr>
            <w:tcW w:w="25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інше</w:t>
            </w:r>
          </w:p>
        </w:tc>
        <w:tc>
          <w:tcPr>
            <w:tcW w:w="3803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Проведено</w:t>
            </w:r>
          </w:p>
          <w:p w:rsidR="00541E3F" w:rsidRDefault="005A0EF1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адаптацію новопризначених працівників</w:t>
            </w:r>
          </w:p>
          <w:p w:rsidR="00541E3F" w:rsidRDefault="005A0EF1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Всього: 11</w:t>
            </w:r>
          </w:p>
        </w:tc>
      </w:tr>
      <w:tr w:rsidR="00541E3F"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Всього:  45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5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803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1E3F" w:rsidRDefault="00541E3F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541E3F"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Встановлено надбавки за вислугу років: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*3 роки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5 років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*10 років</w:t>
            </w:r>
          </w:p>
        </w:tc>
        <w:tc>
          <w:tcPr>
            <w:tcW w:w="1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*15 років</w:t>
            </w: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*20 років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*25 років і більше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Присвоєно рангів:</w:t>
            </w:r>
          </w:p>
        </w:tc>
      </w:tr>
      <w:tr w:rsidR="00541E3F"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Всього: 17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Всього: 15</w:t>
            </w:r>
          </w:p>
        </w:tc>
      </w:tr>
    </w:tbl>
    <w:p w:rsidR="00541E3F" w:rsidRDefault="005A0EF1">
      <w:pPr>
        <w:tabs>
          <w:tab w:val="left" w:pos="540"/>
          <w:tab w:val="decimal" w:leader="underscore" w:pos="1800"/>
          <w:tab w:val="decimal" w:leader="underscore" w:pos="3402"/>
          <w:tab w:val="left" w:pos="4800"/>
        </w:tabs>
        <w:jc w:val="both"/>
      </w:pPr>
      <w:r>
        <w:rPr>
          <w:color w:val="000000"/>
          <w:szCs w:val="28"/>
        </w:rPr>
        <w:tab/>
      </w:r>
    </w:p>
    <w:p w:rsidR="00541E3F" w:rsidRDefault="005A0EF1">
      <w:pPr>
        <w:tabs>
          <w:tab w:val="left" w:pos="540"/>
          <w:tab w:val="decimal" w:leader="underscore" w:pos="1800"/>
          <w:tab w:val="decimal" w:leader="underscore" w:pos="3402"/>
          <w:tab w:val="left" w:pos="4800"/>
        </w:tabs>
        <w:jc w:val="both"/>
      </w:pPr>
      <w:r>
        <w:rPr>
          <w:color w:val="000000"/>
          <w:szCs w:val="28"/>
        </w:rPr>
        <w:tab/>
        <w:t xml:space="preserve">Відповідно до рішення Луцької міської ради від 18.12.2024 № 66/64 «Про внесення змін до </w:t>
      </w:r>
      <w:r>
        <w:rPr>
          <w:color w:val="000000"/>
          <w:szCs w:val="28"/>
        </w:rPr>
        <w:t>рішення міської ради від 28.04.2021 № 10/69 “Про затвердження структури виконавчих органів міської ради, загальної чисельності апарату міської ради та її виконавчих органів”», а також розпоряджен</w:t>
      </w:r>
      <w:r>
        <w:rPr>
          <w:color w:val="000000"/>
          <w:szCs w:val="28"/>
        </w:rPr>
        <w:t>ь</w:t>
      </w:r>
      <w:r>
        <w:rPr>
          <w:color w:val="000000"/>
          <w:szCs w:val="28"/>
        </w:rPr>
        <w:t xml:space="preserve"> міського голови від 18.12.2024 № 43-ра «Про затвердження шт</w:t>
      </w:r>
      <w:r>
        <w:rPr>
          <w:color w:val="000000"/>
          <w:szCs w:val="28"/>
        </w:rPr>
        <w:t xml:space="preserve">атного розпису департаменту з питань ветеранської політики Луцької міської ради», із внесеними змінами, від 18.12.2024 № 42-ра «Про внесення змін до штатного розпису департаменту соціальної та ветеранської політики Луцької міської ради»,  проведена робота </w:t>
      </w:r>
      <w:r>
        <w:rPr>
          <w:color w:val="000000"/>
          <w:szCs w:val="28"/>
        </w:rPr>
        <w:t xml:space="preserve">щодо затвердження </w:t>
      </w:r>
      <w:r>
        <w:rPr>
          <w:color w:val="000000"/>
          <w:szCs w:val="28"/>
          <w:shd w:val="clear" w:color="auto" w:fill="FFFFFF"/>
        </w:rPr>
        <w:t xml:space="preserve">положень про структурні підрозділи департаментів з питань ветеранської політики та  соціальної політики, а також забезпечено </w:t>
      </w:r>
      <w:r>
        <w:rPr>
          <w:color w:val="000000"/>
          <w:szCs w:val="28"/>
        </w:rPr>
        <w:t>стажування, призначення/переведення працівників у департаментах соціальної політики та з питань ветеранської полі</w:t>
      </w:r>
      <w:r>
        <w:rPr>
          <w:color w:val="000000"/>
          <w:szCs w:val="28"/>
        </w:rPr>
        <w:t>тики Луцької міської ради. Загалом роботою охоплено 57 осіб.</w:t>
      </w:r>
    </w:p>
    <w:p w:rsidR="00541E3F" w:rsidRDefault="005A0EF1">
      <w:pPr>
        <w:tabs>
          <w:tab w:val="left" w:pos="540"/>
          <w:tab w:val="decimal" w:leader="underscore" w:pos="1800"/>
          <w:tab w:val="decimal" w:leader="underscore" w:pos="3402"/>
          <w:tab w:val="left" w:pos="4800"/>
        </w:tabs>
        <w:jc w:val="both"/>
      </w:pPr>
      <w:r>
        <w:rPr>
          <w:color w:val="000000"/>
          <w:szCs w:val="28"/>
        </w:rPr>
        <w:tab/>
      </w:r>
      <w:r>
        <w:rPr>
          <w:color w:val="000000"/>
          <w:szCs w:val="28"/>
        </w:rPr>
        <w:t>Відповідно до розпорядження міського голови від 11.02.2025 № 15-ра «Про проведення щорічної оцінки виконання посадовими особами місцевого самоврядування апарату міської ради та виконавчого коміт</w:t>
      </w:r>
      <w:r>
        <w:rPr>
          <w:color w:val="000000"/>
          <w:szCs w:val="28"/>
        </w:rPr>
        <w:t xml:space="preserve">ету, виконавчих органів міської ради, покладених на них обов’язків та завдань»  та з метою здійснення регулярного контролю за проходженням служби в органах місцевого самоврядування, а також професійними досягненнями посадових осіб місцевого самоврядування </w:t>
      </w:r>
      <w:r>
        <w:rPr>
          <w:color w:val="000000"/>
          <w:szCs w:val="28"/>
        </w:rPr>
        <w:t>апарату міської ради, виконавчого комітету та виконавчих органів міської ради проведена щорічна оцінка виконання покладених на них обов’язків і завдань.</w:t>
      </w:r>
    </w:p>
    <w:p w:rsidR="00541E3F" w:rsidRDefault="005A0EF1">
      <w:pPr>
        <w:pStyle w:val="af7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Щорічну оцінку за вказаний період пройшли 334 посадові особи місцевого самоврядування, не підлягали – 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82 посадові особи місцевого самоврядування. </w:t>
      </w:r>
    </w:p>
    <w:p w:rsidR="00541E3F" w:rsidRDefault="005A0EF1">
      <w:pPr>
        <w:pStyle w:val="af7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результатами щорічної оцінки, проведеної безпосередніми керівниками та керівниками вищого рівня, високу оцінку отримали 327 осіб,  добру – 6 осіб, 1 особа отримала задовільну оцінку.  </w:t>
      </w:r>
    </w:p>
    <w:p w:rsidR="00541E3F" w:rsidRDefault="005A0EF1">
      <w:pPr>
        <w:tabs>
          <w:tab w:val="left" w:pos="540"/>
          <w:tab w:val="decimal" w:leader="underscore" w:pos="1800"/>
          <w:tab w:val="decimal" w:leader="underscore" w:pos="3402"/>
          <w:tab w:val="left" w:pos="4800"/>
        </w:tabs>
        <w:jc w:val="both"/>
      </w:pPr>
      <w:r>
        <w:rPr>
          <w:color w:val="000000"/>
          <w:szCs w:val="28"/>
        </w:rPr>
        <w:lastRenderedPageBreak/>
        <w:tab/>
        <w:t>Загалом щорічна оцінка</w:t>
      </w:r>
      <w:r>
        <w:rPr>
          <w:color w:val="000000"/>
          <w:szCs w:val="28"/>
        </w:rPr>
        <w:t xml:space="preserve"> засв</w:t>
      </w:r>
      <w:r>
        <w:rPr>
          <w:rFonts w:eastAsia="SimSun"/>
          <w:color w:val="000000"/>
          <w:szCs w:val="28"/>
        </w:rPr>
        <w:t>і</w:t>
      </w:r>
      <w:r>
        <w:rPr>
          <w:color w:val="000000"/>
          <w:szCs w:val="28"/>
        </w:rPr>
        <w:t>дчила високий рівень професіоналізму, відповідність ділових кваліфікацій, знань і навичок посадових осіб місцевого самоврядування займаним посадам.</w:t>
      </w:r>
    </w:p>
    <w:p w:rsidR="00541E3F" w:rsidRDefault="005A0EF1">
      <w:pPr>
        <w:tabs>
          <w:tab w:val="left" w:pos="540"/>
          <w:tab w:val="decimal" w:leader="underscore" w:pos="1800"/>
          <w:tab w:val="decimal" w:leader="underscore" w:pos="3402"/>
          <w:tab w:val="left" w:pos="4800"/>
        </w:tabs>
        <w:jc w:val="both"/>
      </w:pPr>
      <w:r>
        <w:rPr>
          <w:bCs w:val="0"/>
          <w:color w:val="0A0909"/>
          <w:szCs w:val="28"/>
          <w:shd w:val="clear" w:color="auto" w:fill="FFFFFF"/>
        </w:rPr>
        <w:tab/>
        <w:t>Продовжувалася робота щодо актуалізації посадових інструкцій працівників виконавчих органів міської р</w:t>
      </w:r>
      <w:r>
        <w:rPr>
          <w:bCs w:val="0"/>
          <w:color w:val="0A0909"/>
          <w:szCs w:val="28"/>
          <w:shd w:val="clear" w:color="auto" w:fill="FFFFFF"/>
        </w:rPr>
        <w:t>ади відповідно до Порядку роботи з посадовими інструкціями посадових осіб місцевого самоврядування (службовців, робітників) виконавчих органів Луцької міської ради, який затверджений розпорядженням міського голови від 11.01.2023 № 2-ра. Упродовж звітного п</w:t>
      </w:r>
      <w:r>
        <w:rPr>
          <w:bCs w:val="0"/>
          <w:color w:val="0A0909"/>
          <w:szCs w:val="28"/>
          <w:shd w:val="clear" w:color="auto" w:fill="FFFFFF"/>
        </w:rPr>
        <w:t>еріоду актуалізовано посадові інструкції працівників департаментів соціальної політики та з питань ветеранської політики, управління соціальних служб для сім'ї, дітей та молоді міської ради.</w:t>
      </w:r>
    </w:p>
    <w:p w:rsidR="00541E3F" w:rsidRDefault="005A0EF1">
      <w:pPr>
        <w:tabs>
          <w:tab w:val="left" w:pos="567"/>
        </w:tabs>
        <w:ind w:firstLine="540"/>
        <w:jc w:val="both"/>
        <w:rPr>
          <w:szCs w:val="28"/>
        </w:rPr>
      </w:pPr>
      <w:r>
        <w:rPr>
          <w:b/>
          <w:bCs w:val="0"/>
          <w:color w:val="000000"/>
          <w:szCs w:val="28"/>
          <w:shd w:val="clear" w:color="auto" w:fill="FFFFFF"/>
        </w:rPr>
        <w:t>2</w:t>
      </w:r>
      <w:r>
        <w:rPr>
          <w:b/>
          <w:bCs w:val="0"/>
          <w:color w:val="000000"/>
          <w:szCs w:val="28"/>
          <w:shd w:val="clear" w:color="auto" w:fill="FFFFFF"/>
        </w:rPr>
        <w:t>. Розгляд пропозицій, заяв, скарг громадян, надання роз’яснень з</w:t>
      </w:r>
      <w:r>
        <w:rPr>
          <w:b/>
          <w:bCs w:val="0"/>
          <w:color w:val="000000"/>
          <w:szCs w:val="28"/>
          <w:shd w:val="clear" w:color="auto" w:fill="FFFFFF"/>
        </w:rPr>
        <w:t xml:space="preserve"> питань, що належать до компетенції управління.  Ведення особових справ працівників.</w:t>
      </w:r>
    </w:p>
    <w:p w:rsidR="00541E3F" w:rsidRDefault="005A0EF1">
      <w:pPr>
        <w:tabs>
          <w:tab w:val="left" w:pos="540"/>
          <w:tab w:val="decimal" w:leader="underscore" w:pos="1800"/>
          <w:tab w:val="decimal" w:leader="underscore" w:pos="3402"/>
          <w:tab w:val="left" w:pos="4800"/>
        </w:tabs>
        <w:jc w:val="both"/>
      </w:pPr>
      <w:r>
        <w:rPr>
          <w:szCs w:val="28"/>
        </w:rPr>
        <w:tab/>
        <w:t>Управлінням персоналу</w:t>
      </w:r>
      <w:r>
        <w:rPr>
          <w:szCs w:val="28"/>
          <w:shd w:val="clear" w:color="auto" w:fill="FFFFFF"/>
        </w:rPr>
        <w:t xml:space="preserve">  розглянуто </w:t>
      </w:r>
      <w:r>
        <w:rPr>
          <w:szCs w:val="28"/>
          <w:shd w:val="clear" w:color="auto" w:fill="FFFFFF"/>
        </w:rPr>
        <w:t>1501</w:t>
      </w:r>
      <w:r>
        <w:rPr>
          <w:szCs w:val="28"/>
          <w:shd w:val="clear" w:color="auto" w:fill="FFFFFF"/>
        </w:rPr>
        <w:t xml:space="preserve"> заява щодо прийому на роботу, переведення, звільнення працівників, надання їм відпусток та матеріальних допомог. Підготовлено 969 розпоряджень міського голови з кадрових питань, з них: </w:t>
      </w:r>
      <w:r>
        <w:rPr>
          <w:color w:val="191919"/>
          <w:szCs w:val="28"/>
          <w:shd w:val="clear" w:color="auto" w:fill="FFFFFF"/>
        </w:rPr>
        <w:t>50</w:t>
      </w:r>
      <w:r>
        <w:rPr>
          <w:color w:val="020202"/>
          <w:szCs w:val="28"/>
          <w:shd w:val="clear" w:color="auto" w:fill="FFFFFF"/>
        </w:rPr>
        <w:t xml:space="preserve"> щодо затвердження штатних розписів, положень, посадових інструкцій;</w:t>
      </w:r>
      <w:r>
        <w:rPr>
          <w:color w:val="020202"/>
          <w:szCs w:val="28"/>
          <w:shd w:val="clear" w:color="auto" w:fill="FFFFFF"/>
        </w:rPr>
        <w:t xml:space="preserve"> 587</w:t>
      </w:r>
      <w:r>
        <w:rPr>
          <w:color w:val="020202"/>
          <w:szCs w:val="28"/>
        </w:rPr>
        <w:t xml:space="preserve"> – про прийняття, переведення, звільнення, підвищення кваліфікації, стажування, заохочення (нагородження, преміювання), нарахування матеріальної допомоги, відпустки за власний рахунок; 314 – про щорічні оплачувані відпустки, короткострокові відрядження</w:t>
      </w:r>
      <w:r>
        <w:rPr>
          <w:color w:val="020202"/>
          <w:szCs w:val="28"/>
        </w:rPr>
        <w:t xml:space="preserve"> в межах України та за кордон, 18 з адміністративно-господарських питань.</w:t>
      </w:r>
    </w:p>
    <w:p w:rsidR="00541E3F" w:rsidRDefault="005A0EF1">
      <w:pPr>
        <w:tabs>
          <w:tab w:val="left" w:pos="540"/>
          <w:tab w:val="decimal" w:leader="underscore" w:pos="1800"/>
          <w:tab w:val="decimal" w:leader="underscore" w:pos="3402"/>
          <w:tab w:val="left" w:pos="4800"/>
        </w:tabs>
        <w:jc w:val="both"/>
      </w:pPr>
      <w:r>
        <w:rPr>
          <w:szCs w:val="28"/>
          <w:shd w:val="clear" w:color="auto" w:fill="FFFFFF"/>
        </w:rPr>
        <w:t xml:space="preserve">       </w:t>
      </w:r>
      <w:r>
        <w:rPr>
          <w:szCs w:val="28"/>
          <w:shd w:val="clear" w:color="auto" w:fill="FFFFFF"/>
        </w:rPr>
        <w:tab/>
      </w:r>
      <w:r>
        <w:rPr>
          <w:color w:val="000000"/>
          <w:szCs w:val="28"/>
          <w:shd w:val="clear" w:color="auto" w:fill="FFFFFF"/>
        </w:rPr>
        <w:t>Розглянуто 16 звернень громадян, 162 листа вхідної кореспонденції. Окрім того, протягом звітного періоду управлінням надано інформацію на 41 публічний запит.</w:t>
      </w:r>
    </w:p>
    <w:p w:rsidR="00541E3F" w:rsidRDefault="005A0EF1">
      <w:pPr>
        <w:pStyle w:val="af7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Упродовж І кварт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алу 2025 року проведено 5 внутрішніх нарад управління персоналу, підготовлено протоколи та 10 наказів управління персоналу з основної діяльності та кадрових питань.</w:t>
      </w:r>
    </w:p>
    <w:p w:rsidR="00541E3F" w:rsidRDefault="005A0EF1">
      <w:pPr>
        <w:tabs>
          <w:tab w:val="left" w:pos="540"/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szCs w:val="28"/>
        </w:rPr>
      </w:pPr>
      <w:r>
        <w:rPr>
          <w:color w:val="000000"/>
          <w:szCs w:val="28"/>
          <w:shd w:val="clear" w:color="auto" w:fill="FFFFFF"/>
        </w:rPr>
        <w:t>Виготовлено та видано 81 посвідчення-ідентифікатор працівникам виконавчих органів міської р</w:t>
      </w:r>
      <w:r>
        <w:rPr>
          <w:color w:val="000000"/>
          <w:szCs w:val="28"/>
          <w:shd w:val="clear" w:color="auto" w:fill="FFFFFF"/>
        </w:rPr>
        <w:t>ади, з них: новопризначеним працівникам, працівникам департаменту з питань ветеранської політики, а також оновлено посвідчення працівників департаменту соціальної політики, управління соціальних служб для сім'ї, дітей та молоді, відповідно до нових штатних</w:t>
      </w:r>
      <w:r>
        <w:rPr>
          <w:color w:val="000000"/>
          <w:szCs w:val="28"/>
          <w:shd w:val="clear" w:color="auto" w:fill="FFFFFF"/>
        </w:rPr>
        <w:t xml:space="preserve"> розписів. </w:t>
      </w:r>
    </w:p>
    <w:p w:rsidR="00541E3F" w:rsidRDefault="005A0EF1">
      <w:pPr>
        <w:tabs>
          <w:tab w:val="left" w:pos="540"/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szCs w:val="28"/>
        </w:rPr>
      </w:pPr>
      <w:r>
        <w:rPr>
          <w:color w:val="000000"/>
          <w:szCs w:val="28"/>
          <w:shd w:val="clear" w:color="auto" w:fill="FFFFFF"/>
        </w:rPr>
        <w:t xml:space="preserve">Проводився моніторинг автоматизованої системи електронного обліку робочого часу щодо виявлення осіб, які вчинили порушення трудової дисципліни. </w:t>
      </w:r>
    </w:p>
    <w:p w:rsidR="00541E3F" w:rsidRDefault="005A0EF1">
      <w:pPr>
        <w:tabs>
          <w:tab w:val="left" w:pos="540"/>
          <w:tab w:val="decimal" w:leader="underscore" w:pos="1800"/>
          <w:tab w:val="decimal" w:leader="underscore" w:pos="3402"/>
          <w:tab w:val="left" w:pos="4800"/>
        </w:tabs>
        <w:jc w:val="both"/>
      </w:pPr>
      <w:r>
        <w:rPr>
          <w:bCs w:val="0"/>
          <w:color w:val="C9211E"/>
          <w:szCs w:val="28"/>
          <w:shd w:val="clear" w:color="auto" w:fill="FFFFFF"/>
        </w:rPr>
        <w:tab/>
      </w:r>
      <w:r>
        <w:rPr>
          <w:szCs w:val="28"/>
        </w:rPr>
        <w:t>Працівники управління здійснювали роботу в обліковій системі «Кадри-</w:t>
      </w:r>
      <w:r>
        <w:rPr>
          <w:szCs w:val="28"/>
          <w:lang w:val="en-US"/>
        </w:rPr>
        <w:t>WEB</w:t>
      </w:r>
      <w:r>
        <w:rPr>
          <w:szCs w:val="28"/>
        </w:rPr>
        <w:t xml:space="preserve">» з метою її актуалізації. </w:t>
      </w:r>
    </w:p>
    <w:p w:rsidR="00541E3F" w:rsidRDefault="005A0EF1">
      <w:pPr>
        <w:tabs>
          <w:tab w:val="left" w:pos="567"/>
        </w:tabs>
        <w:ind w:firstLine="539"/>
        <w:jc w:val="both"/>
      </w:pPr>
      <w:r>
        <w:rPr>
          <w:rStyle w:val="a5"/>
          <w:b w:val="0"/>
          <w:color w:val="000000"/>
          <w:szCs w:val="28"/>
          <w:shd w:val="clear" w:color="auto" w:fill="FFFFFF"/>
        </w:rPr>
        <w:t>Готувалися довідки з місця роботи працівників, копії трудових книжок.  Окрім того, надавалися численні консультації та роз'яснення працівникам та керівникам виконавчих органів міської ради, керівникам підприємств,  організацій (установ, закладів), що нале</w:t>
      </w:r>
      <w:r>
        <w:rPr>
          <w:rStyle w:val="a5"/>
          <w:b w:val="0"/>
          <w:color w:val="000000"/>
          <w:szCs w:val="28"/>
          <w:shd w:val="clear" w:color="auto" w:fill="FFFFFF"/>
        </w:rPr>
        <w:t>жать до комунальної власності міської територіальної громади, з кадрових питань, з питань законодавства про працю та проходження служби в органах місцевого самоврядування.</w:t>
      </w:r>
    </w:p>
    <w:p w:rsidR="00541E3F" w:rsidRDefault="005A0EF1">
      <w:pPr>
        <w:pStyle w:val="af7"/>
        <w:ind w:firstLine="567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Підвищення рівня професійної компетентності працівників.</w:t>
      </w:r>
    </w:p>
    <w:p w:rsidR="00541E3F" w:rsidRDefault="005A0EF1">
      <w:pPr>
        <w:shd w:val="clear" w:color="auto" w:fill="FFFFFF"/>
        <w:ind w:firstLine="567"/>
        <w:jc w:val="both"/>
        <w:rPr>
          <w:bCs w:val="0"/>
        </w:rPr>
      </w:pPr>
      <w:r>
        <w:rPr>
          <w:bCs w:val="0"/>
          <w:color w:val="141111"/>
          <w:szCs w:val="28"/>
          <w:lang w:eastAsia="uk-UA"/>
        </w:rPr>
        <w:t>Відповідно до Порядку організації професійного навчання посадових осіб виконавчих органів Луцької міської ради та оцінювання його результативності, затвердженого розпорядженням міського голови  від 23.02.2023 №12-ра, проведено оцінку результативності профе</w:t>
      </w:r>
      <w:r>
        <w:rPr>
          <w:bCs w:val="0"/>
          <w:color w:val="141111"/>
          <w:szCs w:val="28"/>
          <w:lang w:eastAsia="uk-UA"/>
        </w:rPr>
        <w:t xml:space="preserve">сійного навчання посадових осіб виконавчих органів Луцької міської ради та визначено </w:t>
      </w:r>
      <w:r>
        <w:rPr>
          <w:bCs w:val="0"/>
          <w:color w:val="141111"/>
          <w:szCs w:val="28"/>
        </w:rPr>
        <w:t>високий рівень практичної цінності професійного навчання посадових осіб виконавчих органів Луцької міської ради.</w:t>
      </w:r>
    </w:p>
    <w:p w:rsidR="00541E3F" w:rsidRDefault="005A0EF1">
      <w:pPr>
        <w:pStyle w:val="af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Ведеться постійна робота щодо запровадження системності 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безперервності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професійно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-освітньому процесі підвищення кваліфікації посадових осіб місцевого самоврядування.</w:t>
      </w:r>
    </w:p>
    <w:p w:rsidR="00541E3F" w:rsidRDefault="005A0EF1">
      <w:pPr>
        <w:pStyle w:val="af7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плану внутрішнього навчання посадових осіб місцевого самоврядування виконавчих органів Луцької міської ради на 2025 рік упродовж </w:t>
      </w:r>
      <w:r>
        <w:rPr>
          <w:rFonts w:ascii="Times New Roman" w:hAnsi="Times New Roman" w:cs="Times New Roman"/>
          <w:color w:val="000000"/>
          <w:sz w:val="28"/>
          <w:szCs w:val="28"/>
        </w:rPr>
        <w:t>звітного періоду було проведено 2 навчання, у яких взяли участь 63 працівника виконавчих органів Луцької міської ради. 4 навчання, які передбачені планом внутрішніх навчання буде проведено у ІІ кварталі 2025 року.</w:t>
      </w:r>
    </w:p>
    <w:p w:rsidR="00541E3F" w:rsidRDefault="005A0EF1">
      <w:pPr>
        <w:pStyle w:val="af7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Згідно з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планом-графіком підвищення кваліф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ікації державних службовців, посадових осіб місцевого самоврядування на 2025 рік відбулося 26 навчань за програмами постійно діючого та короткотермінового семінарів, у яких взяли участь та отримали свідоцтва про підвищення кваліфікації 294 посадових осіб 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ісцевого самоврядування.</w:t>
      </w:r>
    </w:p>
    <w:p w:rsidR="00541E3F" w:rsidRDefault="005A0EF1">
      <w:pPr>
        <w:pStyle w:val="af7"/>
        <w:ind w:firstLine="709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Під час  зовнішніх навчань посадові особи місцевого самоврядування Луцької міської ради працювали за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програмами: «Запобігання корупції та забезпечення доброчесності», «Державна мова», «Управління персоналом в органах місцевого само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врядування»,  «Усвідомлене застосування ресурсів та функціоналу кіберпростору», «Місце та роль інструментів локальної демократії у вирішенні питань місцевого значення», «Організація роботи із захисту прав дітей у територіальній громаді», «Місцевий економіч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ний розвиток та залучення інвестицій», «Е-демократія і комунікація», «Правові, соціальні та психологічні аспекти підтримки ВПО в громадах Волинської області. Гуманітарні принципи та стандарти», «Публічні закупівлі»  «Застосування гендерних підходів у діяль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ності органів публічної влади».</w:t>
      </w:r>
    </w:p>
    <w:p w:rsidR="00541E3F" w:rsidRDefault="005A0EF1">
      <w:pPr>
        <w:pStyle w:val="af7"/>
        <w:ind w:firstLine="510"/>
        <w:jc w:val="both"/>
        <w:rPr>
          <w:color w:val="C9211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Начальник відділу розвитку персоналу управління персоналу пройшла навчання за програмою «Військовий облік» та інші.</w:t>
      </w:r>
    </w:p>
    <w:p w:rsidR="00541E3F" w:rsidRDefault="005A0EF1">
      <w:pPr>
        <w:pStyle w:val="af7"/>
        <w:ind w:firstLine="567"/>
        <w:jc w:val="both"/>
        <w:rPr>
          <w:color w:val="000000"/>
          <w:szCs w:val="28"/>
        </w:rPr>
      </w:pP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Окрім того, працівники виконавчих органів міської ради пройшли навчальні онлайн-курси на платформі Дія 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highlight w:val="white"/>
          <w:shd w:val="clear" w:color="auto" w:fill="FFFFFF"/>
        </w:rPr>
        <w:t>«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Освіта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highlight w:val="white"/>
          <w:shd w:val="clear" w:color="auto" w:fill="FFFFFF"/>
        </w:rPr>
        <w:t>»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541E3F" w:rsidRDefault="005A0EF1">
      <w:pPr>
        <w:pStyle w:val="af7"/>
        <w:ind w:firstLine="567"/>
        <w:jc w:val="both"/>
      </w:pPr>
      <w:r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Військовий облік.</w:t>
      </w:r>
    </w:p>
    <w:p w:rsidR="00541E3F" w:rsidRDefault="005A0EF1">
      <w:pPr>
        <w:ind w:firstLine="708"/>
        <w:jc w:val="both"/>
        <w:rPr>
          <w:szCs w:val="28"/>
        </w:rPr>
      </w:pPr>
      <w:r>
        <w:rPr>
          <w:szCs w:val="28"/>
        </w:rPr>
        <w:t xml:space="preserve">Відповідно до Закону України </w:t>
      </w:r>
      <w:r>
        <w:rPr>
          <w:rStyle w:val="a5"/>
          <w:b w:val="0"/>
          <w:color w:val="000000"/>
          <w:szCs w:val="28"/>
          <w:highlight w:val="white"/>
          <w:shd w:val="clear" w:color="auto" w:fill="FFFFFF"/>
        </w:rPr>
        <w:t>«</w:t>
      </w:r>
      <w:r>
        <w:rPr>
          <w:szCs w:val="28"/>
        </w:rPr>
        <w:t>Про військовий обов’язок і військову службу</w:t>
      </w:r>
      <w:r>
        <w:rPr>
          <w:color w:val="000000"/>
          <w:szCs w:val="28"/>
          <w:highlight w:val="white"/>
          <w:shd w:val="clear" w:color="auto" w:fill="FFFFFF"/>
        </w:rPr>
        <w:t>»</w:t>
      </w:r>
      <w:r>
        <w:rPr>
          <w:szCs w:val="28"/>
        </w:rPr>
        <w:t>, Порядку організації та ведення військового обліку призовників і військовозобов’язаних та резервістів, затвердженого постановою Кабінету Міністрів України від 30.12.2022 № 1487, рішення міської ради від 25.09.2024 №63/110 «Про внесення змін до рішення міс</w:t>
      </w:r>
      <w:r>
        <w:rPr>
          <w:szCs w:val="28"/>
        </w:rPr>
        <w:t xml:space="preserve">ької ради від 28.04.2021 № 10/70 </w:t>
      </w:r>
      <w:r w:rsidRPr="005A0EF1">
        <w:rPr>
          <w:szCs w:val="28"/>
        </w:rPr>
        <w:t>“</w:t>
      </w:r>
      <w:r>
        <w:rPr>
          <w:szCs w:val="28"/>
        </w:rPr>
        <w:t>Про затвердження Положення про управління персоналу Луцької міської ради”», розпорядження міського голови від 11.09.2024 №32-ра «Про військовий облік» ведення військового обліку (за винятком бронювання) призовників, військ</w:t>
      </w:r>
      <w:r>
        <w:rPr>
          <w:szCs w:val="28"/>
        </w:rPr>
        <w:t xml:space="preserve">овозобов’язаних та резервістів у </w:t>
      </w:r>
      <w:proofErr w:type="spellStart"/>
      <w:r>
        <w:rPr>
          <w:szCs w:val="28"/>
        </w:rPr>
        <w:t>апараті</w:t>
      </w:r>
      <w:proofErr w:type="spellEnd"/>
      <w:r>
        <w:rPr>
          <w:szCs w:val="28"/>
        </w:rPr>
        <w:t xml:space="preserve"> виконавчого комітету та виконавчих органах Луцької міської ради з 29.01.2025 ведеться управлінням персоналу.</w:t>
      </w:r>
    </w:p>
    <w:p w:rsidR="00541E3F" w:rsidRDefault="005A0EF1">
      <w:pPr>
        <w:ind w:firstLine="708"/>
        <w:jc w:val="both"/>
        <w:rPr>
          <w:szCs w:val="28"/>
        </w:rPr>
      </w:pPr>
      <w:r>
        <w:rPr>
          <w:szCs w:val="28"/>
        </w:rPr>
        <w:t>Відповідно до розпорядження міського голови від 29.01.2025  № 4-рг «Про стан військового обліку за 2024 рі</w:t>
      </w:r>
      <w:r>
        <w:rPr>
          <w:szCs w:val="28"/>
        </w:rPr>
        <w:t xml:space="preserve">к та завдання з військового обліку на 2025 рік у </w:t>
      </w:r>
      <w:proofErr w:type="spellStart"/>
      <w:r>
        <w:rPr>
          <w:szCs w:val="28"/>
        </w:rPr>
        <w:t>апараті</w:t>
      </w:r>
      <w:proofErr w:type="spellEnd"/>
      <w:r>
        <w:rPr>
          <w:szCs w:val="28"/>
        </w:rPr>
        <w:t xml:space="preserve"> виконавчого комітету та виконавчих органах Луцької міської ради» визначено завдання для реалізації норм чинного законодавства в частині ведення військового обліку на 2025 рік:</w:t>
      </w:r>
    </w:p>
    <w:p w:rsidR="00541E3F" w:rsidRDefault="005A0EF1">
      <w:pPr>
        <w:ind w:firstLine="708"/>
        <w:jc w:val="both"/>
        <w:rPr>
          <w:szCs w:val="28"/>
        </w:rPr>
      </w:pPr>
      <w:r>
        <w:rPr>
          <w:szCs w:val="28"/>
        </w:rPr>
        <w:t>постійно контролювати д</w:t>
      </w:r>
      <w:r>
        <w:rPr>
          <w:szCs w:val="28"/>
        </w:rPr>
        <w:t>отримання призовниками, військовозобов’язаними та резервістами Правил військового обліку;</w:t>
      </w:r>
    </w:p>
    <w:p w:rsidR="00541E3F" w:rsidRDefault="005A0EF1">
      <w:pPr>
        <w:ind w:firstLine="708"/>
        <w:jc w:val="both"/>
        <w:rPr>
          <w:szCs w:val="28"/>
        </w:rPr>
      </w:pPr>
      <w:r>
        <w:rPr>
          <w:szCs w:val="28"/>
        </w:rPr>
        <w:t>проводити роз’яснювальну роботу з питань військового обліку за зверненнями працівників та у випадках, якщо вони порушують Правила військового обліку;</w:t>
      </w:r>
    </w:p>
    <w:p w:rsidR="00541E3F" w:rsidRDefault="005A0EF1">
      <w:pPr>
        <w:ind w:firstLine="708"/>
        <w:jc w:val="both"/>
        <w:rPr>
          <w:szCs w:val="28"/>
        </w:rPr>
      </w:pPr>
      <w:r>
        <w:rPr>
          <w:szCs w:val="28"/>
        </w:rPr>
        <w:t xml:space="preserve">здійснювати під </w:t>
      </w:r>
      <w:r>
        <w:rPr>
          <w:szCs w:val="28"/>
        </w:rPr>
        <w:t>час прийняття на роботу перевірку наявності у призовників, військовозобов’язаних та резервістів військово-облікових документів та відмітки у них про взяття на облік ТЦК та СП;</w:t>
      </w:r>
    </w:p>
    <w:p w:rsidR="00541E3F" w:rsidRDefault="005A0EF1">
      <w:pPr>
        <w:ind w:firstLine="708"/>
        <w:jc w:val="both"/>
        <w:rPr>
          <w:szCs w:val="28"/>
        </w:rPr>
      </w:pPr>
      <w:r>
        <w:rPr>
          <w:szCs w:val="28"/>
        </w:rPr>
        <w:t>отримувати в облікових формах підписи жінок, які повідомляють, що не перебувають</w:t>
      </w:r>
      <w:r>
        <w:rPr>
          <w:szCs w:val="28"/>
        </w:rPr>
        <w:t xml:space="preserve"> на військовому обліку та не мають медичної або фармацевтичної освіти;</w:t>
      </w:r>
    </w:p>
    <w:p w:rsidR="00541E3F" w:rsidRDefault="005A0EF1">
      <w:pPr>
        <w:ind w:firstLine="708"/>
        <w:jc w:val="both"/>
        <w:rPr>
          <w:szCs w:val="28"/>
        </w:rPr>
      </w:pPr>
      <w:r>
        <w:rPr>
          <w:szCs w:val="28"/>
        </w:rPr>
        <w:t>доводити під особистий підпис до призовників, військовозобов’язаних та резервістів Правила військового обліку.</w:t>
      </w:r>
    </w:p>
    <w:p w:rsidR="00541E3F" w:rsidRDefault="005A0EF1">
      <w:pPr>
        <w:ind w:firstLine="708"/>
        <w:jc w:val="both"/>
        <w:rPr>
          <w:szCs w:val="28"/>
        </w:rPr>
      </w:pPr>
      <w:r>
        <w:rPr>
          <w:szCs w:val="28"/>
        </w:rPr>
        <w:t>Крім цього, затверджено графік звіряння даних списків персонального військ</w:t>
      </w:r>
      <w:r>
        <w:rPr>
          <w:szCs w:val="28"/>
        </w:rPr>
        <w:t>ового обліку із записами у військово-облікових документах працівників виконавчих органів Луцької міської ради у 2025 році  (розпорядження міського голови від 24.02.2025 №10-рг «Про затвердження графіка звіряння даних списків персонального військового облік</w:t>
      </w:r>
      <w:r>
        <w:rPr>
          <w:szCs w:val="28"/>
        </w:rPr>
        <w:t xml:space="preserve">у із записами у військово-облікових документах працівників апарату  виконавчого комітету та виконавчих органів Луцької міської ради у 2025 році»), в ході якого відповідальна за ведення військового обліку призовників, військовозобов’язаних та резервістів у </w:t>
      </w:r>
      <w:proofErr w:type="spellStart"/>
      <w:r>
        <w:rPr>
          <w:szCs w:val="28"/>
        </w:rPr>
        <w:t>апараті</w:t>
      </w:r>
      <w:proofErr w:type="spellEnd"/>
      <w:r>
        <w:rPr>
          <w:szCs w:val="28"/>
        </w:rPr>
        <w:t xml:space="preserve"> виконавчого комітету та виконавчих органах Луцької міської ради проведе звіряння облікових даних списків персонального військового обліку з військово-обліковими документами та іншими документами військовозобов’язаних працівників апарату виконавчого</w:t>
      </w:r>
      <w:r>
        <w:rPr>
          <w:szCs w:val="28"/>
        </w:rPr>
        <w:t xml:space="preserve"> комітету та виконавчих органах Луцької міської ради та уточнюватиме списки персонального військового обліку для звіряння з обліковими даними документів районних (міських) територіальних центрів комплектування та соціальної підтримки, де перебувають на обл</w:t>
      </w:r>
      <w:r>
        <w:rPr>
          <w:szCs w:val="28"/>
        </w:rPr>
        <w:t>іку військовозобов’язані та резервісти.</w:t>
      </w:r>
    </w:p>
    <w:p w:rsidR="00541E3F" w:rsidRDefault="005A0EF1">
      <w:pPr>
        <w:ind w:firstLine="708"/>
        <w:jc w:val="both"/>
        <w:rPr>
          <w:szCs w:val="28"/>
        </w:rPr>
      </w:pPr>
      <w:r>
        <w:rPr>
          <w:szCs w:val="28"/>
        </w:rPr>
        <w:t xml:space="preserve">З метою виявлення жінок, які мають медичну або фармацевтичну освіту або стали на військовий облік добровільно, </w:t>
      </w:r>
      <w:proofErr w:type="spellStart"/>
      <w:r>
        <w:rPr>
          <w:szCs w:val="28"/>
        </w:rPr>
        <w:t>внесено</w:t>
      </w:r>
      <w:proofErr w:type="spellEnd"/>
      <w:r>
        <w:rPr>
          <w:szCs w:val="28"/>
        </w:rPr>
        <w:t xml:space="preserve"> зміни до бланка заяви про призначення (переведення) на посаду з відповідною </w:t>
      </w:r>
      <w:r>
        <w:rPr>
          <w:i/>
          <w:iCs/>
          <w:szCs w:val="28"/>
        </w:rPr>
        <w:t>приміткою</w:t>
      </w:r>
      <w:r>
        <w:rPr>
          <w:szCs w:val="28"/>
        </w:rPr>
        <w:t>.</w:t>
      </w:r>
    </w:p>
    <w:p w:rsidR="00541E3F" w:rsidRDefault="00541E3F">
      <w:pPr>
        <w:ind w:firstLine="708"/>
        <w:jc w:val="both"/>
        <w:rPr>
          <w:szCs w:val="28"/>
        </w:rPr>
      </w:pPr>
    </w:p>
    <w:p w:rsidR="00541E3F" w:rsidRDefault="00541E3F">
      <w:pPr>
        <w:ind w:firstLine="708"/>
        <w:jc w:val="both"/>
        <w:rPr>
          <w:szCs w:val="28"/>
        </w:rPr>
      </w:pPr>
    </w:p>
    <w:p w:rsidR="00541E3F" w:rsidRDefault="005A0EF1">
      <w:pPr>
        <w:ind w:firstLine="708"/>
        <w:jc w:val="both"/>
        <w:rPr>
          <w:szCs w:val="28"/>
        </w:rPr>
      </w:pPr>
      <w:r>
        <w:rPr>
          <w:szCs w:val="28"/>
        </w:rPr>
        <w:t>У І квар</w:t>
      </w:r>
      <w:r>
        <w:rPr>
          <w:szCs w:val="28"/>
        </w:rPr>
        <w:t>талі 2025 року:</w:t>
      </w:r>
    </w:p>
    <w:p w:rsidR="00541E3F" w:rsidRDefault="005A0EF1">
      <w:pPr>
        <w:ind w:firstLine="708"/>
        <w:jc w:val="both"/>
        <w:rPr>
          <w:szCs w:val="28"/>
        </w:rPr>
      </w:pPr>
      <w:r>
        <w:rPr>
          <w:szCs w:val="28"/>
        </w:rPr>
        <w:t>було підготовлено 45 повідомлень про зміну облікових даних (призначення, переведення, звільнення) та вносились у відповідні таблиці реквізити повідомлень про вищевказані зміни;</w:t>
      </w:r>
    </w:p>
    <w:p w:rsidR="00541E3F" w:rsidRDefault="005A0EF1">
      <w:pPr>
        <w:ind w:firstLine="708"/>
        <w:jc w:val="both"/>
        <w:rPr>
          <w:szCs w:val="28"/>
        </w:rPr>
      </w:pPr>
      <w:r>
        <w:rPr>
          <w:szCs w:val="28"/>
        </w:rPr>
        <w:t>здійснювалась перевірка ВОД при прийнятті на посаду, а також за</w:t>
      </w:r>
      <w:r>
        <w:rPr>
          <w:szCs w:val="28"/>
        </w:rPr>
        <w:t>безпечувалось ознайомлення з Правилами військового обліку;</w:t>
      </w:r>
    </w:p>
    <w:p w:rsidR="00541E3F" w:rsidRDefault="005A0EF1">
      <w:pPr>
        <w:ind w:firstLine="708"/>
        <w:jc w:val="both"/>
        <w:rPr>
          <w:szCs w:val="28"/>
        </w:rPr>
      </w:pPr>
      <w:r>
        <w:rPr>
          <w:szCs w:val="28"/>
        </w:rPr>
        <w:t xml:space="preserve">проводився контроль за військовозобов’язаними, які досягли граничного віку перебування на військовому обліку; </w:t>
      </w:r>
    </w:p>
    <w:p w:rsidR="00541E3F" w:rsidRDefault="005A0EF1">
      <w:pPr>
        <w:ind w:firstLine="708"/>
        <w:jc w:val="both"/>
        <w:rPr>
          <w:szCs w:val="28"/>
        </w:rPr>
      </w:pPr>
      <w:r>
        <w:rPr>
          <w:szCs w:val="28"/>
        </w:rPr>
        <w:t xml:space="preserve">вносились дані до списку персонального військового обліку військовозобов'язаних (резервістів) рядового, сержантського та старшинського складу;  </w:t>
      </w:r>
    </w:p>
    <w:p w:rsidR="00541E3F" w:rsidRDefault="005A0EF1">
      <w:pPr>
        <w:ind w:firstLine="709"/>
        <w:jc w:val="both"/>
        <w:rPr>
          <w:szCs w:val="28"/>
        </w:rPr>
      </w:pPr>
      <w:r>
        <w:rPr>
          <w:szCs w:val="28"/>
        </w:rPr>
        <w:t>вносились дані до списку персонального військового обліку призовників;</w:t>
      </w:r>
    </w:p>
    <w:p w:rsidR="00541E3F" w:rsidRDefault="005A0EF1">
      <w:pPr>
        <w:ind w:firstLine="709"/>
        <w:jc w:val="both"/>
        <w:rPr>
          <w:szCs w:val="28"/>
          <w:lang w:eastAsia="uk-UA"/>
        </w:rPr>
      </w:pPr>
      <w:r>
        <w:rPr>
          <w:szCs w:val="28"/>
        </w:rPr>
        <w:t>вносились дані до списку персонального в</w:t>
      </w:r>
      <w:r>
        <w:rPr>
          <w:szCs w:val="28"/>
        </w:rPr>
        <w:t xml:space="preserve">ійськового обліку військовозобов'язаних </w:t>
      </w:r>
      <w:r>
        <w:rPr>
          <w:szCs w:val="28"/>
          <w:lang w:eastAsia="uk-UA"/>
        </w:rPr>
        <w:t>(резервістів) офіцерського складу виконавчого комітету Луцької міської ради;</w:t>
      </w:r>
    </w:p>
    <w:p w:rsidR="00541E3F" w:rsidRDefault="005A0EF1">
      <w:pPr>
        <w:ind w:firstLine="709"/>
        <w:jc w:val="both"/>
        <w:rPr>
          <w:szCs w:val="28"/>
        </w:rPr>
      </w:pPr>
      <w:r>
        <w:rPr>
          <w:szCs w:val="28"/>
        </w:rPr>
        <w:t xml:space="preserve">вносились дані до списку персонального військового обліку військовозобов'язаних (резервістів) з числа жінок.  </w:t>
      </w:r>
    </w:p>
    <w:p w:rsidR="00541E3F" w:rsidRDefault="005A0EF1">
      <w:pPr>
        <w:tabs>
          <w:tab w:val="left" w:pos="570"/>
        </w:tabs>
        <w:jc w:val="both"/>
      </w:pPr>
      <w:r>
        <w:rPr>
          <w:rStyle w:val="a5"/>
          <w:b w:val="0"/>
          <w:color w:val="020202"/>
          <w:szCs w:val="28"/>
          <w:lang w:eastAsia="ru-RU"/>
        </w:rPr>
        <w:tab/>
      </w:r>
      <w:r>
        <w:rPr>
          <w:rStyle w:val="a5"/>
          <w:bCs/>
          <w:color w:val="020202"/>
          <w:szCs w:val="28"/>
          <w:lang w:eastAsia="ru-RU"/>
        </w:rPr>
        <w:t>4</w:t>
      </w:r>
      <w:r>
        <w:rPr>
          <w:b/>
          <w:color w:val="000000"/>
          <w:szCs w:val="28"/>
          <w:shd w:val="clear" w:color="auto" w:fill="FFFFFF"/>
        </w:rPr>
        <w:t xml:space="preserve">. </w:t>
      </w:r>
      <w:r>
        <w:rPr>
          <w:b/>
          <w:color w:val="000000"/>
          <w:szCs w:val="28"/>
          <w:shd w:val="clear" w:color="auto" w:fill="FFFFFF"/>
        </w:rPr>
        <w:t>Службові відрядження.</w:t>
      </w:r>
    </w:p>
    <w:p w:rsidR="00541E3F" w:rsidRDefault="005A0EF1">
      <w:pPr>
        <w:pStyle w:val="af7"/>
        <w:tabs>
          <w:tab w:val="left" w:pos="630"/>
        </w:tabs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>сі службові відрядження відбуваються відповідно Закону України від 01.07.2022 № 2352-IX «Про внесення змін до деяких законодавчих актів України щодо оптимізації трудових відносин», Указу Президента України від 23.01.2023 № 27/2023 «Про рішення Ради націона</w:t>
      </w:r>
      <w:r>
        <w:rPr>
          <w:rFonts w:ascii="Times New Roman" w:hAnsi="Times New Roman" w:cs="Times New Roman"/>
          <w:color w:val="000000"/>
          <w:sz w:val="28"/>
          <w:szCs w:val="28"/>
        </w:rPr>
        <w:t>льної безпеки і оборони України від 23 січня 2023 року «Про деякі питання щодо перетину державного кордону України в умовах воєнного стану», постанови Кабінету Міністрів України від 27.01.1995 № 57 «Про затвердження Правил перетинання державного кордону гр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омадянами України», зі змінами, Інструкції про службові відрядження в межах України та за кордон, затвердженої Міністерством фінансів України від 13.03.1998 № 59, Регламенту роботи виконавчого комітету та виконавчих органів Луцької міської ради. </w:t>
      </w:r>
    </w:p>
    <w:p w:rsidR="00541E3F" w:rsidRDefault="005A0EF1">
      <w:pPr>
        <w:pStyle w:val="af7"/>
        <w:tabs>
          <w:tab w:val="left" w:pos="630"/>
        </w:tabs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Протягом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звітного періоду було підготовлено 35 розпоряджень міського голови про направлення працівників виконавчих органів міської ради у відрядження, з них 28 розпоряджень про відрядження в межах України та                  7 - за кордон. </w:t>
      </w:r>
    </w:p>
    <w:p w:rsidR="00541E3F" w:rsidRDefault="005A0EF1">
      <w:pPr>
        <w:pStyle w:val="af7"/>
        <w:tabs>
          <w:tab w:val="left" w:pos="6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Міським головою було 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дійснено 4 службових відрядження, які мали важливе значення для розвитку громади, зокрема:  участь у зустрічі з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Віцепрем’єр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-міністром з відновлення України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Кулебою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Олексієм; заходах у межах Українського тижня, організованих за підтримки Палати представникі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Конгресу та Сенату Сполучених Штатів та </w:t>
      </w:r>
      <w:r>
        <w:rPr>
          <w:rFonts w:ascii="Times New Roman" w:hAnsi="Times New Roman" w:cs="Times New Roman"/>
          <w:color w:val="080809"/>
          <w:sz w:val="28"/>
          <w:szCs w:val="28"/>
        </w:rPr>
        <w:t>підписання Меморандуму про співпрацю з містом Кент, штат Вашингтон (Сполучені Штати Америки);   заходах з нагоди підписання Договору про грант Луцькою міською радою та Північною екологічною фінансовою корпорацією (</w:t>
      </w:r>
      <w:r>
        <w:rPr>
          <w:rFonts w:ascii="Times New Roman" w:hAnsi="Times New Roman" w:cs="Times New Roman"/>
          <w:color w:val="080809"/>
          <w:sz w:val="28"/>
          <w:szCs w:val="28"/>
        </w:rPr>
        <w:t xml:space="preserve">НЕФКО) для реалізації </w:t>
      </w:r>
      <w:proofErr w:type="spellStart"/>
      <w:r>
        <w:rPr>
          <w:rFonts w:ascii="Times New Roman" w:hAnsi="Times New Roman" w:cs="Times New Roman"/>
          <w:color w:val="080809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color w:val="080809"/>
          <w:sz w:val="28"/>
          <w:szCs w:val="28"/>
        </w:rPr>
        <w:t xml:space="preserve"> «Реконструкція каналізаційних насосних станцій та встановлення сонячних електричних панелей у місті Луцьк» у межах Програми Зеленого Відновлення України НЕФКО. Окрім того,  здійснено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передачу матеріальних цінностей військовим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частинам Збройних сил України та іншим військовим формуванням розташованим на сході України.  </w:t>
      </w:r>
    </w:p>
    <w:p w:rsidR="00541E3F" w:rsidRDefault="005A0EF1">
      <w:pPr>
        <w:tabs>
          <w:tab w:val="left" w:pos="630"/>
        </w:tabs>
        <w:jc w:val="both"/>
        <w:rPr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  <w:shd w:val="clear" w:color="auto" w:fill="FFFFFF"/>
        </w:rPr>
        <w:t xml:space="preserve">За результатами службових </w:t>
      </w:r>
      <w:proofErr w:type="spellStart"/>
      <w:r>
        <w:rPr>
          <w:color w:val="000000"/>
          <w:szCs w:val="28"/>
          <w:shd w:val="clear" w:color="auto" w:fill="FFFFFF"/>
        </w:rPr>
        <w:t>відряджень</w:t>
      </w:r>
      <w:proofErr w:type="spellEnd"/>
      <w:r>
        <w:rPr>
          <w:color w:val="000000"/>
          <w:szCs w:val="28"/>
          <w:shd w:val="clear" w:color="auto" w:fill="FFFFFF"/>
        </w:rPr>
        <w:t xml:space="preserve"> працівники виконавчих органів міської ради взяли участь у Форумах </w:t>
      </w:r>
      <w:proofErr w:type="spellStart"/>
      <w:r>
        <w:rPr>
          <w:color w:val="000000"/>
          <w:szCs w:val="28"/>
          <w:shd w:val="clear" w:color="auto" w:fill="FFFFFF"/>
        </w:rPr>
        <w:t>рекрутерів</w:t>
      </w:r>
      <w:proofErr w:type="spellEnd"/>
      <w:r>
        <w:rPr>
          <w:color w:val="000000"/>
          <w:szCs w:val="28"/>
          <w:shd w:val="clear" w:color="auto" w:fill="FFFFFF"/>
        </w:rPr>
        <w:t xml:space="preserve"> до сил оборони України,  </w:t>
      </w:r>
      <w:r>
        <w:rPr>
          <w:color w:val="050505"/>
          <w:szCs w:val="28"/>
          <w:shd w:val="clear" w:color="auto" w:fill="FFFFFF"/>
        </w:rPr>
        <w:t xml:space="preserve"> Креативних Індустрій (</w:t>
      </w:r>
      <w:proofErr w:type="spellStart"/>
      <w:r>
        <w:rPr>
          <w:color w:val="050505"/>
          <w:szCs w:val="28"/>
          <w:shd w:val="clear" w:color="auto" w:fill="FFFFFF"/>
        </w:rPr>
        <w:t>Промприлад</w:t>
      </w:r>
      <w:proofErr w:type="spellEnd"/>
      <w:r>
        <w:rPr>
          <w:color w:val="050505"/>
          <w:szCs w:val="28"/>
          <w:shd w:val="clear" w:color="auto" w:fill="FFFFFF"/>
        </w:rPr>
        <w:t>. Реновація),  «Енергоефективність: шлях до енергетичної безпеки та відновлення».</w:t>
      </w:r>
    </w:p>
    <w:p w:rsidR="00541E3F" w:rsidRDefault="005A0EF1">
      <w:pPr>
        <w:tabs>
          <w:tab w:val="left" w:pos="630"/>
        </w:tabs>
        <w:jc w:val="both"/>
        <w:rPr>
          <w:szCs w:val="28"/>
        </w:rPr>
      </w:pPr>
      <w:r>
        <w:rPr>
          <w:color w:val="050505"/>
          <w:szCs w:val="28"/>
          <w:shd w:val="clear" w:color="auto" w:fill="FFFFFF"/>
        </w:rPr>
        <w:tab/>
      </w:r>
      <w:r>
        <w:rPr>
          <w:color w:val="050505"/>
          <w:szCs w:val="28"/>
          <w:shd w:val="clear" w:color="auto" w:fill="FFFFFF"/>
        </w:rPr>
        <w:t xml:space="preserve">У межах закордонних </w:t>
      </w:r>
      <w:proofErr w:type="spellStart"/>
      <w:r>
        <w:rPr>
          <w:color w:val="050505"/>
          <w:szCs w:val="28"/>
          <w:shd w:val="clear" w:color="auto" w:fill="FFFFFF"/>
        </w:rPr>
        <w:t>відряджень</w:t>
      </w:r>
      <w:proofErr w:type="spellEnd"/>
      <w:r>
        <w:rPr>
          <w:color w:val="050505"/>
          <w:szCs w:val="28"/>
          <w:shd w:val="clear" w:color="auto" w:fill="FFFFFF"/>
        </w:rPr>
        <w:t xml:space="preserve"> працівники виконавчих органів міської ради долучилися до меморіальних заходів приурочених 80-й річниці бомбардування </w:t>
      </w:r>
      <w:proofErr w:type="spellStart"/>
      <w:r>
        <w:rPr>
          <w:color w:val="050505"/>
          <w:szCs w:val="28"/>
          <w:shd w:val="clear" w:color="auto" w:fill="FFFFFF"/>
        </w:rPr>
        <w:t>Вюрцбурга</w:t>
      </w:r>
      <w:proofErr w:type="spellEnd"/>
      <w:r>
        <w:rPr>
          <w:color w:val="050505"/>
          <w:szCs w:val="28"/>
          <w:shd w:val="clear" w:color="auto" w:fill="FFFFFF"/>
        </w:rPr>
        <w:t>, а також взяли участь у робочих зустрічах з представниками Адміністрації міста, депутатами ради м.</w:t>
      </w:r>
      <w:r>
        <w:rPr>
          <w:color w:val="050505"/>
          <w:szCs w:val="28"/>
          <w:shd w:val="clear" w:color="auto" w:fill="FFFFFF"/>
        </w:rPr>
        <w:t xml:space="preserve"> </w:t>
      </w:r>
      <w:proofErr w:type="spellStart"/>
      <w:r>
        <w:rPr>
          <w:color w:val="050505"/>
          <w:szCs w:val="28"/>
          <w:shd w:val="clear" w:color="auto" w:fill="FFFFFF"/>
        </w:rPr>
        <w:t>Вюрцбург</w:t>
      </w:r>
      <w:proofErr w:type="spellEnd"/>
      <w:r>
        <w:rPr>
          <w:color w:val="050505"/>
          <w:szCs w:val="28"/>
          <w:shd w:val="clear" w:color="auto" w:fill="FFFFFF"/>
        </w:rPr>
        <w:t xml:space="preserve"> із метою обговорення поглиблення співробітництва з Луцькою міською територіальною громадою.  </w:t>
      </w:r>
    </w:p>
    <w:p w:rsidR="00541E3F" w:rsidRDefault="005A0EF1">
      <w:pPr>
        <w:tabs>
          <w:tab w:val="left" w:pos="630"/>
        </w:tabs>
        <w:jc w:val="both"/>
        <w:rPr>
          <w:szCs w:val="28"/>
        </w:rPr>
      </w:pPr>
      <w:r>
        <w:rPr>
          <w:color w:val="050505"/>
          <w:szCs w:val="28"/>
          <w:shd w:val="clear" w:color="auto" w:fill="FFFFFF"/>
        </w:rPr>
        <w:tab/>
        <w:t xml:space="preserve">Відбулося ряд службових </w:t>
      </w:r>
      <w:proofErr w:type="spellStart"/>
      <w:r>
        <w:rPr>
          <w:color w:val="050505"/>
          <w:szCs w:val="28"/>
          <w:shd w:val="clear" w:color="auto" w:fill="FFFFFF"/>
        </w:rPr>
        <w:t>відряджень</w:t>
      </w:r>
      <w:proofErr w:type="spellEnd"/>
      <w:r>
        <w:rPr>
          <w:color w:val="050505"/>
          <w:szCs w:val="28"/>
          <w:shd w:val="clear" w:color="auto" w:fill="FFFFFF"/>
        </w:rPr>
        <w:t xml:space="preserve"> спрямованих на обмін досвідом, зокрема: щодо кращих соціальних практик, реалізації ветеранської політики, надання ад</w:t>
      </w:r>
      <w:r>
        <w:rPr>
          <w:color w:val="050505"/>
          <w:szCs w:val="28"/>
          <w:shd w:val="clear" w:color="auto" w:fill="FFFFFF"/>
        </w:rPr>
        <w:t xml:space="preserve">міністративних послуг. А також щодо зміцнення співпраці між прифронтовими громадами форпостами та тиловими громадами-партнерами в межах національного </w:t>
      </w:r>
      <w:proofErr w:type="spellStart"/>
      <w:r>
        <w:rPr>
          <w:color w:val="050505"/>
          <w:szCs w:val="28"/>
          <w:shd w:val="clear" w:color="auto" w:fill="FFFFFF"/>
        </w:rPr>
        <w:t>проєкту</w:t>
      </w:r>
      <w:proofErr w:type="spellEnd"/>
      <w:r>
        <w:rPr>
          <w:color w:val="050505"/>
          <w:szCs w:val="28"/>
          <w:shd w:val="clear" w:color="auto" w:fill="FFFFFF"/>
        </w:rPr>
        <w:t xml:space="preserve"> «Пліч-о-пліч: Згуртовані громади». </w:t>
      </w:r>
    </w:p>
    <w:p w:rsidR="00541E3F" w:rsidRDefault="005A0EF1">
      <w:pPr>
        <w:tabs>
          <w:tab w:val="left" w:pos="630"/>
        </w:tabs>
        <w:jc w:val="both"/>
        <w:rPr>
          <w:szCs w:val="28"/>
        </w:rPr>
      </w:pPr>
      <w:r>
        <w:rPr>
          <w:color w:val="050505"/>
          <w:szCs w:val="28"/>
          <w:shd w:val="clear" w:color="auto" w:fill="FFFFFF"/>
        </w:rPr>
        <w:t xml:space="preserve"> </w:t>
      </w:r>
      <w:r>
        <w:rPr>
          <w:color w:val="050505"/>
          <w:szCs w:val="28"/>
          <w:shd w:val="clear" w:color="auto" w:fill="FFFFFF"/>
        </w:rPr>
        <w:tab/>
        <w:t>Окрім того, службові відрядження працівників були з метою уч</w:t>
      </w:r>
      <w:r>
        <w:rPr>
          <w:color w:val="050505"/>
          <w:szCs w:val="28"/>
          <w:shd w:val="clear" w:color="auto" w:fill="FFFFFF"/>
        </w:rPr>
        <w:t xml:space="preserve">асті  у тренінгах «Публічні закупівлі у 2025 році, нові можливості та практики», «Управління публічними фінансами в інтересах дітей та його роль у відновленні на місцевому рівні»; семінарі з раннього втручання «Досвід забезпечення сталості надання послуги </w:t>
      </w:r>
      <w:r>
        <w:rPr>
          <w:color w:val="050505"/>
          <w:szCs w:val="28"/>
          <w:shd w:val="clear" w:color="auto" w:fill="FFFFFF"/>
        </w:rPr>
        <w:t xml:space="preserve">раннього втручання в громаді»;  навчальній програмі з розвитку спроможності цільових муніципалітетів для управління стійкими результатами, яка розроблена Асоціацією міст України спільно з ПРООН;  навчальному візиті у межах </w:t>
      </w:r>
      <w:proofErr w:type="spellStart"/>
      <w:r>
        <w:rPr>
          <w:color w:val="050505"/>
          <w:szCs w:val="28"/>
          <w:shd w:val="clear" w:color="auto" w:fill="FFFFFF"/>
        </w:rPr>
        <w:t>проєкту</w:t>
      </w:r>
      <w:proofErr w:type="spellEnd"/>
      <w:r>
        <w:rPr>
          <w:color w:val="050505"/>
          <w:szCs w:val="28"/>
          <w:shd w:val="clear" w:color="auto" w:fill="FFFFFF"/>
        </w:rPr>
        <w:t xml:space="preserve"> «</w:t>
      </w:r>
      <w:proofErr w:type="spellStart"/>
      <w:r>
        <w:rPr>
          <w:color w:val="050505"/>
          <w:szCs w:val="28"/>
          <w:shd w:val="clear" w:color="auto" w:fill="FFFFFF"/>
        </w:rPr>
        <w:t>Together</w:t>
      </w:r>
      <w:proofErr w:type="spellEnd"/>
      <w:r>
        <w:rPr>
          <w:color w:val="050505"/>
          <w:szCs w:val="28"/>
          <w:shd w:val="clear" w:color="auto" w:fill="FFFFFF"/>
        </w:rPr>
        <w:t xml:space="preserve"> </w:t>
      </w:r>
      <w:proofErr w:type="spellStart"/>
      <w:r>
        <w:rPr>
          <w:color w:val="050505"/>
          <w:szCs w:val="28"/>
          <w:shd w:val="clear" w:color="auto" w:fill="FFFFFF"/>
        </w:rPr>
        <w:t>for</w:t>
      </w:r>
      <w:proofErr w:type="spellEnd"/>
      <w:r>
        <w:rPr>
          <w:color w:val="050505"/>
          <w:szCs w:val="28"/>
          <w:shd w:val="clear" w:color="auto" w:fill="FFFFFF"/>
        </w:rPr>
        <w:t xml:space="preserve"> </w:t>
      </w:r>
      <w:proofErr w:type="spellStart"/>
      <w:r>
        <w:rPr>
          <w:color w:val="050505"/>
          <w:szCs w:val="28"/>
          <w:shd w:val="clear" w:color="auto" w:fill="FFFFFF"/>
        </w:rPr>
        <w:t>Europe</w:t>
      </w:r>
      <w:proofErr w:type="spellEnd"/>
      <w:r>
        <w:rPr>
          <w:color w:val="050505"/>
          <w:szCs w:val="28"/>
          <w:shd w:val="clear" w:color="auto" w:fill="FFFFFF"/>
        </w:rPr>
        <w:t>», що</w:t>
      </w:r>
      <w:r>
        <w:rPr>
          <w:color w:val="050505"/>
          <w:szCs w:val="28"/>
          <w:shd w:val="clear" w:color="auto" w:fill="FFFFFF"/>
        </w:rPr>
        <w:t xml:space="preserve"> реалізується Центром Жана Моне при Європейському центрі Люблінського університету Марії Кюрі-</w:t>
      </w:r>
      <w:proofErr w:type="spellStart"/>
      <w:r>
        <w:rPr>
          <w:color w:val="050505"/>
          <w:szCs w:val="28"/>
          <w:shd w:val="clear" w:color="auto" w:fill="FFFFFF"/>
        </w:rPr>
        <w:t>Склодовської</w:t>
      </w:r>
      <w:proofErr w:type="spellEnd"/>
      <w:r>
        <w:rPr>
          <w:color w:val="050505"/>
          <w:szCs w:val="28"/>
          <w:shd w:val="clear" w:color="auto" w:fill="FFFFFF"/>
        </w:rPr>
        <w:t xml:space="preserve">; </w:t>
      </w:r>
      <w:proofErr w:type="spellStart"/>
      <w:r>
        <w:rPr>
          <w:color w:val="050505"/>
          <w:szCs w:val="28"/>
          <w:shd w:val="clear" w:color="auto" w:fill="FFFFFF"/>
        </w:rPr>
        <w:t>воркшопі</w:t>
      </w:r>
      <w:proofErr w:type="spellEnd"/>
      <w:r>
        <w:rPr>
          <w:color w:val="050505"/>
          <w:szCs w:val="28"/>
          <w:shd w:val="clear" w:color="auto" w:fill="FFFFFF"/>
        </w:rPr>
        <w:t xml:space="preserve"> із захисту культурної спадщини «Спадок: як зберегти і не нашкодити?».</w:t>
      </w:r>
    </w:p>
    <w:p w:rsidR="00541E3F" w:rsidRDefault="005A0EF1">
      <w:pPr>
        <w:pStyle w:val="af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Також п</w:t>
      </w:r>
      <w:r>
        <w:rPr>
          <w:rFonts w:ascii="Times New Roman" w:hAnsi="Times New Roman" w:cs="Times New Roman"/>
          <w:color w:val="000000"/>
          <w:sz w:val="28"/>
          <w:szCs w:val="28"/>
        </w:rPr>
        <w:t>рацівники виконавчих органів міської ради брали участь у судов</w:t>
      </w:r>
      <w:r>
        <w:rPr>
          <w:rFonts w:ascii="Times New Roman" w:hAnsi="Times New Roman" w:cs="Times New Roman"/>
          <w:color w:val="000000"/>
          <w:sz w:val="28"/>
          <w:szCs w:val="28"/>
        </w:rPr>
        <w:t>их засіданнях.</w:t>
      </w:r>
    </w:p>
    <w:p w:rsidR="00541E3F" w:rsidRDefault="005A0EF1">
      <w:pPr>
        <w:pStyle w:val="western"/>
        <w:spacing w:before="0" w:after="0" w:line="240" w:lineRule="auto"/>
        <w:ind w:firstLine="539"/>
        <w:jc w:val="both"/>
        <w:rPr>
          <w:rFonts w:ascii="Times New Roman" w:hAnsi="Times New Roman" w:cs="Times New Roman"/>
          <w:b/>
          <w:color w:val="050505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</w:rPr>
        <w:t>5. Організація  роботи з молоддю, що навчається або закінчує вищі навчальні заклади, для проходження стажування та виробничої практики у виконавчих органах міської ради.</w:t>
      </w:r>
    </w:p>
    <w:p w:rsidR="00541E3F" w:rsidRDefault="005A0EF1">
      <w:pPr>
        <w:pStyle w:val="af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укладених договорів про проведення практики здобувачів ви</w:t>
      </w:r>
      <w:r>
        <w:rPr>
          <w:rFonts w:ascii="Times New Roman" w:hAnsi="Times New Roman" w:cs="Times New Roman"/>
          <w:sz w:val="28"/>
          <w:szCs w:val="28"/>
        </w:rPr>
        <w:t xml:space="preserve">щої освіти на 2024-2025 навчальний рік проведено навчальну практику для 75 здобувачів вищої освіти Волинського національного університету імені Лесі Українки, Національного університету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sz w:val="28"/>
          <w:szCs w:val="28"/>
        </w:rPr>
        <w:t>Острозька академія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Луцького національного технічного університету. </w:t>
      </w:r>
      <w:r>
        <w:rPr>
          <w:rFonts w:ascii="Times New Roman" w:hAnsi="Times New Roman" w:cs="Times New Roman"/>
          <w:sz w:val="28"/>
          <w:szCs w:val="28"/>
        </w:rPr>
        <w:t xml:space="preserve">Практика відбувалася у юридичному департаменті, департаментах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sz w:val="28"/>
          <w:szCs w:val="28"/>
        </w:rPr>
        <w:t>Центр надання адміністративних у місті Луцьку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державної реєстрації, фінансів, бюджету та аудиту, економічної політики, </w:t>
      </w:r>
      <w:r>
        <w:rPr>
          <w:rFonts w:ascii="Times New Roman" w:hAnsi="Times New Roman" w:cs="Times New Roman"/>
          <w:sz w:val="28"/>
          <w:szCs w:val="28"/>
        </w:rPr>
        <w:t xml:space="preserve"> житлово-комунального господарства, соціальної політики,  з питань ветер</w:t>
      </w:r>
      <w:r>
        <w:rPr>
          <w:rFonts w:ascii="Times New Roman" w:hAnsi="Times New Roman" w:cs="Times New Roman"/>
          <w:sz w:val="28"/>
          <w:szCs w:val="28"/>
        </w:rPr>
        <w:t>анської політики, освіти, управліннях персоналу, соціальних служб для сім'ї, дітей та молоді, інформаційно-комунікаційних технологій,  міжнародного співробітництва та проектної діяльності, відділах секретаріату, з питань надзвичайних ситуацій та цивільного</w:t>
      </w:r>
      <w:r>
        <w:rPr>
          <w:rFonts w:ascii="Times New Roman" w:hAnsi="Times New Roman" w:cs="Times New Roman"/>
          <w:sz w:val="28"/>
          <w:szCs w:val="28"/>
        </w:rPr>
        <w:t xml:space="preserve"> захисту населення, архівному, службі у справах дітей міської ради. </w:t>
      </w:r>
    </w:p>
    <w:p w:rsidR="00541E3F" w:rsidRDefault="005A0EF1">
      <w:pPr>
        <w:pStyle w:val="af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Упродовж звітного періоду було укладено 4 додаткові угоди до договорів про проведення практики здобувачів вищої освіти Волинського національного університету імені Лесі Українки та Націон</w:t>
      </w:r>
      <w:r>
        <w:rPr>
          <w:rFonts w:ascii="Times New Roman" w:hAnsi="Times New Roman" w:cs="Times New Roman"/>
          <w:sz w:val="28"/>
          <w:szCs w:val="28"/>
        </w:rPr>
        <w:t xml:space="preserve">ального університету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sz w:val="28"/>
          <w:szCs w:val="28"/>
        </w:rPr>
        <w:t>Острозька академія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».</w:t>
      </w:r>
    </w:p>
    <w:p w:rsidR="00541E3F" w:rsidRDefault="005A0EF1">
      <w:pPr>
        <w:pStyle w:val="af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Загалом під час практики здобувачі вищої освіти ознайомилися із засадами управлінської діяльності, опрацьовували нормативно-правові акти, положення про виконавчі органи та посадові інструкції посадових осіб, Регла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ментом роботи виконавчого комітету та виконавчих органів Луцької міської ради тощо. </w:t>
      </w:r>
    </w:p>
    <w:p w:rsidR="00541E3F" w:rsidRDefault="005A0EF1">
      <w:pPr>
        <w:pStyle w:val="western"/>
        <w:spacing w:before="0" w:after="0" w:line="240" w:lineRule="auto"/>
        <w:ind w:firstLine="539"/>
        <w:jc w:val="both"/>
        <w:rPr>
          <w:rFonts w:ascii="Times New Roman" w:hAnsi="Times New Roman" w:cs="Times New Roman"/>
          <w:b/>
          <w:color w:val="050505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</w:rPr>
        <w:t>6. Підготовка матеріалів та надання пропозицій міському голові щодо заохочення та нагородження працівників.</w:t>
      </w:r>
    </w:p>
    <w:p w:rsidR="00541E3F" w:rsidRDefault="005A0EF1">
      <w:pPr>
        <w:pStyle w:val="af7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</w:t>
      </w:r>
      <w:r>
        <w:rPr>
          <w:rFonts w:ascii="Times New Roman" w:hAnsi="Times New Roman" w:cs="Times New Roman"/>
          <w:sz w:val="28"/>
          <w:szCs w:val="28"/>
        </w:rPr>
        <w:t xml:space="preserve">рішення Луцької міської ради </w:t>
      </w:r>
      <w:r>
        <w:rPr>
          <w:rFonts w:ascii="Times New Roman" w:hAnsi="Times New Roman" w:cs="Times New Roman"/>
          <w:sz w:val="28"/>
          <w:szCs w:val="28"/>
          <w:lang w:bidi="ar-SA"/>
        </w:rPr>
        <w:t>від 22.12.2021 № 24/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119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bidi="ar-SA"/>
        </w:rPr>
        <w:t>«</w:t>
      </w:r>
      <w:r>
        <w:rPr>
          <w:rFonts w:ascii="Times New Roman" w:hAnsi="Times New Roman" w:cs="Times New Roman"/>
          <w:sz w:val="28"/>
          <w:szCs w:val="28"/>
          <w:lang w:bidi="ar-SA"/>
        </w:rPr>
        <w:t>Про затвердження Програми розвитку культури Луцької міської територіальної громади на 2022-2025 роки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bidi="ar-SA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та Положення про відзнаки міського голови, затвердженого  розпорядженням  міського  голови  від  01.06.2021 №111-ра,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бездоганну працю, високі </w:t>
      </w:r>
      <w:r>
        <w:rPr>
          <w:rFonts w:ascii="Times New Roman" w:hAnsi="Times New Roman" w:cs="Times New Roman"/>
          <w:color w:val="000000"/>
          <w:sz w:val="28"/>
          <w:szCs w:val="28"/>
        </w:rPr>
        <w:t>трудові досягнення, професійну майстерність, успіхи в реалізації програм економічного та соціального розвитку Луцької міської територіальної громади, активну благодійну, громадську та політичну діяльність, роботу з виховання підростаючого покоління, значни</w:t>
      </w:r>
      <w:r>
        <w:rPr>
          <w:rFonts w:ascii="Times New Roman" w:hAnsi="Times New Roman" w:cs="Times New Roman"/>
          <w:color w:val="000000"/>
          <w:sz w:val="28"/>
          <w:szCs w:val="28"/>
        </w:rPr>
        <w:t>й внесок у розвиток культури, мистецтва, науки, освіти, спорту та охорони здоров’я, місцевого самоврядування,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міжнародного співробітництва, за мужність і відвагу, виявлені при порятунку людей та матеріальних цінностей, забезпечення законності, прав і свобо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 громадян, розвиток Луцької міської територіальної громади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протягом звітного періоду управлінням підготовлено 122 відзнаки, для нагородження осіб та колективів підприємств і організацій міста різних форм власності.</w:t>
      </w:r>
    </w:p>
    <w:p w:rsidR="00541E3F" w:rsidRDefault="005A0EF1">
      <w:pPr>
        <w:pStyle w:val="af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саме:</w:t>
      </w:r>
    </w:p>
    <w:p w:rsidR="00541E3F" w:rsidRDefault="005A0EF1">
      <w:pPr>
        <w:pStyle w:val="af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108 Подяки міського голови особа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та колективам;</w:t>
      </w:r>
    </w:p>
    <w:p w:rsidR="00541E3F" w:rsidRDefault="005A0EF1">
      <w:pPr>
        <w:pStyle w:val="af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 Почесні грамоти міського голови;</w:t>
      </w:r>
    </w:p>
    <w:p w:rsidR="00541E3F" w:rsidRDefault="005A0EF1">
      <w:pPr>
        <w:pStyle w:val="af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1 Почесна грамота міської ради.</w:t>
      </w:r>
    </w:p>
    <w:p w:rsidR="00541E3F" w:rsidRDefault="005A0EF1">
      <w:pPr>
        <w:pStyle w:val="af7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Окрім того, проведена робота щодо закупівлі нагородних матеріалів.</w:t>
      </w:r>
    </w:p>
    <w:p w:rsidR="00541E3F" w:rsidRDefault="005A0EF1">
      <w:pPr>
        <w:tabs>
          <w:tab w:val="left" w:pos="630"/>
          <w:tab w:val="left" w:pos="8850"/>
        </w:tabs>
        <w:ind w:right="-170"/>
        <w:jc w:val="both"/>
        <w:rPr>
          <w:b/>
          <w:color w:val="000000"/>
          <w:szCs w:val="28"/>
          <w:highlight w:val="white"/>
        </w:rPr>
      </w:pPr>
      <w:r>
        <w:rPr>
          <w:b/>
          <w:color w:val="000000"/>
          <w:szCs w:val="28"/>
          <w:shd w:val="clear" w:color="auto" w:fill="FFFFFF"/>
        </w:rPr>
        <w:tab/>
        <w:t>7. Робота з питань запобігання та виявлення корупції</w:t>
      </w:r>
    </w:p>
    <w:p w:rsidR="00541E3F" w:rsidRDefault="005A0EF1">
      <w:pPr>
        <w:tabs>
          <w:tab w:val="left" w:pos="625"/>
        </w:tabs>
        <w:ind w:firstLine="567"/>
        <w:jc w:val="both"/>
      </w:pPr>
      <w:r>
        <w:rPr>
          <w:bCs w:val="0"/>
          <w:color w:val="000000"/>
          <w:szCs w:val="28"/>
        </w:rPr>
        <w:t>Працівником відділу з питань запобігання та виявл</w:t>
      </w:r>
      <w:r>
        <w:rPr>
          <w:bCs w:val="0"/>
          <w:color w:val="000000"/>
          <w:szCs w:val="28"/>
        </w:rPr>
        <w:t xml:space="preserve">ення корупції </w:t>
      </w:r>
      <w:r>
        <w:rPr>
          <w:bCs w:val="0"/>
          <w:szCs w:val="28"/>
        </w:rPr>
        <w:t>управління персоналу</w:t>
      </w:r>
      <w:r>
        <w:rPr>
          <w:bCs w:val="0"/>
          <w:color w:val="000000"/>
          <w:szCs w:val="28"/>
        </w:rPr>
        <w:t xml:space="preserve"> Луцької міської ради </w:t>
      </w:r>
      <w:r>
        <w:rPr>
          <w:bCs w:val="0"/>
          <w:szCs w:val="28"/>
        </w:rPr>
        <w:t>надавались</w:t>
      </w:r>
      <w:r>
        <w:rPr>
          <w:bCs w:val="0"/>
          <w:color w:val="000000"/>
          <w:szCs w:val="28"/>
        </w:rPr>
        <w:t xml:space="preserve"> усні та письмові консультації щодо застосування антикорупційного законодавства </w:t>
      </w:r>
      <w:bookmarkStart w:id="0" w:name="__DdeLink__3230_1907269227"/>
      <w:r>
        <w:rPr>
          <w:bCs w:val="0"/>
          <w:color w:val="000000"/>
          <w:szCs w:val="28"/>
        </w:rPr>
        <w:t>працівникам виконавчих органів міської ради, депутатам міської ради, посадовим особам підприємств, організацій</w:t>
      </w:r>
      <w:r>
        <w:rPr>
          <w:bCs w:val="0"/>
          <w:color w:val="000000"/>
          <w:szCs w:val="28"/>
        </w:rPr>
        <w:t xml:space="preserve"> (установ, закладів), що належать до комунальної власності міської територіальної громади</w:t>
      </w:r>
      <w:bookmarkEnd w:id="0"/>
      <w:r>
        <w:rPr>
          <w:bCs w:val="0"/>
          <w:color w:val="000000"/>
          <w:szCs w:val="28"/>
        </w:rPr>
        <w:t>.</w:t>
      </w:r>
    </w:p>
    <w:p w:rsidR="00541E3F" w:rsidRDefault="005A0EF1">
      <w:pPr>
        <w:tabs>
          <w:tab w:val="left" w:pos="567"/>
        </w:tabs>
        <w:ind w:firstLine="567"/>
        <w:jc w:val="both"/>
      </w:pPr>
      <w:r>
        <w:rPr>
          <w:rStyle w:val="a5"/>
          <w:rFonts w:ascii="Times New Roman CYR" w:hAnsi="Times New Roman CYR"/>
          <w:b w:val="0"/>
          <w:color w:val="000000"/>
          <w:kern w:val="2"/>
          <w:szCs w:val="28"/>
          <w:shd w:val="clear" w:color="auto" w:fill="FFFFFF"/>
          <w:lang w:eastAsia="ar-SA"/>
        </w:rPr>
        <w:t>З метою належної організації подання щорічної декларації особи, уповноваженої на виконання функцій держави або місцевого самоврядування</w:t>
      </w:r>
      <w:r>
        <w:rPr>
          <w:rStyle w:val="a5"/>
          <w:rFonts w:ascii="Times New Roman CYR" w:hAnsi="Times New Roman CYR"/>
          <w:b w:val="0"/>
          <w:color w:val="000000"/>
          <w:kern w:val="2"/>
          <w:szCs w:val="28"/>
          <w:shd w:val="clear" w:color="auto" w:fill="FFFFFF"/>
          <w:lang w:eastAsia="ar-SA"/>
        </w:rPr>
        <w:t xml:space="preserve">  проведено роз'яснювальну роботу серед працівників виконавчих органів міської ради. Окрім того, працівники виконавчих органів пройшли </w:t>
      </w:r>
      <w:r>
        <w:rPr>
          <w:rStyle w:val="a5"/>
          <w:rFonts w:ascii="Times New Roman CYR" w:hAnsi="Times New Roman CYR"/>
          <w:b w:val="0"/>
          <w:color w:val="050505"/>
          <w:kern w:val="2"/>
          <w:szCs w:val="28"/>
          <w:shd w:val="clear" w:color="auto" w:fill="FFFFFF"/>
          <w:lang w:eastAsia="ar-SA"/>
        </w:rPr>
        <w:t xml:space="preserve">навчання за короткостроковою програмою </w:t>
      </w:r>
      <w:r>
        <w:rPr>
          <w:rStyle w:val="a5"/>
          <w:rFonts w:ascii="Times New Roman CYR" w:hAnsi="Times New Roman CYR"/>
          <w:b w:val="0"/>
          <w:color w:val="000000"/>
          <w:kern w:val="2"/>
          <w:szCs w:val="28"/>
          <w:shd w:val="clear" w:color="auto" w:fill="FFFFFF"/>
          <w:lang w:eastAsia="ar-SA"/>
        </w:rPr>
        <w:t>щодо електронного декларування організованого Волинським регіональним центром підв</w:t>
      </w:r>
      <w:r>
        <w:rPr>
          <w:rStyle w:val="a5"/>
          <w:rFonts w:ascii="Times New Roman CYR" w:hAnsi="Times New Roman CYR"/>
          <w:b w:val="0"/>
          <w:color w:val="000000"/>
          <w:kern w:val="2"/>
          <w:szCs w:val="28"/>
          <w:shd w:val="clear" w:color="auto" w:fill="FFFFFF"/>
          <w:lang w:eastAsia="ar-SA"/>
        </w:rPr>
        <w:t>ищення кваліфікації</w:t>
      </w:r>
      <w:r>
        <w:rPr>
          <w:rStyle w:val="a5"/>
          <w:rFonts w:ascii="Times New Roman CYR" w:hAnsi="Times New Roman CYR"/>
          <w:b w:val="0"/>
          <w:kern w:val="2"/>
          <w:szCs w:val="28"/>
          <w:shd w:val="clear" w:color="auto" w:fill="FFFFFF"/>
          <w:lang w:eastAsia="ar-SA"/>
        </w:rPr>
        <w:t>.</w:t>
      </w:r>
    </w:p>
    <w:p w:rsidR="00541E3F" w:rsidRDefault="005A0EF1">
      <w:pPr>
        <w:tabs>
          <w:tab w:val="left" w:pos="567"/>
        </w:tabs>
        <w:ind w:firstLine="567"/>
        <w:jc w:val="both"/>
      </w:pPr>
      <w:r>
        <w:rPr>
          <w:bCs w:val="0"/>
          <w:color w:val="000000"/>
          <w:szCs w:val="28"/>
        </w:rPr>
        <w:t xml:space="preserve">На виконання положень Закону України </w:t>
      </w:r>
      <w:r>
        <w:rPr>
          <w:bCs w:val="0"/>
          <w:color w:val="050505"/>
          <w:szCs w:val="28"/>
          <w:shd w:val="clear" w:color="auto" w:fill="FFFFFF"/>
        </w:rPr>
        <w:t>«</w:t>
      </w:r>
      <w:r>
        <w:rPr>
          <w:bCs w:val="0"/>
          <w:color w:val="000000"/>
          <w:szCs w:val="28"/>
        </w:rPr>
        <w:t>Про очищення влади</w:t>
      </w:r>
      <w:r>
        <w:rPr>
          <w:bCs w:val="0"/>
          <w:color w:val="050505"/>
          <w:szCs w:val="28"/>
          <w:shd w:val="clear" w:color="auto" w:fill="FFFFFF"/>
        </w:rPr>
        <w:t>»</w:t>
      </w:r>
      <w:r>
        <w:rPr>
          <w:bCs w:val="0"/>
          <w:color w:val="000000"/>
          <w:szCs w:val="28"/>
        </w:rPr>
        <w:t xml:space="preserve"> надіслано 8 запитів та повідомлень про початок проходження перевірки, передбаченої Законом України </w:t>
      </w:r>
      <w:r>
        <w:rPr>
          <w:bCs w:val="0"/>
          <w:color w:val="050505"/>
          <w:szCs w:val="28"/>
          <w:shd w:val="clear" w:color="auto" w:fill="FFFFFF"/>
        </w:rPr>
        <w:t>«</w:t>
      </w:r>
      <w:r>
        <w:rPr>
          <w:bCs w:val="0"/>
          <w:color w:val="000000"/>
          <w:szCs w:val="28"/>
        </w:rPr>
        <w:t>Про очищення влади</w:t>
      </w:r>
      <w:r>
        <w:rPr>
          <w:bCs w:val="0"/>
          <w:color w:val="050505"/>
          <w:szCs w:val="28"/>
          <w:shd w:val="clear" w:color="auto" w:fill="FFFFFF"/>
        </w:rPr>
        <w:t xml:space="preserve">», до Західного міжрегіонального управління Міністерства </w:t>
      </w:r>
      <w:r>
        <w:rPr>
          <w:bCs w:val="0"/>
          <w:color w:val="050505"/>
          <w:szCs w:val="28"/>
          <w:shd w:val="clear" w:color="auto" w:fill="FFFFFF"/>
        </w:rPr>
        <w:t>юстиції (</w:t>
      </w:r>
      <w:proofErr w:type="spellStart"/>
      <w:r>
        <w:rPr>
          <w:bCs w:val="0"/>
          <w:color w:val="050505"/>
          <w:szCs w:val="28"/>
          <w:shd w:val="clear" w:color="auto" w:fill="FFFFFF"/>
        </w:rPr>
        <w:t>м.Львів</w:t>
      </w:r>
      <w:proofErr w:type="spellEnd"/>
      <w:r>
        <w:rPr>
          <w:bCs w:val="0"/>
          <w:color w:val="050505"/>
          <w:szCs w:val="28"/>
          <w:shd w:val="clear" w:color="auto" w:fill="FFFFFF"/>
        </w:rPr>
        <w:t>)</w:t>
      </w:r>
      <w:r>
        <w:rPr>
          <w:rStyle w:val="a8"/>
          <w:b w:val="0"/>
          <w:bCs w:val="0"/>
          <w:i w:val="0"/>
          <w:color w:val="000000"/>
          <w:szCs w:val="28"/>
        </w:rPr>
        <w:t>.</w:t>
      </w:r>
      <w:r>
        <w:rPr>
          <w:bCs w:val="0"/>
          <w:color w:val="000000"/>
          <w:szCs w:val="28"/>
        </w:rPr>
        <w:t xml:space="preserve"> </w:t>
      </w:r>
    </w:p>
    <w:p w:rsidR="00541E3F" w:rsidRDefault="005A0EF1">
      <w:pPr>
        <w:pStyle w:val="af7"/>
        <w:ind w:firstLine="567"/>
        <w:jc w:val="both"/>
      </w:pPr>
      <w:r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Проведено аналіз щоквартальних звітів керівників виконавчих органів міської ради та комунальних підприємств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,  організацій (установ, закладів), що належать до комунальної власності міської територіальної громади щодо виконання </w:t>
      </w:r>
      <w:r>
        <w:rPr>
          <w:rStyle w:val="a5"/>
          <w:rFonts w:ascii="Times New Roman CYR" w:hAnsi="Times New Roman CYR" w:cs="Times New Roman"/>
          <w:b w:val="0"/>
          <w:bCs w:val="0"/>
          <w:color w:val="000000"/>
          <w:kern w:val="2"/>
          <w:sz w:val="28"/>
          <w:szCs w:val="28"/>
          <w:shd w:val="clear" w:color="auto" w:fill="FFFFFF"/>
          <w:lang w:eastAsia="ar-SA"/>
        </w:rPr>
        <w:t>Антикорупційної програми Луцької міської ради на 2024-2026 роки, яка затверджена рішенням Луцької міської ради від 20.12.2023 № 54/2.</w:t>
      </w:r>
    </w:p>
    <w:p w:rsidR="00541E3F" w:rsidRDefault="005A0EF1">
      <w:pPr>
        <w:tabs>
          <w:tab w:val="left" w:pos="567"/>
        </w:tabs>
        <w:ind w:firstLine="567"/>
        <w:jc w:val="both"/>
      </w:pPr>
      <w:r>
        <w:rPr>
          <w:rStyle w:val="a5"/>
          <w:rFonts w:ascii="Times New Roman CYR" w:hAnsi="Times New Roman CYR"/>
          <w:b w:val="0"/>
          <w:color w:val="000000"/>
          <w:kern w:val="2"/>
          <w:szCs w:val="28"/>
          <w:shd w:val="clear" w:color="auto" w:fill="FFFFFF"/>
          <w:lang w:eastAsia="ar-SA"/>
        </w:rPr>
        <w:t>З метою належної організації подання щорічної декларації особи, уповноваженої на виконання функцій держави або місцевого с</w:t>
      </w:r>
      <w:r>
        <w:rPr>
          <w:rStyle w:val="a5"/>
          <w:rFonts w:ascii="Times New Roman CYR" w:hAnsi="Times New Roman CYR"/>
          <w:b w:val="0"/>
          <w:color w:val="000000"/>
          <w:kern w:val="2"/>
          <w:szCs w:val="28"/>
          <w:shd w:val="clear" w:color="auto" w:fill="FFFFFF"/>
          <w:lang w:eastAsia="ar-SA"/>
        </w:rPr>
        <w:t>амоврядування</w:t>
      </w:r>
      <w:r>
        <w:rPr>
          <w:rStyle w:val="a5"/>
          <w:rFonts w:ascii="Times New Roman CYR" w:hAnsi="Times New Roman CYR"/>
          <w:b w:val="0"/>
          <w:color w:val="000000"/>
          <w:kern w:val="2"/>
          <w:szCs w:val="28"/>
          <w:shd w:val="clear" w:color="auto" w:fill="FFFFFF"/>
          <w:lang w:eastAsia="ar-SA"/>
        </w:rPr>
        <w:t xml:space="preserve">  проведено роз'яснювальну роботу серед працівників виконавчих органів міської ради. Окрім того, працівники виконавчих органів пройшли </w:t>
      </w:r>
      <w:r>
        <w:rPr>
          <w:rStyle w:val="a5"/>
          <w:rFonts w:ascii="Times New Roman CYR" w:hAnsi="Times New Roman CYR"/>
          <w:b w:val="0"/>
          <w:color w:val="050505"/>
          <w:kern w:val="2"/>
          <w:szCs w:val="28"/>
          <w:shd w:val="clear" w:color="auto" w:fill="FFFFFF"/>
          <w:lang w:eastAsia="ar-SA"/>
        </w:rPr>
        <w:t xml:space="preserve">навчання за короткостроковою програмою </w:t>
      </w:r>
      <w:r>
        <w:rPr>
          <w:rStyle w:val="a5"/>
          <w:rFonts w:ascii="Times New Roman CYR" w:hAnsi="Times New Roman CYR"/>
          <w:b w:val="0"/>
          <w:color w:val="000000"/>
          <w:kern w:val="2"/>
          <w:szCs w:val="28"/>
          <w:shd w:val="clear" w:color="auto" w:fill="FFFFFF"/>
          <w:lang w:eastAsia="ar-SA"/>
        </w:rPr>
        <w:t>щодо електронного декларування організованого Волинським регіональним</w:t>
      </w:r>
      <w:r>
        <w:rPr>
          <w:rStyle w:val="a5"/>
          <w:rFonts w:ascii="Times New Roman CYR" w:hAnsi="Times New Roman CYR"/>
          <w:b w:val="0"/>
          <w:color w:val="000000"/>
          <w:kern w:val="2"/>
          <w:szCs w:val="28"/>
          <w:shd w:val="clear" w:color="auto" w:fill="FFFFFF"/>
          <w:lang w:eastAsia="ar-SA"/>
        </w:rPr>
        <w:t xml:space="preserve"> центром підвищення кваліфікації</w:t>
      </w:r>
      <w:r>
        <w:rPr>
          <w:rStyle w:val="a5"/>
          <w:rFonts w:ascii="Times New Roman CYR" w:hAnsi="Times New Roman CYR"/>
          <w:b w:val="0"/>
          <w:kern w:val="2"/>
          <w:szCs w:val="28"/>
          <w:shd w:val="clear" w:color="auto" w:fill="FFFFFF"/>
          <w:lang w:eastAsia="ar-SA"/>
        </w:rPr>
        <w:t>.</w:t>
      </w:r>
    </w:p>
    <w:p w:rsidR="00541E3F" w:rsidRDefault="005A0EF1">
      <w:pPr>
        <w:pStyle w:val="af7"/>
        <w:ind w:firstLine="567"/>
        <w:jc w:val="both"/>
      </w:pP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>8. Робота відділу документального забезпечення.</w:t>
      </w:r>
    </w:p>
    <w:p w:rsidR="00541E3F" w:rsidRDefault="005A0EF1">
      <w:pPr>
        <w:pStyle w:val="Standard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відповідності до посадових інструкцій працівниками відділу документального забезпечення управління персоналу, які працюють на віддалених робочих місцях забезпечено роботу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округів протягом першого кварталу 2025 року. </w:t>
      </w:r>
    </w:p>
    <w:p w:rsidR="00541E3F" w:rsidRDefault="005A0EF1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Організовано та забезп</w:t>
      </w:r>
      <w:r>
        <w:rPr>
          <w:rFonts w:ascii="Times New Roman" w:hAnsi="Times New Roman" w:cs="Times New Roman"/>
          <w:sz w:val="28"/>
          <w:szCs w:val="28"/>
        </w:rPr>
        <w:t xml:space="preserve">ечено документаційне та організаційно-технічне обслуговування діяльності старости (забезпечено реєстрацію та попередній розгляд звернень громадян, на які підготовлено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відповідей, довідок, актів різного типу, характеристик, виписок,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довірен</w:t>
      </w:r>
      <w:r>
        <w:rPr>
          <w:rFonts w:ascii="Times New Roman" w:hAnsi="Times New Roman" w:cs="Times New Roman"/>
          <w:sz w:val="28"/>
          <w:szCs w:val="28"/>
        </w:rPr>
        <w:t xml:space="preserve">остей та документів для вчинення нотаріальних дій; проведено реєстрацію вхідної документації, на які підготовлено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листів), а також роботу щодо ведення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погосподарського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обліку.</w:t>
      </w:r>
    </w:p>
    <w:p w:rsidR="00541E3F" w:rsidRDefault="005A0EF1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збір документів з подальшою їх реєстрацією для отримання дотац</w:t>
      </w:r>
      <w:r>
        <w:rPr>
          <w:rFonts w:ascii="Times New Roman" w:hAnsi="Times New Roman" w:cs="Times New Roman"/>
          <w:sz w:val="28"/>
          <w:szCs w:val="28"/>
        </w:rPr>
        <w:t xml:space="preserve">ій власниками тварин на вирощування молодняку великої рогатої худоби та власників особистих селянських господарств, які утримують корів, ведення відповідних реєстрів. </w:t>
      </w:r>
    </w:p>
    <w:p w:rsidR="00541E3F" w:rsidRDefault="005A0EF1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дорученням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департаменту містобудування, земельних ресурсів та реклами місь</w:t>
      </w:r>
      <w:r>
        <w:rPr>
          <w:rFonts w:ascii="Times New Roman" w:hAnsi="Times New Roman" w:cs="Times New Roman"/>
          <w:sz w:val="28"/>
          <w:szCs w:val="28"/>
        </w:rPr>
        <w:t xml:space="preserve">кої ради працівниками проводиться перевірка та наносяться на карти адресні об’єкти по населених пунктах, що входять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округів. Крім того, працівники відділу постійно долучаються до присвоєння об’єктам нерухомого майна та об’єктам будівництв</w:t>
      </w:r>
      <w:r>
        <w:rPr>
          <w:rFonts w:ascii="Times New Roman" w:hAnsi="Times New Roman" w:cs="Times New Roman"/>
          <w:sz w:val="28"/>
          <w:szCs w:val="28"/>
        </w:rPr>
        <w:t>а поштових адрес.</w:t>
      </w:r>
    </w:p>
    <w:p w:rsidR="00541E3F" w:rsidRDefault="005A0EF1">
      <w:pPr>
        <w:pStyle w:val="Standard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Забезпечено надання інформації для підготовки статистичного звіту форми державного статистичного спостереження № 6-сільрада (річна)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Звіт про об'єкти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погосподарського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обліку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2024 рік. Проведено аналіз наявного населення станом на 01.0</w:t>
      </w:r>
      <w:r>
        <w:rPr>
          <w:rFonts w:ascii="Times New Roman" w:hAnsi="Times New Roman" w:cs="Times New Roman"/>
          <w:sz w:val="28"/>
          <w:szCs w:val="28"/>
        </w:rPr>
        <w:t>1.2025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41E3F" w:rsidRDefault="005A0EF1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Поводилася роз’яснювальна робота щодо необхідності оформлення права власності на нерухоме майно та оформлення права власності на невитребувані земельні частки (паї).</w:t>
      </w:r>
    </w:p>
    <w:p w:rsidR="00541E3F" w:rsidRDefault="005A0EF1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Протягом звітного періоду працівники виконували доручення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щодо впорядкуван</w:t>
      </w:r>
      <w:r>
        <w:rPr>
          <w:rFonts w:ascii="Times New Roman" w:hAnsi="Times New Roman" w:cs="Times New Roman"/>
          <w:sz w:val="28"/>
          <w:szCs w:val="28"/>
        </w:rPr>
        <w:t>ня та визначення назв зупинок по руху маршрутів громадського транспорту, які здійснюють перевезення пасажирів по населених пунктах округів, а також проводили обстеження наявних зупинок щодо встановлення дорожніх знаків та проведення робіт з благоустрою.</w:t>
      </w:r>
    </w:p>
    <w:p w:rsidR="00541E3F" w:rsidRDefault="005A0EF1">
      <w:pPr>
        <w:pStyle w:val="Standard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 xml:space="preserve">метою уточнення даних для наповнення форм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погосподарського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обліку п</w:t>
      </w:r>
      <w:r>
        <w:rPr>
          <w:rFonts w:ascii="Times New Roman" w:hAnsi="Times New Roman" w:cs="Times New Roman"/>
          <w:sz w:val="28"/>
          <w:szCs w:val="28"/>
        </w:rPr>
        <w:t xml:space="preserve">рацівниками відділу постійно проводився збір та звірка наявної інформації з Державним реєстром речових прав та реєстром територіальної громади. </w:t>
      </w:r>
    </w:p>
    <w:p w:rsidR="00541E3F" w:rsidRDefault="005A0EF1">
      <w:pPr>
        <w:pStyle w:val="Standard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зв’язку із зміною місця реєстрації прожива</w:t>
      </w:r>
      <w:r>
        <w:rPr>
          <w:rFonts w:ascii="Times New Roman" w:hAnsi="Times New Roman" w:cs="Times New Roman"/>
          <w:sz w:val="28"/>
          <w:szCs w:val="28"/>
        </w:rPr>
        <w:t>ння, смертю та народжуваністю проводилось коригування вже наявних відомостей у формах ПГО, зібраних у 2022-2024 роках, щодо місця реєстрації, а також постійно проводиться робота щодо коригування внесених відомостей при оформленні права власності чи зміні в</w:t>
      </w:r>
      <w:r>
        <w:rPr>
          <w:rFonts w:ascii="Times New Roman" w:hAnsi="Times New Roman" w:cs="Times New Roman"/>
          <w:sz w:val="28"/>
          <w:szCs w:val="28"/>
        </w:rPr>
        <w:t>ласника об’єктів нерухомого майна.</w:t>
      </w:r>
    </w:p>
    <w:p w:rsidR="00541E3F" w:rsidRDefault="005A0EF1">
      <w:pPr>
        <w:pStyle w:val="Standard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Окрім того, протягом кварталу продовжувалася  робота по виписуванню повідомлень  про сплату земельного податку та податку на нерухоме майно, відмінне від земельного податку, орендної плати за землю чи мінімального податко</w:t>
      </w:r>
      <w:r>
        <w:rPr>
          <w:rFonts w:ascii="Times New Roman" w:hAnsi="Times New Roman" w:cs="Times New Roman"/>
          <w:sz w:val="28"/>
          <w:szCs w:val="28"/>
        </w:rPr>
        <w:t>вого зобов'язання.</w:t>
      </w:r>
    </w:p>
    <w:p w:rsidR="00541E3F" w:rsidRDefault="005A0EF1">
      <w:pPr>
        <w:pStyle w:val="Standard"/>
        <w:ind w:firstLine="567"/>
        <w:jc w:val="both"/>
        <w:rPr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Аналіз роботи працівників відділу документального забезпечення управління персоналу щодо документального забезпечення роботи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</w:rPr>
        <w:t>старост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 xml:space="preserve"> та роботи з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</w:rPr>
        <w:t>погосподарським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 xml:space="preserve"> обліком по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 xml:space="preserve"> округах за І квартал 2025 рік відображено у додатк</w:t>
      </w:r>
      <w:r>
        <w:rPr>
          <w:rStyle w:val="a3"/>
          <w:rFonts w:ascii="Times New Roman" w:hAnsi="Times New Roman" w:cs="Times New Roman"/>
          <w:sz w:val="28"/>
          <w:szCs w:val="28"/>
        </w:rPr>
        <w:t>ах.</w:t>
      </w:r>
    </w:p>
    <w:p w:rsidR="00541E3F" w:rsidRDefault="00541E3F">
      <w:pPr>
        <w:pStyle w:val="Standard"/>
        <w:ind w:firstLine="567"/>
        <w:jc w:val="both"/>
        <w:rPr>
          <w:sz w:val="28"/>
          <w:szCs w:val="28"/>
        </w:rPr>
      </w:pPr>
    </w:p>
    <w:p w:rsidR="00541E3F" w:rsidRDefault="00541E3F">
      <w:pPr>
        <w:pStyle w:val="Standard"/>
        <w:ind w:firstLine="567"/>
        <w:jc w:val="both"/>
        <w:rPr>
          <w:sz w:val="28"/>
          <w:szCs w:val="28"/>
        </w:rPr>
      </w:pPr>
    </w:p>
    <w:p w:rsidR="00541E3F" w:rsidRDefault="00541E3F">
      <w:pPr>
        <w:pStyle w:val="Standard"/>
        <w:ind w:firstLine="567"/>
        <w:jc w:val="both"/>
        <w:rPr>
          <w:sz w:val="28"/>
          <w:szCs w:val="28"/>
        </w:rPr>
      </w:pPr>
    </w:p>
    <w:p w:rsidR="00541E3F" w:rsidRDefault="005A0EF1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управління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Віра ГУДИМА</w:t>
      </w:r>
    </w:p>
    <w:p w:rsidR="00541E3F" w:rsidRDefault="00541E3F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541E3F" w:rsidRDefault="00541E3F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541E3F" w:rsidRDefault="005A0EF1"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Олена Бондарчук 741086</w:t>
      </w:r>
    </w:p>
    <w:p w:rsidR="00541E3F" w:rsidRDefault="00541E3F">
      <w:pPr>
        <w:pStyle w:val="Standard"/>
        <w:jc w:val="both"/>
        <w:rPr>
          <w:rFonts w:ascii="Times New Roman" w:hAnsi="Times New Roman"/>
          <w:sz w:val="24"/>
          <w:szCs w:val="24"/>
        </w:rPr>
        <w:sectPr w:rsidR="00541E3F">
          <w:headerReference w:type="default" r:id="rId6"/>
          <w:footerReference w:type="default" r:id="rId7"/>
          <w:pgSz w:w="11906" w:h="16838"/>
          <w:pgMar w:top="851" w:right="580" w:bottom="1418" w:left="1797" w:header="539" w:footer="510" w:gutter="0"/>
          <w:cols w:space="720"/>
          <w:formProt w:val="0"/>
          <w:docGrid w:linePitch="360"/>
        </w:sectPr>
      </w:pPr>
    </w:p>
    <w:p w:rsidR="00541E3F" w:rsidRDefault="00541E3F"/>
    <w:tbl>
      <w:tblPr>
        <w:tblW w:w="15570" w:type="dxa"/>
        <w:tblInd w:w="-5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81"/>
        <w:gridCol w:w="967"/>
        <w:gridCol w:w="1077"/>
        <w:gridCol w:w="1134"/>
        <w:gridCol w:w="953"/>
        <w:gridCol w:w="996"/>
        <w:gridCol w:w="1285"/>
        <w:gridCol w:w="1692"/>
        <w:gridCol w:w="1229"/>
        <w:gridCol w:w="1314"/>
        <w:gridCol w:w="1227"/>
        <w:gridCol w:w="1315"/>
      </w:tblGrid>
      <w:tr w:rsidR="00541E3F">
        <w:trPr>
          <w:trHeight w:val="2606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Старостинський</w:t>
            </w:r>
            <w:proofErr w:type="spellEnd"/>
            <w:r>
              <w:rPr>
                <w:b/>
                <w:sz w:val="16"/>
                <w:szCs w:val="16"/>
              </w:rPr>
              <w:t xml:space="preserve"> округ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Кількість домогосподарств станом на 31.12.2020</w:t>
            </w:r>
          </w:p>
          <w:p w:rsidR="00541E3F" w:rsidRDefault="00541E3F">
            <w:pPr>
              <w:pStyle w:val="af0"/>
              <w:widowControl w:val="0"/>
              <w:jc w:val="center"/>
              <w:rPr>
                <w:sz w:val="16"/>
                <w:szCs w:val="16"/>
              </w:rPr>
            </w:pPr>
          </w:p>
          <w:p w:rsidR="00541E3F" w:rsidRDefault="00541E3F">
            <w:pPr>
              <w:pStyle w:val="af0"/>
              <w:widowControl w:val="0"/>
              <w:jc w:val="center"/>
              <w:rPr>
                <w:sz w:val="16"/>
                <w:szCs w:val="16"/>
              </w:rPr>
            </w:pPr>
          </w:p>
          <w:p w:rsidR="00541E3F" w:rsidRDefault="00541E3F">
            <w:pPr>
              <w:pStyle w:val="af0"/>
              <w:widowControl w:val="0"/>
              <w:jc w:val="center"/>
              <w:rPr>
                <w:sz w:val="16"/>
                <w:szCs w:val="16"/>
              </w:rPr>
            </w:pPr>
          </w:p>
          <w:p w:rsidR="00541E3F" w:rsidRDefault="00541E3F">
            <w:pPr>
              <w:pStyle w:val="af0"/>
              <w:widowControl w:val="0"/>
              <w:jc w:val="center"/>
              <w:rPr>
                <w:sz w:val="16"/>
                <w:szCs w:val="16"/>
              </w:rPr>
            </w:pPr>
          </w:p>
          <w:p w:rsidR="00541E3F" w:rsidRDefault="00541E3F">
            <w:pPr>
              <w:pStyle w:val="af0"/>
              <w:widowControl w:val="0"/>
              <w:jc w:val="center"/>
              <w:rPr>
                <w:sz w:val="16"/>
                <w:szCs w:val="16"/>
              </w:rPr>
            </w:pPr>
          </w:p>
          <w:p w:rsidR="00541E3F" w:rsidRDefault="005A0EF1">
            <w:pPr>
              <w:pStyle w:val="af0"/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Усі типи </w:t>
            </w:r>
            <w:r>
              <w:rPr>
                <w:b/>
                <w:sz w:val="16"/>
                <w:szCs w:val="16"/>
              </w:rPr>
              <w:t>об’єктів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Кількість домогосподарств станом на</w:t>
            </w:r>
          </w:p>
          <w:p w:rsidR="00541E3F" w:rsidRDefault="005A0EF1">
            <w:pPr>
              <w:pStyle w:val="af0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Кількість землеволодінь власники яких проживають в інших населених пунктах  станом  на 31.12.2022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Кількість домогосподарств станом на 31.12.2023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Кількість землеволодінь власники яких проживають в інши</w:t>
            </w:r>
            <w:r>
              <w:rPr>
                <w:sz w:val="16"/>
                <w:szCs w:val="16"/>
              </w:rPr>
              <w:t>х населених пунктах  станом на 31.12.2023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41E3F" w:rsidRDefault="005A0EF1">
            <w:pPr>
              <w:pStyle w:val="af0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Кількість домогосподарств станом на </w:t>
            </w:r>
          </w:p>
          <w:p w:rsidR="00541E3F" w:rsidRDefault="005A0EF1">
            <w:pPr>
              <w:pStyle w:val="af0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31.12.2024</w:t>
            </w:r>
          </w:p>
          <w:p w:rsidR="00541E3F" w:rsidRDefault="00541E3F">
            <w:pPr>
              <w:pStyle w:val="af0"/>
              <w:widowControl w:val="0"/>
              <w:jc w:val="center"/>
              <w:rPr>
                <w:sz w:val="16"/>
                <w:szCs w:val="16"/>
              </w:rPr>
            </w:pPr>
          </w:p>
          <w:p w:rsidR="00541E3F" w:rsidRDefault="00541E3F">
            <w:pPr>
              <w:pStyle w:val="af0"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41E3F" w:rsidRDefault="005A0EF1">
            <w:pPr>
              <w:pStyle w:val="af0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Кількість землеволодінь власники яких проживають в інших населених пунктах станом на</w:t>
            </w:r>
          </w:p>
          <w:p w:rsidR="00541E3F" w:rsidRDefault="005A0EF1">
            <w:pPr>
              <w:pStyle w:val="af0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31.12.2024</w:t>
            </w:r>
          </w:p>
          <w:p w:rsidR="00541E3F" w:rsidRDefault="00541E3F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1E3F" w:rsidRDefault="00541E3F">
            <w:pPr>
              <w:pStyle w:val="af0"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І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2025 введено інформацію до програми</w:t>
            </w:r>
          </w:p>
          <w:p w:rsidR="00541E3F" w:rsidRDefault="005A0EF1">
            <w:pPr>
              <w:pStyle w:val="af0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повністю/частково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</w:t>
            </w:r>
            <w:r>
              <w:rPr>
                <w:sz w:val="16"/>
                <w:szCs w:val="16"/>
              </w:rPr>
              <w:t xml:space="preserve">І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2025</w:t>
            </w:r>
          </w:p>
          <w:p w:rsidR="00541E3F" w:rsidRDefault="005A0EF1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введено інформацію до книг</w:t>
            </w:r>
          </w:p>
          <w:p w:rsidR="00541E3F" w:rsidRDefault="005A0EF1">
            <w:pPr>
              <w:pStyle w:val="af0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повністю/частково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Кількість домогосподарств станом на 31.03.2025</w:t>
            </w:r>
          </w:p>
          <w:p w:rsidR="00541E3F" w:rsidRDefault="00541E3F">
            <w:pPr>
              <w:pStyle w:val="af0"/>
              <w:widowControl w:val="0"/>
              <w:jc w:val="center"/>
              <w:rPr>
                <w:sz w:val="16"/>
                <w:szCs w:val="16"/>
              </w:rPr>
            </w:pPr>
          </w:p>
          <w:p w:rsidR="00541E3F" w:rsidRDefault="00541E3F">
            <w:pPr>
              <w:pStyle w:val="af0"/>
              <w:widowControl w:val="0"/>
              <w:jc w:val="center"/>
              <w:rPr>
                <w:sz w:val="16"/>
                <w:szCs w:val="16"/>
              </w:rPr>
            </w:pPr>
          </w:p>
          <w:p w:rsidR="00541E3F" w:rsidRDefault="00541E3F">
            <w:pPr>
              <w:pStyle w:val="af0"/>
              <w:widowControl w:val="0"/>
              <w:jc w:val="center"/>
              <w:rPr>
                <w:sz w:val="16"/>
                <w:szCs w:val="16"/>
              </w:rPr>
            </w:pPr>
          </w:p>
          <w:p w:rsidR="00541E3F" w:rsidRDefault="00541E3F">
            <w:pPr>
              <w:pStyle w:val="af0"/>
              <w:widowControl w:val="0"/>
              <w:jc w:val="center"/>
              <w:rPr>
                <w:sz w:val="16"/>
                <w:szCs w:val="16"/>
              </w:rPr>
            </w:pPr>
          </w:p>
          <w:p w:rsidR="00541E3F" w:rsidRDefault="00541E3F">
            <w:pPr>
              <w:pStyle w:val="af0"/>
              <w:widowControl w:val="0"/>
              <w:jc w:val="center"/>
              <w:rPr>
                <w:sz w:val="16"/>
                <w:szCs w:val="16"/>
              </w:rPr>
            </w:pPr>
          </w:p>
          <w:p w:rsidR="00541E3F" w:rsidRDefault="00541E3F">
            <w:pPr>
              <w:pStyle w:val="af0"/>
              <w:widowControl w:val="0"/>
              <w:jc w:val="center"/>
              <w:rPr>
                <w:sz w:val="16"/>
                <w:szCs w:val="16"/>
              </w:rPr>
            </w:pPr>
          </w:p>
          <w:p w:rsidR="00541E3F" w:rsidRDefault="00541E3F">
            <w:pPr>
              <w:pStyle w:val="af0"/>
              <w:widowControl w:val="0"/>
              <w:jc w:val="center"/>
              <w:rPr>
                <w:sz w:val="16"/>
                <w:szCs w:val="16"/>
              </w:rPr>
            </w:pPr>
          </w:p>
          <w:p w:rsidR="00541E3F" w:rsidRDefault="00541E3F">
            <w:pPr>
              <w:pStyle w:val="af0"/>
              <w:widowControl w:val="0"/>
              <w:jc w:val="center"/>
              <w:rPr>
                <w:sz w:val="16"/>
                <w:szCs w:val="16"/>
              </w:rPr>
            </w:pPr>
          </w:p>
          <w:p w:rsidR="00541E3F" w:rsidRDefault="00541E3F">
            <w:pPr>
              <w:pStyle w:val="af0"/>
              <w:widowControl w:val="0"/>
              <w:jc w:val="center"/>
              <w:rPr>
                <w:sz w:val="16"/>
                <w:szCs w:val="16"/>
              </w:rPr>
            </w:pPr>
          </w:p>
          <w:p w:rsidR="00541E3F" w:rsidRDefault="00541E3F">
            <w:pPr>
              <w:pStyle w:val="af0"/>
              <w:widowControl w:val="0"/>
              <w:jc w:val="center"/>
              <w:rPr>
                <w:sz w:val="16"/>
                <w:szCs w:val="16"/>
              </w:rPr>
            </w:pPr>
          </w:p>
          <w:p w:rsidR="00541E3F" w:rsidRDefault="00541E3F">
            <w:pPr>
              <w:pStyle w:val="af0"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Кількість землеволодінь власники яких проживають в інших населених пунктах станом на 31.03.2025</w:t>
            </w:r>
          </w:p>
          <w:p w:rsidR="00541E3F" w:rsidRDefault="00541E3F">
            <w:pPr>
              <w:pStyle w:val="af0"/>
              <w:widowControl w:val="0"/>
              <w:jc w:val="center"/>
              <w:rPr>
                <w:sz w:val="16"/>
                <w:szCs w:val="16"/>
              </w:rPr>
            </w:pPr>
          </w:p>
          <w:p w:rsidR="00541E3F" w:rsidRDefault="00541E3F">
            <w:pPr>
              <w:pStyle w:val="af0"/>
              <w:widowControl w:val="0"/>
              <w:jc w:val="center"/>
              <w:rPr>
                <w:sz w:val="16"/>
                <w:szCs w:val="16"/>
              </w:rPr>
            </w:pPr>
          </w:p>
          <w:p w:rsidR="00541E3F" w:rsidRDefault="00541E3F">
            <w:pPr>
              <w:pStyle w:val="af0"/>
              <w:widowControl w:val="0"/>
              <w:jc w:val="center"/>
              <w:rPr>
                <w:sz w:val="16"/>
                <w:szCs w:val="16"/>
              </w:rPr>
            </w:pPr>
          </w:p>
          <w:p w:rsidR="00541E3F" w:rsidRDefault="00541E3F">
            <w:pPr>
              <w:pStyle w:val="af0"/>
              <w:widowControl w:val="0"/>
              <w:jc w:val="center"/>
              <w:rPr>
                <w:sz w:val="16"/>
                <w:szCs w:val="16"/>
              </w:rPr>
            </w:pPr>
          </w:p>
          <w:p w:rsidR="00541E3F" w:rsidRDefault="00541E3F">
            <w:pPr>
              <w:pStyle w:val="af0"/>
              <w:widowControl w:val="0"/>
              <w:jc w:val="center"/>
              <w:rPr>
                <w:sz w:val="16"/>
                <w:szCs w:val="16"/>
              </w:rPr>
            </w:pPr>
          </w:p>
          <w:p w:rsidR="00541E3F" w:rsidRDefault="00541E3F">
            <w:pPr>
              <w:pStyle w:val="af0"/>
              <w:widowControl w:val="0"/>
              <w:jc w:val="center"/>
              <w:rPr>
                <w:sz w:val="16"/>
                <w:szCs w:val="16"/>
              </w:rPr>
            </w:pPr>
          </w:p>
          <w:p w:rsidR="00541E3F" w:rsidRDefault="00541E3F">
            <w:pPr>
              <w:pStyle w:val="af0"/>
              <w:widowControl w:val="0"/>
              <w:jc w:val="center"/>
              <w:rPr>
                <w:sz w:val="16"/>
                <w:szCs w:val="16"/>
              </w:rPr>
            </w:pPr>
          </w:p>
          <w:p w:rsidR="00541E3F" w:rsidRDefault="00541E3F">
            <w:pPr>
              <w:pStyle w:val="af0"/>
              <w:widowControl w:val="0"/>
              <w:jc w:val="center"/>
              <w:rPr>
                <w:sz w:val="16"/>
                <w:szCs w:val="16"/>
              </w:rPr>
            </w:pPr>
          </w:p>
          <w:p w:rsidR="00541E3F" w:rsidRDefault="00541E3F">
            <w:pPr>
              <w:pStyle w:val="af0"/>
              <w:widowControl w:val="0"/>
              <w:jc w:val="center"/>
              <w:rPr>
                <w:sz w:val="16"/>
                <w:szCs w:val="16"/>
              </w:rPr>
            </w:pPr>
          </w:p>
          <w:p w:rsidR="00541E3F" w:rsidRDefault="00541E3F">
            <w:pPr>
              <w:pStyle w:val="af0"/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541E3F">
        <w:tc>
          <w:tcPr>
            <w:tcW w:w="2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</w:pPr>
            <w:r>
              <w:t>Боголюбський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</w:pPr>
            <w:r>
              <w:t>1516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</w:pPr>
            <w:r>
              <w:t>1535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</w:pPr>
            <w:r>
              <w:t>35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</w:pPr>
            <w:r>
              <w:t>1680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</w:pPr>
            <w:r>
              <w:t>97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41E3F" w:rsidRDefault="005A0EF1">
            <w:pPr>
              <w:pStyle w:val="af0"/>
              <w:widowControl w:val="0"/>
            </w:pPr>
            <w:r>
              <w:t>1852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41E3F" w:rsidRDefault="005A0EF1">
            <w:pPr>
              <w:pStyle w:val="af0"/>
              <w:widowControl w:val="0"/>
            </w:pPr>
            <w:r>
              <w:t>153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</w:pPr>
            <w:r>
              <w:t>80/80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</w:pPr>
            <w:r>
              <w:t>56/56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</w:pPr>
            <w:r>
              <w:t>1865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</w:pPr>
            <w:r>
              <w:t>156</w:t>
            </w:r>
          </w:p>
        </w:tc>
      </w:tr>
      <w:tr w:rsidR="00541E3F">
        <w:tc>
          <w:tcPr>
            <w:tcW w:w="2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</w:pPr>
            <w:proofErr w:type="spellStart"/>
            <w:r>
              <w:t>Заборольський</w:t>
            </w:r>
            <w:proofErr w:type="spellEnd"/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</w:pPr>
            <w:r>
              <w:t>2012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</w:pPr>
            <w:r>
              <w:t>2037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</w:pPr>
            <w:r>
              <w:t>34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</w:pPr>
            <w:r>
              <w:t>2236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</w:pPr>
            <w:r>
              <w:t>182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41E3F" w:rsidRDefault="005A0EF1">
            <w:pPr>
              <w:pStyle w:val="af0"/>
              <w:widowControl w:val="0"/>
            </w:pPr>
            <w:r>
              <w:t>2686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41E3F" w:rsidRDefault="005A0EF1">
            <w:pPr>
              <w:pStyle w:val="af0"/>
              <w:widowControl w:val="0"/>
            </w:pPr>
            <w:r>
              <w:t>165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</w:pPr>
            <w:r>
              <w:t>1</w:t>
            </w:r>
            <w:r>
              <w:rPr>
                <w:lang w:val="en-US"/>
              </w:rPr>
              <w:t>29</w:t>
            </w:r>
            <w:r>
              <w:t>/0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</w:pPr>
            <w:r>
              <w:rPr>
                <w:lang w:val="en-US"/>
              </w:rPr>
              <w:t>8</w:t>
            </w:r>
            <w:r>
              <w:t>8/0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rPr>
                <w:lang w:val="en-US"/>
              </w:rPr>
            </w:pPr>
            <w:r>
              <w:rPr>
                <w:lang w:val="en-US"/>
              </w:rPr>
              <w:t>2695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rPr>
                <w:lang w:val="en-US"/>
              </w:rPr>
            </w:pPr>
            <w:r>
              <w:rPr>
                <w:lang w:val="en-US"/>
              </w:rPr>
              <w:t>195</w:t>
            </w:r>
          </w:p>
        </w:tc>
      </w:tr>
      <w:tr w:rsidR="00541E3F">
        <w:tc>
          <w:tcPr>
            <w:tcW w:w="2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</w:pPr>
            <w:proofErr w:type="spellStart"/>
            <w:r>
              <w:t>Жидичинський</w:t>
            </w:r>
            <w:proofErr w:type="spellEnd"/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</w:pPr>
            <w:r>
              <w:t>1915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</w:pPr>
            <w:r>
              <w:t>1667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</w:pPr>
            <w:r>
              <w:t>284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</w:pPr>
            <w:r>
              <w:t>1675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</w:pPr>
            <w:r>
              <w:t>317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41E3F" w:rsidRDefault="005A0EF1">
            <w:pPr>
              <w:pStyle w:val="af0"/>
              <w:widowControl w:val="0"/>
            </w:pPr>
            <w:r>
              <w:t>1699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41E3F" w:rsidRDefault="005A0EF1">
            <w:pPr>
              <w:pStyle w:val="af0"/>
              <w:widowControl w:val="0"/>
            </w:pPr>
            <w:r>
              <w:t>344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</w:pPr>
            <w:r>
              <w:t>108/78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</w:pPr>
            <w:r>
              <w:t>108/78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1705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350</w:t>
            </w:r>
          </w:p>
        </w:tc>
      </w:tr>
      <w:tr w:rsidR="00541E3F">
        <w:tc>
          <w:tcPr>
            <w:tcW w:w="2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rPr>
                <w:bCs w:val="0"/>
              </w:rPr>
            </w:pPr>
            <w:proofErr w:type="spellStart"/>
            <w:r>
              <w:rPr>
                <w:bCs w:val="0"/>
              </w:rPr>
              <w:t>Княгининівський</w:t>
            </w:r>
            <w:proofErr w:type="spellEnd"/>
            <w:r>
              <w:rPr>
                <w:bCs w:val="0"/>
              </w:rPr>
              <w:t>*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rPr>
                <w:bCs w:val="0"/>
              </w:rPr>
            </w:pPr>
            <w:r>
              <w:rPr>
                <w:bCs w:val="0"/>
              </w:rPr>
              <w:t>2833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rPr>
                <w:bCs w:val="0"/>
              </w:rPr>
            </w:pPr>
            <w:r>
              <w:rPr>
                <w:bCs w:val="0"/>
              </w:rPr>
              <w:t>2657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rPr>
                <w:bCs w:val="0"/>
              </w:rPr>
            </w:pPr>
            <w:r>
              <w:rPr>
                <w:bCs w:val="0"/>
              </w:rPr>
              <w:t>197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rPr>
                <w:bCs w:val="0"/>
              </w:rPr>
            </w:pPr>
            <w:r>
              <w:rPr>
                <w:bCs w:val="0"/>
              </w:rPr>
              <w:t>2650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rPr>
                <w:bCs w:val="0"/>
              </w:rPr>
            </w:pPr>
            <w:r>
              <w:rPr>
                <w:bCs w:val="0"/>
              </w:rPr>
              <w:t>590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41E3F" w:rsidRDefault="005A0EF1">
            <w:pPr>
              <w:pStyle w:val="af0"/>
              <w:widowControl w:val="0"/>
              <w:rPr>
                <w:bCs w:val="0"/>
              </w:rPr>
            </w:pPr>
            <w:r>
              <w:rPr>
                <w:bCs w:val="0"/>
              </w:rPr>
              <w:t>2955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41E3F" w:rsidRDefault="005A0EF1">
            <w:pPr>
              <w:pStyle w:val="af0"/>
              <w:widowControl w:val="0"/>
              <w:rPr>
                <w:bCs w:val="0"/>
              </w:rPr>
            </w:pPr>
            <w:r>
              <w:rPr>
                <w:bCs w:val="0"/>
              </w:rPr>
              <w:t>1121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rPr>
                <w:bCs w:val="0"/>
              </w:rPr>
            </w:pPr>
            <w:r>
              <w:rPr>
                <w:bCs w:val="0"/>
              </w:rPr>
              <w:t>201/107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rPr>
                <w:bCs w:val="0"/>
              </w:rPr>
            </w:pPr>
            <w:r>
              <w:rPr>
                <w:bCs w:val="0"/>
              </w:rPr>
              <w:t>201/107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rPr>
                <w:bCs w:val="0"/>
              </w:rPr>
            </w:pPr>
            <w:r>
              <w:rPr>
                <w:bCs w:val="0"/>
              </w:rPr>
              <w:t>3035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  <w:rPr>
                <w:bCs w:val="0"/>
              </w:rPr>
            </w:pPr>
            <w:r>
              <w:rPr>
                <w:bCs w:val="0"/>
              </w:rPr>
              <w:t>1149</w:t>
            </w:r>
          </w:p>
        </w:tc>
      </w:tr>
      <w:tr w:rsidR="00541E3F">
        <w:tc>
          <w:tcPr>
            <w:tcW w:w="2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</w:pPr>
            <w:r>
              <w:t>Прилуцький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</w:pPr>
            <w:r>
              <w:t>1794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</w:pPr>
            <w:r>
              <w:t>1420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</w:pPr>
            <w:r>
              <w:t>430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</w:pPr>
            <w:r>
              <w:t>1452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</w:pPr>
            <w:r>
              <w:t>474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41E3F" w:rsidRDefault="005A0EF1">
            <w:pPr>
              <w:pStyle w:val="af0"/>
              <w:widowControl w:val="0"/>
            </w:pPr>
            <w:r>
              <w:t>1475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41E3F" w:rsidRDefault="005A0EF1">
            <w:pPr>
              <w:pStyle w:val="af0"/>
              <w:widowControl w:val="0"/>
            </w:pPr>
            <w:r>
              <w:t>494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</w:pPr>
            <w:r>
              <w:t>80/9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</w:pPr>
            <w:r>
              <w:t>49/4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</w:pPr>
            <w:r>
              <w:t>1488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E3F" w:rsidRDefault="005A0EF1">
            <w:pPr>
              <w:pStyle w:val="af0"/>
              <w:widowControl w:val="0"/>
            </w:pPr>
            <w:r>
              <w:t>501</w:t>
            </w:r>
          </w:p>
        </w:tc>
      </w:tr>
    </w:tbl>
    <w:p w:rsidR="00541E3F" w:rsidRDefault="005A0EF1">
      <w:pPr>
        <w:pStyle w:val="af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Домогосподарства – код 1, 2, 3, 5</w:t>
      </w:r>
    </w:p>
    <w:p w:rsidR="00541E3F" w:rsidRDefault="005A0EF1">
      <w:pPr>
        <w:pStyle w:val="af7"/>
        <w:tabs>
          <w:tab w:val="left" w:pos="808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Землеволодіння – код 4                                      </w:t>
      </w:r>
    </w:p>
    <w:p w:rsidR="00541E3F" w:rsidRDefault="00541E3F"/>
    <w:p w:rsidR="00541E3F" w:rsidRDefault="00541E3F"/>
    <w:p w:rsidR="00541E3F" w:rsidRDefault="00541E3F"/>
    <w:p w:rsidR="00541E3F" w:rsidRDefault="005A0EF1">
      <w:r>
        <w:t>Начальник управління персоналу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Віра ГУДИМА</w:t>
      </w:r>
    </w:p>
    <w:p w:rsidR="00541E3F" w:rsidRDefault="00541E3F"/>
    <w:p w:rsidR="00541E3F" w:rsidRDefault="005A0EF1">
      <w:pPr>
        <w:rPr>
          <w:sz w:val="24"/>
        </w:rPr>
      </w:pPr>
      <w:r>
        <w:rPr>
          <w:sz w:val="24"/>
        </w:rPr>
        <w:t xml:space="preserve">Олена </w:t>
      </w:r>
      <w:proofErr w:type="spellStart"/>
      <w:r>
        <w:rPr>
          <w:sz w:val="24"/>
        </w:rPr>
        <w:t>Стефанська</w:t>
      </w:r>
      <w:proofErr w:type="spellEnd"/>
      <w:r>
        <w:rPr>
          <w:sz w:val="24"/>
        </w:rPr>
        <w:t xml:space="preserve"> 797 117</w:t>
      </w:r>
    </w:p>
    <w:p w:rsidR="00541E3F" w:rsidRDefault="00541E3F">
      <w:pPr>
        <w:rPr>
          <w:sz w:val="24"/>
        </w:rPr>
      </w:pPr>
    </w:p>
    <w:tbl>
      <w:tblPr>
        <w:tblW w:w="13911" w:type="dxa"/>
        <w:tblInd w:w="391" w:type="dxa"/>
        <w:tblLayout w:type="fixed"/>
        <w:tblLook w:val="04A0" w:firstRow="1" w:lastRow="0" w:firstColumn="1" w:lastColumn="0" w:noHBand="0" w:noVBand="1"/>
      </w:tblPr>
      <w:tblGrid>
        <w:gridCol w:w="5842"/>
        <w:gridCol w:w="1199"/>
        <w:gridCol w:w="1754"/>
        <w:gridCol w:w="1714"/>
        <w:gridCol w:w="1586"/>
        <w:gridCol w:w="1816"/>
      </w:tblGrid>
      <w:tr w:rsidR="00541E3F">
        <w:trPr>
          <w:cantSplit/>
          <w:trHeight w:val="1410"/>
        </w:trPr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center"/>
            </w:pPr>
            <w:r>
              <w:t xml:space="preserve">Завдання та обов’язки,  </w:t>
            </w:r>
            <w:r>
              <w:t xml:space="preserve">які виконувались протягом  І </w:t>
            </w:r>
            <w:proofErr w:type="spellStart"/>
            <w:r>
              <w:t>кв</w:t>
            </w:r>
            <w:proofErr w:type="spellEnd"/>
            <w:r>
              <w:t xml:space="preserve"> 2025 року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41E3F" w:rsidRDefault="005A0EF1">
            <w:pPr>
              <w:widowControl w:val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541E3F" w:rsidRDefault="00541E3F">
            <w:pPr>
              <w:widowControl w:val="0"/>
              <w:ind w:left="113" w:right="113"/>
              <w:jc w:val="center"/>
              <w:rPr>
                <w:sz w:val="18"/>
                <w:szCs w:val="18"/>
              </w:rPr>
            </w:pPr>
          </w:p>
          <w:p w:rsidR="00541E3F" w:rsidRDefault="00541E3F">
            <w:pPr>
              <w:widowControl w:val="0"/>
              <w:ind w:left="113" w:right="113"/>
              <w:jc w:val="center"/>
              <w:rPr>
                <w:sz w:val="18"/>
                <w:szCs w:val="18"/>
              </w:rPr>
            </w:pPr>
          </w:p>
          <w:p w:rsidR="00541E3F" w:rsidRDefault="005A0EF1">
            <w:pPr>
              <w:widowControl w:val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Попович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41E3F" w:rsidRDefault="00541E3F">
            <w:pPr>
              <w:widowControl w:val="0"/>
              <w:ind w:left="113" w:right="113"/>
              <w:jc w:val="both"/>
              <w:rPr>
                <w:sz w:val="18"/>
                <w:szCs w:val="18"/>
              </w:rPr>
            </w:pPr>
          </w:p>
          <w:p w:rsidR="00541E3F" w:rsidRDefault="00541E3F">
            <w:pPr>
              <w:widowControl w:val="0"/>
              <w:ind w:left="113" w:right="113"/>
              <w:jc w:val="both"/>
              <w:rPr>
                <w:sz w:val="18"/>
                <w:szCs w:val="18"/>
              </w:rPr>
            </w:pPr>
          </w:p>
          <w:p w:rsidR="00541E3F" w:rsidRDefault="005A0EF1">
            <w:pPr>
              <w:widowControl w:val="0"/>
              <w:ind w:left="113" w:right="11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О. </w:t>
            </w:r>
            <w:proofErr w:type="spellStart"/>
            <w:r>
              <w:rPr>
                <w:sz w:val="18"/>
                <w:szCs w:val="18"/>
              </w:rPr>
              <w:t>Стефанська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41E3F" w:rsidRDefault="00541E3F">
            <w:pPr>
              <w:widowControl w:val="0"/>
              <w:ind w:left="113" w:right="113"/>
              <w:jc w:val="center"/>
              <w:rPr>
                <w:color w:val="000000"/>
              </w:rPr>
            </w:pPr>
          </w:p>
          <w:p w:rsidR="00541E3F" w:rsidRDefault="00541E3F">
            <w:pPr>
              <w:widowControl w:val="0"/>
              <w:ind w:left="113" w:right="113"/>
              <w:jc w:val="center"/>
              <w:rPr>
                <w:color w:val="000000"/>
              </w:rPr>
            </w:pPr>
          </w:p>
          <w:p w:rsidR="00541E3F" w:rsidRDefault="005A0EF1">
            <w:pPr>
              <w:widowControl w:val="0"/>
              <w:ind w:left="113" w:right="113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Л.Яцушек</w:t>
            </w:r>
            <w:proofErr w:type="spellEnd"/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41E3F" w:rsidRDefault="00541E3F">
            <w:pPr>
              <w:widowControl w:val="0"/>
              <w:ind w:left="113" w:right="113"/>
              <w:jc w:val="both"/>
              <w:rPr>
                <w:sz w:val="18"/>
                <w:szCs w:val="18"/>
              </w:rPr>
            </w:pPr>
          </w:p>
          <w:p w:rsidR="00541E3F" w:rsidRDefault="00541E3F">
            <w:pPr>
              <w:widowControl w:val="0"/>
              <w:ind w:left="113" w:right="113"/>
              <w:jc w:val="both"/>
              <w:rPr>
                <w:sz w:val="18"/>
                <w:szCs w:val="18"/>
              </w:rPr>
            </w:pPr>
          </w:p>
          <w:p w:rsidR="00541E3F" w:rsidRDefault="005A0EF1">
            <w:pPr>
              <w:widowControl w:val="0"/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Г.Шпак</w:t>
            </w:r>
            <w:proofErr w:type="spellEnd"/>
          </w:p>
          <w:p w:rsidR="00541E3F" w:rsidRDefault="00541E3F">
            <w:pPr>
              <w:widowControl w:val="0"/>
              <w:ind w:left="113" w:right="113"/>
              <w:jc w:val="both"/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41E3F" w:rsidRDefault="00541E3F">
            <w:pPr>
              <w:widowControl w:val="0"/>
              <w:ind w:left="113" w:right="113"/>
              <w:jc w:val="both"/>
              <w:rPr>
                <w:sz w:val="18"/>
                <w:szCs w:val="18"/>
              </w:rPr>
            </w:pPr>
          </w:p>
          <w:p w:rsidR="00541E3F" w:rsidRDefault="00541E3F">
            <w:pPr>
              <w:widowControl w:val="0"/>
              <w:ind w:left="113" w:right="113"/>
              <w:jc w:val="both"/>
              <w:rPr>
                <w:sz w:val="18"/>
                <w:szCs w:val="18"/>
              </w:rPr>
            </w:pPr>
          </w:p>
          <w:p w:rsidR="00541E3F" w:rsidRDefault="005A0EF1">
            <w:pPr>
              <w:widowControl w:val="0"/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О.Квока</w:t>
            </w:r>
            <w:proofErr w:type="spellEnd"/>
          </w:p>
          <w:p w:rsidR="00541E3F" w:rsidRDefault="00541E3F">
            <w:pPr>
              <w:widowControl w:val="0"/>
              <w:ind w:left="113" w:right="113"/>
              <w:jc w:val="both"/>
              <w:rPr>
                <w:sz w:val="18"/>
                <w:szCs w:val="18"/>
              </w:rPr>
            </w:pPr>
          </w:p>
        </w:tc>
      </w:tr>
      <w:tr w:rsidR="00541E3F"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both"/>
            </w:pPr>
            <w:r>
              <w:t>Кількість населення станом на 01.01.2025 (з реєстрацією місяця проживання)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ind w:left="-108"/>
              <w:jc w:val="center"/>
            </w:pPr>
            <w:r>
              <w:t>4046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center"/>
            </w:pPr>
            <w:r>
              <w:t>6176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8992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center"/>
            </w:pPr>
            <w:r>
              <w:t>4499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center"/>
            </w:pPr>
            <w:r>
              <w:t>3930</w:t>
            </w:r>
          </w:p>
        </w:tc>
      </w:tr>
      <w:tr w:rsidR="00541E3F">
        <w:tc>
          <w:tcPr>
            <w:tcW w:w="5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both"/>
            </w:pPr>
            <w:r>
              <w:t xml:space="preserve">Опрацьовано документів, що надійшло до </w:t>
            </w:r>
            <w:proofErr w:type="spellStart"/>
            <w:r>
              <w:t>старостинського</w:t>
            </w:r>
            <w:proofErr w:type="spellEnd"/>
            <w:r>
              <w:t xml:space="preserve"> округу  (внутрішніх/вхідних)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ind w:left="-108"/>
              <w:jc w:val="center"/>
            </w:pPr>
            <w:r>
              <w:t>75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center"/>
            </w:pPr>
            <w:r>
              <w:t>132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156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center"/>
            </w:pPr>
            <w:r>
              <w:t>82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center"/>
            </w:pPr>
            <w:r>
              <w:t>134</w:t>
            </w:r>
          </w:p>
        </w:tc>
      </w:tr>
      <w:tr w:rsidR="00541E3F">
        <w:tc>
          <w:tcPr>
            <w:tcW w:w="5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both"/>
            </w:pPr>
            <w:r>
              <w:t>Підготовка проектів внутрішніх чи вихідних листів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ind w:left="-108"/>
              <w:jc w:val="center"/>
            </w:pPr>
            <w:r>
              <w:t>32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center"/>
            </w:pPr>
            <w:r>
              <w:t>39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center"/>
            </w:pPr>
            <w:r>
              <w:t>38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center"/>
            </w:pPr>
            <w:r>
              <w:t>32</w:t>
            </w:r>
          </w:p>
        </w:tc>
      </w:tr>
      <w:tr w:rsidR="00541E3F">
        <w:tc>
          <w:tcPr>
            <w:tcW w:w="5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both"/>
            </w:pPr>
            <w:r>
              <w:t>Листування з органами нотаріату</w:t>
            </w:r>
          </w:p>
          <w:p w:rsidR="00541E3F" w:rsidRDefault="00541E3F">
            <w:pPr>
              <w:widowControl w:val="0"/>
              <w:jc w:val="both"/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ind w:left="-108"/>
              <w:jc w:val="center"/>
            </w:pPr>
            <w:r>
              <w:t>3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center"/>
            </w:pPr>
            <w:r>
              <w:t>1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center"/>
            </w:pPr>
            <w: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center"/>
            </w:pPr>
            <w:r>
              <w:t>1</w:t>
            </w:r>
          </w:p>
        </w:tc>
      </w:tr>
      <w:tr w:rsidR="00541E3F">
        <w:tc>
          <w:tcPr>
            <w:tcW w:w="5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both"/>
            </w:pPr>
            <w:r>
              <w:t>Зареєстровано через систему “</w:t>
            </w:r>
            <w:proofErr w:type="spellStart"/>
            <w:r>
              <w:t>Аскод</w:t>
            </w:r>
            <w:proofErr w:type="spellEnd"/>
            <w:r>
              <w:t>” звернень громадян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ind w:left="-108"/>
              <w:jc w:val="center"/>
            </w:pPr>
            <w:r>
              <w:t>30+</w:t>
            </w:r>
          </w:p>
          <w:p w:rsidR="00541E3F" w:rsidRDefault="005A0EF1">
            <w:pPr>
              <w:widowControl w:val="0"/>
              <w:ind w:left="-108"/>
              <w:jc w:val="center"/>
            </w:pPr>
            <w:r>
              <w:t>1 через ЦНАП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center"/>
            </w:pPr>
            <w:r>
              <w:t>61+</w:t>
            </w:r>
          </w:p>
          <w:p w:rsidR="00541E3F" w:rsidRDefault="005A0EF1">
            <w:pPr>
              <w:widowControl w:val="0"/>
              <w:jc w:val="center"/>
            </w:pPr>
            <w:r>
              <w:t>1 через</w:t>
            </w:r>
            <w:r>
              <w:t xml:space="preserve"> ЦНАП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91+</w:t>
            </w:r>
          </w:p>
          <w:p w:rsidR="00541E3F" w:rsidRDefault="005A0EF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 через ЦНАП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center"/>
            </w:pPr>
            <w:r>
              <w:t>57+</w:t>
            </w:r>
          </w:p>
          <w:p w:rsidR="00541E3F" w:rsidRDefault="005A0EF1">
            <w:pPr>
              <w:widowControl w:val="0"/>
              <w:jc w:val="center"/>
            </w:pPr>
            <w:r>
              <w:t>2 через ЦНАП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center"/>
            </w:pPr>
            <w:r>
              <w:t>57+</w:t>
            </w:r>
          </w:p>
          <w:p w:rsidR="00541E3F" w:rsidRDefault="005A0EF1">
            <w:pPr>
              <w:widowControl w:val="0"/>
              <w:jc w:val="center"/>
            </w:pPr>
            <w:r>
              <w:t>2 через ЦНАП</w:t>
            </w:r>
          </w:p>
        </w:tc>
      </w:tr>
      <w:tr w:rsidR="00541E3F">
        <w:tc>
          <w:tcPr>
            <w:tcW w:w="5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both"/>
            </w:pPr>
            <w:r>
              <w:t>Надійшло усних звернень (</w:t>
            </w:r>
            <w:proofErr w:type="spellStart"/>
            <w:r>
              <w:t>внесено</w:t>
            </w:r>
            <w:proofErr w:type="spellEnd"/>
            <w:r>
              <w:t xml:space="preserve"> до журналу обліку особистого прийому) (надання консультацій та роз’яснень жителям сіл щодня)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ind w:left="-108"/>
              <w:jc w:val="center"/>
            </w:pPr>
            <w:r>
              <w:t>13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center"/>
            </w:pPr>
            <w:r>
              <w:t>21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center"/>
            </w:pPr>
            <w:r>
              <w:t>50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center"/>
            </w:pPr>
            <w:r>
              <w:t>46</w:t>
            </w:r>
          </w:p>
        </w:tc>
      </w:tr>
      <w:tr w:rsidR="00541E3F">
        <w:tc>
          <w:tcPr>
            <w:tcW w:w="5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both"/>
            </w:pPr>
            <w:r>
              <w:t>Підготовка актів різного типу</w:t>
            </w:r>
          </w:p>
          <w:p w:rsidR="00541E3F" w:rsidRDefault="00541E3F">
            <w:pPr>
              <w:widowControl w:val="0"/>
              <w:jc w:val="both"/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ind w:left="-108"/>
              <w:jc w:val="center"/>
            </w:pPr>
            <w:r>
              <w:t>16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center"/>
            </w:pPr>
            <w:r>
              <w:t>50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center"/>
            </w:pPr>
            <w:r>
              <w:t>31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center"/>
            </w:pPr>
            <w:r>
              <w:t>32</w:t>
            </w:r>
          </w:p>
        </w:tc>
      </w:tr>
      <w:tr w:rsidR="00541E3F">
        <w:tc>
          <w:tcPr>
            <w:tcW w:w="5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both"/>
            </w:pPr>
            <w:r>
              <w:t xml:space="preserve">Підготовка виписок з книг </w:t>
            </w:r>
            <w:proofErr w:type="spellStart"/>
            <w:r>
              <w:t>погосподарського</w:t>
            </w:r>
            <w:proofErr w:type="spellEnd"/>
            <w:r>
              <w:t xml:space="preserve"> обліку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ind w:left="-108"/>
              <w:jc w:val="center"/>
            </w:pPr>
            <w:r>
              <w:t>3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center"/>
            </w:pPr>
            <w:r>
              <w:t>6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23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center"/>
            </w:pPr>
            <w:r>
              <w:t>4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center"/>
            </w:pPr>
            <w:r>
              <w:t>4</w:t>
            </w:r>
          </w:p>
        </w:tc>
      </w:tr>
      <w:tr w:rsidR="00541E3F"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both"/>
            </w:pPr>
            <w:r>
              <w:t xml:space="preserve">Підготовка характеристик на жителів </w:t>
            </w:r>
            <w:proofErr w:type="spellStart"/>
            <w:r>
              <w:t>старостинського</w:t>
            </w:r>
            <w:proofErr w:type="spellEnd"/>
            <w:r>
              <w:t xml:space="preserve"> округу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ind w:left="-108"/>
              <w:jc w:val="center"/>
            </w:pPr>
            <w:r>
              <w:t>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center"/>
            </w:pPr>
            <w:r>
              <w:t>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center"/>
            </w:pPr>
            <w:r>
              <w:t>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center"/>
            </w:pPr>
            <w:r>
              <w:t>3</w:t>
            </w:r>
          </w:p>
        </w:tc>
      </w:tr>
      <w:tr w:rsidR="00541E3F">
        <w:tc>
          <w:tcPr>
            <w:tcW w:w="5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both"/>
            </w:pPr>
            <w:r>
              <w:t>Підготовка довідок різного типу</w:t>
            </w:r>
          </w:p>
          <w:p w:rsidR="00541E3F" w:rsidRDefault="00541E3F">
            <w:pPr>
              <w:widowControl w:val="0"/>
              <w:jc w:val="both"/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ind w:left="-108"/>
              <w:jc w:val="center"/>
            </w:pPr>
            <w:r>
              <w:t>16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center"/>
            </w:pPr>
            <w:r>
              <w:t>20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541E3F"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both"/>
            </w:pPr>
            <w:r>
              <w:t>Підготовка проектів довіреностей</w:t>
            </w:r>
          </w:p>
          <w:p w:rsidR="00541E3F" w:rsidRDefault="00541E3F">
            <w:pPr>
              <w:widowControl w:val="0"/>
              <w:jc w:val="both"/>
            </w:pPr>
          </w:p>
          <w:p w:rsidR="00541E3F" w:rsidRDefault="00541E3F">
            <w:pPr>
              <w:widowControl w:val="0"/>
              <w:jc w:val="both"/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ind w:left="-108"/>
              <w:jc w:val="center"/>
            </w:pPr>
            <w:r>
              <w:t>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center"/>
            </w:pPr>
            <w:r>
              <w:t>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541E3F"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both"/>
            </w:pPr>
            <w:r>
              <w:t xml:space="preserve">Підготовка проектів </w:t>
            </w:r>
            <w:r>
              <w:t>документів для вчинення нотаріальних дій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ind w:left="-108"/>
              <w:jc w:val="center"/>
            </w:pPr>
            <w:r>
              <w:t>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center"/>
            </w:pPr>
            <w:r>
              <w:t>11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35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center"/>
            </w:pPr>
            <w:r>
              <w:t>49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center"/>
            </w:pPr>
            <w:r>
              <w:t>10</w:t>
            </w:r>
          </w:p>
        </w:tc>
      </w:tr>
      <w:tr w:rsidR="00541E3F">
        <w:trPr>
          <w:trHeight w:val="787"/>
        </w:trPr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both"/>
            </w:pPr>
            <w:r>
              <w:t>Підготовка проектів архівних довідок про заробітну плату/</w:t>
            </w:r>
          </w:p>
          <w:p w:rsidR="00541E3F" w:rsidRDefault="005A0EF1">
            <w:pPr>
              <w:widowControl w:val="0"/>
              <w:jc w:val="both"/>
            </w:pPr>
            <w:r>
              <w:rPr>
                <w:i/>
              </w:rPr>
              <w:t xml:space="preserve">Видано сертифікатів на право на </w:t>
            </w:r>
            <w:proofErr w:type="spellStart"/>
            <w:r>
              <w:rPr>
                <w:i/>
              </w:rPr>
              <w:t>зем</w:t>
            </w:r>
            <w:proofErr w:type="spellEnd"/>
            <w:r>
              <w:rPr>
                <w:i/>
              </w:rPr>
              <w:t>. частку (пай</w:t>
            </w:r>
            <w:r>
              <w:t>)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ind w:left="-108"/>
              <w:jc w:val="center"/>
            </w:pPr>
            <w:r>
              <w:t>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center"/>
            </w:pPr>
            <w:r>
              <w:t>1/1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541E3F" w:rsidRDefault="00541E3F">
            <w:pPr>
              <w:widowControl w:val="0"/>
              <w:jc w:val="center"/>
              <w:rPr>
                <w:color w:val="000000"/>
              </w:rPr>
            </w:pPr>
          </w:p>
          <w:p w:rsidR="00541E3F" w:rsidRDefault="005A0EF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center"/>
            </w:pPr>
            <w:r>
              <w:t>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center"/>
            </w:pPr>
            <w:r>
              <w:t>3</w:t>
            </w:r>
          </w:p>
          <w:p w:rsidR="00541E3F" w:rsidRDefault="00541E3F">
            <w:pPr>
              <w:widowControl w:val="0"/>
              <w:jc w:val="center"/>
            </w:pPr>
          </w:p>
          <w:p w:rsidR="00541E3F" w:rsidRDefault="005A0EF1">
            <w:pPr>
              <w:widowControl w:val="0"/>
              <w:jc w:val="center"/>
            </w:pPr>
            <w:r>
              <w:t>0</w:t>
            </w:r>
          </w:p>
        </w:tc>
      </w:tr>
      <w:tr w:rsidR="00541E3F">
        <w:trPr>
          <w:trHeight w:val="435"/>
        </w:trPr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both"/>
            </w:pPr>
            <w:r>
              <w:t>Адвокатські запити/відповіді</w:t>
            </w:r>
          </w:p>
          <w:p w:rsidR="00541E3F" w:rsidRDefault="00541E3F">
            <w:pPr>
              <w:widowControl w:val="0"/>
              <w:jc w:val="both"/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ind w:left="-108"/>
              <w:jc w:val="center"/>
            </w:pPr>
            <w:r>
              <w:t>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center"/>
            </w:pPr>
            <w:r>
              <w:t>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center"/>
            </w:pPr>
            <w:r>
              <w:t>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center"/>
            </w:pPr>
            <w:r>
              <w:t>1</w:t>
            </w:r>
          </w:p>
        </w:tc>
      </w:tr>
      <w:tr w:rsidR="00541E3F">
        <w:trPr>
          <w:trHeight w:val="609"/>
        </w:trPr>
        <w:tc>
          <w:tcPr>
            <w:tcW w:w="5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both"/>
            </w:pPr>
            <w:r>
              <w:t xml:space="preserve">Прийняття документів на дотації </w:t>
            </w:r>
            <w:r>
              <w:t>щодо програм АПК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ind w:left="-108"/>
              <w:jc w:val="center"/>
            </w:pPr>
            <w:r>
              <w:t>0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center"/>
            </w:pPr>
            <w:r>
              <w:t>0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3F" w:rsidRDefault="005A0EF1">
            <w:pPr>
              <w:widowControl w:val="0"/>
              <w:jc w:val="center"/>
            </w:pPr>
            <w:r>
              <w:t>0</w:t>
            </w:r>
          </w:p>
        </w:tc>
      </w:tr>
    </w:tbl>
    <w:p w:rsidR="00541E3F" w:rsidRDefault="00541E3F"/>
    <w:p w:rsidR="00541E3F" w:rsidRDefault="00541E3F"/>
    <w:p w:rsidR="00541E3F" w:rsidRDefault="00541E3F">
      <w:bookmarkStart w:id="1" w:name="_GoBack"/>
      <w:bookmarkEnd w:id="1"/>
    </w:p>
    <w:sectPr w:rsidR="00541E3F">
      <w:headerReference w:type="default" r:id="rId8"/>
      <w:footerReference w:type="default" r:id="rId9"/>
      <w:pgSz w:w="16838" w:h="11906" w:orient="landscape"/>
      <w:pgMar w:top="596" w:right="1418" w:bottom="1797" w:left="851" w:header="539" w:footer="51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A0EF1">
      <w:r>
        <w:separator/>
      </w:r>
    </w:p>
  </w:endnote>
  <w:endnote w:type="continuationSeparator" w:id="0">
    <w:p w:rsidR="00000000" w:rsidRDefault="005A0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;Century Gothic">
    <w:altName w:val="Times New Roman"/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E3F" w:rsidRDefault="00541E3F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E3F" w:rsidRDefault="00541E3F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A0EF1">
      <w:r>
        <w:separator/>
      </w:r>
    </w:p>
  </w:footnote>
  <w:footnote w:type="continuationSeparator" w:id="0">
    <w:p w:rsidR="00000000" w:rsidRDefault="005A0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E3F" w:rsidRDefault="00541E3F">
    <w:pPr>
      <w:pStyle w:val="af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E3F" w:rsidRDefault="00541E3F">
    <w:pPr>
      <w:pStyle w:val="af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E3F"/>
    <w:rsid w:val="00541E3F"/>
    <w:rsid w:val="005A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53DA8E7-305C-4391-B275-CA69D5E6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4">
    <w:name w:val="WW8Num3z4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a3">
    <w:name w:val="Основной шрифт абзаца"/>
    <w:qFormat/>
  </w:style>
  <w:style w:type="character" w:customStyle="1" w:styleId="1">
    <w:name w:val="Шрифт абзацу за промовчанням1"/>
    <w:qFormat/>
  </w:style>
  <w:style w:type="character" w:customStyle="1" w:styleId="apple-converted-space">
    <w:name w:val="apple-converted-space"/>
    <w:basedOn w:val="1"/>
    <w:qFormat/>
  </w:style>
  <w:style w:type="character" w:customStyle="1" w:styleId="a4">
    <w:name w:val="Текст у виносці Знак"/>
    <w:qFormat/>
    <w:rPr>
      <w:rFonts w:ascii="Segoe UI" w:hAnsi="Segoe UI" w:cs="Segoe UI"/>
      <w:bCs/>
      <w:sz w:val="18"/>
      <w:szCs w:val="18"/>
      <w:lang w:eastAsia="zh-CN"/>
    </w:rPr>
  </w:style>
  <w:style w:type="character" w:customStyle="1" w:styleId="a5">
    <w:name w:val="Виділення жирним"/>
    <w:qFormat/>
    <w:rPr>
      <w:b/>
      <w:bCs/>
    </w:rPr>
  </w:style>
  <w:style w:type="character" w:styleId="a6">
    <w:name w:val="Hyperlink"/>
    <w:rPr>
      <w:color w:val="000080"/>
      <w:u w:val="single"/>
    </w:rPr>
  </w:style>
  <w:style w:type="character" w:customStyle="1" w:styleId="a7">
    <w:name w:val="Відвідане гіперпосилання"/>
    <w:rPr>
      <w:color w:val="800000"/>
      <w:u w:val="single"/>
    </w:rPr>
  </w:style>
  <w:style w:type="character" w:styleId="a8">
    <w:name w:val="Emphasis"/>
    <w:basedOn w:val="a3"/>
    <w:qFormat/>
    <w:rPr>
      <w:rFonts w:ascii="Calibri;Century Gothic" w:hAnsi="Calibri;Century Gothic" w:cs="Calibri;Century Gothic"/>
      <w:b/>
      <w:i/>
      <w:iCs/>
    </w:rPr>
  </w:style>
  <w:style w:type="character" w:customStyle="1" w:styleId="a9">
    <w:name w:val="Символ нумерації"/>
    <w:qFormat/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af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0">
    <w:name w:val="Вміст таблиці"/>
    <w:basedOn w:val="a"/>
    <w:qFormat/>
    <w:pPr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</w:rPr>
  </w:style>
  <w:style w:type="paragraph" w:customStyle="1" w:styleId="af2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3">
    <w:name w:val="footer"/>
    <w:basedOn w:val="a"/>
    <w:pPr>
      <w:suppressLineNumbers/>
      <w:tabs>
        <w:tab w:val="center" w:pos="4650"/>
        <w:tab w:val="right" w:pos="9300"/>
      </w:tabs>
    </w:pPr>
  </w:style>
  <w:style w:type="paragraph" w:styleId="af4">
    <w:name w:val="header"/>
    <w:basedOn w:val="a"/>
    <w:pPr>
      <w:suppressLineNumbers/>
      <w:tabs>
        <w:tab w:val="center" w:pos="4650"/>
        <w:tab w:val="right" w:pos="9300"/>
      </w:tabs>
    </w:pPr>
  </w:style>
  <w:style w:type="paragraph" w:styleId="af5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6">
    <w:name w:val="List Paragraph"/>
    <w:basedOn w:val="a"/>
    <w:qFormat/>
    <w:pPr>
      <w:ind w:left="291" w:right="123" w:firstLine="599"/>
    </w:pPr>
    <w:rPr>
      <w:lang w:eastAsia="en-US"/>
    </w:rPr>
  </w:style>
  <w:style w:type="paragraph" w:styleId="af7">
    <w:name w:val="No Spacing"/>
    <w:qFormat/>
    <w:pPr>
      <w:widowControl w:val="0"/>
      <w:overflowPunct w:val="0"/>
    </w:pPr>
    <w:rPr>
      <w:rFonts w:ascii="Arial" w:eastAsia="Tahoma" w:hAnsi="Arial" w:cs="Mangal"/>
      <w:color w:val="00000A"/>
      <w:sz w:val="36"/>
    </w:rPr>
  </w:style>
  <w:style w:type="paragraph" w:customStyle="1" w:styleId="western">
    <w:name w:val="western"/>
    <w:basedOn w:val="a"/>
    <w:qFormat/>
    <w:pPr>
      <w:spacing w:before="280" w:after="119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Standard">
    <w:name w:val="Standard"/>
    <w:qFormat/>
    <w:pPr>
      <w:widowControl w:val="0"/>
      <w:overflowPunct w:val="0"/>
      <w:textAlignment w:val="baseline"/>
    </w:pPr>
    <w:rPr>
      <w:rFonts w:ascii="Calibri" w:eastAsia="Calibri" w:hAnsi="Calibri" w:cs="Calibri"/>
      <w:sz w:val="22"/>
      <w:szCs w:val="22"/>
      <w:lang w:eastAsia="en-US" w:bidi="ar-SA"/>
    </w:rPr>
  </w:style>
  <w:style w:type="paragraph" w:customStyle="1" w:styleId="af8">
    <w:name w:val="Абзац списка"/>
    <w:basedOn w:val="a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13</Pages>
  <Words>17715</Words>
  <Characters>10098</Characters>
  <Application>Microsoft Office Word</Application>
  <DocSecurity>0</DocSecurity>
  <Lines>84</Lines>
  <Paragraphs>55</Paragraphs>
  <ScaleCrop>false</ScaleCrop>
  <Company/>
  <LinksUpToDate>false</LinksUpToDate>
  <CharactersWithSpaces>27758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Kostjuk</dc:creator>
  <dc:description/>
  <cp:lastModifiedBy>Тетяна Тирилюк</cp:lastModifiedBy>
  <cp:revision>95</cp:revision>
  <cp:lastPrinted>2025-04-16T10:57:00Z</cp:lastPrinted>
  <dcterms:created xsi:type="dcterms:W3CDTF">2021-07-21T11:23:00Z</dcterms:created>
  <dcterms:modified xsi:type="dcterms:W3CDTF">2025-05-15T13:09:00Z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