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4EB5" w:rsidRDefault="007C585D">
      <w:pPr>
        <w:pStyle w:val="ab"/>
        <w:ind w:firstLine="850"/>
        <w:jc w:val="center"/>
      </w:pPr>
      <w:bookmarkStart w:id="0" w:name="_GoBack"/>
      <w:bookmarkEnd w:id="0"/>
      <w:r>
        <w:rPr>
          <w:b/>
          <w:color w:val="222222"/>
          <w:szCs w:val="28"/>
        </w:rPr>
        <w:t>Про роботу управління персоналу Луцької міської ради                                        за ІІ та ІІІ квартали 2024 року</w:t>
      </w:r>
    </w:p>
    <w:p w:rsidR="00AA4EB5" w:rsidRDefault="007C585D">
      <w:pPr>
        <w:pStyle w:val="af7"/>
        <w:tabs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Управління персоналу Луцької міської ради здійснює свою діяльність відповідно до Положення про управління персоналу Луцької міської ради, затвердженого рішенням Луцької міської ради </w:t>
      </w:r>
      <w:r>
        <w:rPr>
          <w:rFonts w:ascii="Times New Roman" w:hAnsi="Times New Roman" w:cs="Times New Roman"/>
          <w:color w:val="222222"/>
          <w:sz w:val="28"/>
          <w:szCs w:val="28"/>
        </w:rPr>
        <w:t>від 28.04.2021 №10/70</w:t>
      </w:r>
      <w:r>
        <w:rPr>
          <w:rFonts w:ascii="Times New Roman" w:hAnsi="Times New Roman" w:cs="Times New Roman"/>
          <w:sz w:val="28"/>
          <w:szCs w:val="28"/>
        </w:rPr>
        <w:t xml:space="preserve"> та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забезпечує кадровий менеджмент у виконавчих органах міської ради,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розроблення,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організацію та контроль за проведенням заходів щодо запобігання корупційним правопорушенням та правопорушенням, пов'язаним з корупцією; організовує і забезпечує документаційне 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організаційно-технічне обслуговування діяльності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округів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A4EB5" w:rsidRDefault="007C585D">
      <w:pPr>
        <w:pStyle w:val="af7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1.Рух кадрів у виконавчих органах міської ради.</w:t>
      </w:r>
    </w:p>
    <w:p w:rsidR="00AA4EB5" w:rsidRDefault="007C585D">
      <w:pPr>
        <w:pStyle w:val="af7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Формування особового складу виконавчих органів міської ради здійснюється у відповідності до норм трудового законодавства з ур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ахуванням вимог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highlight w:val="white"/>
          <w:shd w:val="clear" w:color="auto" w:fill="FFFFFF"/>
        </w:rPr>
        <w:t xml:space="preserve">Закону України </w:t>
      </w:r>
      <w:r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highlight w:val="white"/>
          <w:shd w:val="clear" w:color="auto" w:fill="FFFFFF"/>
        </w:rPr>
        <w:t>“Про правовий режим воєнного стану”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також  Закону України “Про службу в органах місцевого самоврядування”, інших нормативних документів, що регулюють порядок призначення на посади посадових осіб місцевого самоврядування. </w:t>
      </w:r>
    </w:p>
    <w:p w:rsidR="00AA4EB5" w:rsidRDefault="00AA4EB5">
      <w:pPr>
        <w:pStyle w:val="af7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888" w:type="dxa"/>
        <w:tblInd w:w="-201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58"/>
        <w:gridCol w:w="997"/>
        <w:gridCol w:w="1189"/>
        <w:gridCol w:w="1163"/>
        <w:gridCol w:w="1372"/>
        <w:gridCol w:w="1302"/>
        <w:gridCol w:w="1365"/>
        <w:gridCol w:w="1142"/>
      </w:tblGrid>
      <w:tr w:rsidR="00AA4EB5">
        <w:trPr>
          <w:trHeight w:val="582"/>
        </w:trPr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Призначено/прийнято: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*по переводу з  органів місцевого самоврядування, органів виконав</w:t>
            </w:r>
          </w:p>
          <w:p w:rsidR="00AA4EB5" w:rsidRDefault="007C585D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чої</w:t>
            </w:r>
            <w:proofErr w:type="spellEnd"/>
            <w:r>
              <w:rPr>
                <w:sz w:val="21"/>
                <w:szCs w:val="21"/>
              </w:rPr>
              <w:t xml:space="preserve"> влади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*за загальним трудовим законодавством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</w:pPr>
            <w:r>
              <w:rPr>
                <w:sz w:val="21"/>
                <w:szCs w:val="21"/>
              </w:rPr>
              <w:t>*</w:t>
            </w:r>
            <w:r>
              <w:rPr>
                <w:iCs/>
                <w:color w:val="000000"/>
                <w:sz w:val="21"/>
                <w:szCs w:val="21"/>
                <w:highlight w:val="white"/>
                <w:shd w:val="clear" w:color="auto" w:fill="FFFFFF"/>
              </w:rPr>
              <w:t xml:space="preserve">відповідно до вимог статей 9, 10 Закону України </w:t>
            </w:r>
            <w:r>
              <w:rPr>
                <w:rStyle w:val="a5"/>
                <w:b w:val="0"/>
                <w:iCs/>
                <w:color w:val="000000"/>
                <w:sz w:val="21"/>
                <w:szCs w:val="21"/>
                <w:highlight w:val="white"/>
                <w:shd w:val="clear" w:color="auto" w:fill="FFFFFF"/>
              </w:rPr>
              <w:t>“Про правовий режим воєнного стану”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Переведено в межах виконавчих </w:t>
            </w:r>
            <w:r>
              <w:rPr>
                <w:b/>
                <w:sz w:val="20"/>
                <w:szCs w:val="20"/>
              </w:rPr>
              <w:t>органів міської ради: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 вищі посади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в межах категорії посад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нижчі посади</w:t>
            </w:r>
          </w:p>
          <w:p w:rsidR="00AA4EB5" w:rsidRDefault="007C58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(за згодою)</w:t>
            </w:r>
          </w:p>
        </w:tc>
      </w:tr>
      <w:tr w:rsidR="00AA4EB5">
        <w:trPr>
          <w:trHeight w:val="308"/>
        </w:trPr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49</w:t>
            </w:r>
          </w:p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61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A4EB5"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 строкових трудових договорів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>
              <w:rPr>
                <w:sz w:val="20"/>
                <w:szCs w:val="20"/>
              </w:rPr>
              <w:t>підго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AA4EB5" w:rsidRDefault="007C585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товлено</w:t>
            </w:r>
            <w:proofErr w:type="spellEnd"/>
            <w:r>
              <w:rPr>
                <w:sz w:val="20"/>
                <w:szCs w:val="20"/>
              </w:rPr>
              <w:t xml:space="preserve"> додаткових угод до них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Укладено </w:t>
            </w:r>
            <w:r>
              <w:rPr>
                <w:b/>
                <w:sz w:val="20"/>
                <w:szCs w:val="20"/>
              </w:rPr>
              <w:t>контрактів з керівниками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A4EB5">
        <w:trPr>
          <w:trHeight w:val="337"/>
        </w:trPr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3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6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A4EB5"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Звільнено: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угодою сторін</w:t>
            </w:r>
          </w:p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ст.36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власним бажанням</w:t>
            </w:r>
          </w:p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ст.38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за </w:t>
            </w:r>
            <w:proofErr w:type="spellStart"/>
            <w:r>
              <w:rPr>
                <w:sz w:val="20"/>
                <w:szCs w:val="20"/>
              </w:rPr>
              <w:t>переведен</w:t>
            </w:r>
            <w:proofErr w:type="spellEnd"/>
          </w:p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ням</w:t>
            </w:r>
            <w:proofErr w:type="spellEnd"/>
            <w:r>
              <w:rPr>
                <w:sz w:val="20"/>
                <w:szCs w:val="20"/>
              </w:rPr>
              <w:t xml:space="preserve"> в іншу установу, організацію</w:t>
            </w:r>
          </w:p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ст.36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скороченням штату</w:t>
            </w:r>
          </w:p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ст.40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у зв'язку із закінченням строкового трудового договору</w:t>
            </w:r>
          </w:p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ст.36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*інша підстава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Увільнено у зв'язку з призовом на військову службу</w:t>
            </w:r>
          </w:p>
        </w:tc>
      </w:tr>
      <w:tr w:rsidR="00AA4EB5"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51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</w:t>
            </w:r>
          </w:p>
        </w:tc>
      </w:tr>
      <w:tr w:rsidR="00AA4EB5"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Стажування пройшли: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межах кадрового резерву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з подальшим переведенням </w:t>
            </w:r>
            <w:r>
              <w:rPr>
                <w:sz w:val="20"/>
                <w:szCs w:val="20"/>
              </w:rPr>
              <w:t>на посаду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інше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Проведено</w:t>
            </w:r>
          </w:p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адаптацію </w:t>
            </w:r>
            <w:proofErr w:type="spellStart"/>
            <w:r>
              <w:rPr>
                <w:b/>
                <w:sz w:val="20"/>
                <w:szCs w:val="20"/>
              </w:rPr>
              <w:t>новопризна-чених</w:t>
            </w:r>
            <w:proofErr w:type="spellEnd"/>
            <w:r>
              <w:rPr>
                <w:b/>
                <w:sz w:val="20"/>
                <w:szCs w:val="20"/>
              </w:rPr>
              <w:t xml:space="preserve"> працівників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A4EB5"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Всього:  139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AA4EB5">
            <w:pPr>
              <w:pStyle w:val="af0"/>
              <w:widowControl w:val="0"/>
              <w:jc w:val="center"/>
            </w:pPr>
          </w:p>
        </w:tc>
      </w:tr>
      <w:tr w:rsidR="00AA4EB5"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Встановлено надбавки за вислугу років: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 роки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5 років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 років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 років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 років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*25 років і більше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Присвоєно рангів:</w:t>
            </w:r>
          </w:p>
        </w:tc>
      </w:tr>
      <w:tr w:rsidR="00AA4EB5"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53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4EB5" w:rsidRDefault="007C585D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10</w:t>
            </w:r>
          </w:p>
        </w:tc>
      </w:tr>
    </w:tbl>
    <w:p w:rsidR="00AA4EB5" w:rsidRDefault="007C585D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tab/>
      </w:r>
    </w:p>
    <w:p w:rsidR="00AA4EB5" w:rsidRDefault="007C585D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000000"/>
          <w:szCs w:val="28"/>
          <w:shd w:val="clear" w:color="auto" w:fill="FFFFFF"/>
          <w:lang w:eastAsia="ru-RU"/>
        </w:rPr>
        <w:tab/>
        <w:t xml:space="preserve">Відповідно до постанови Кабінету Міністрів України від 30.04.2024                 № 484 “Про внесення змін до постанови Кабінету Міністрів України від                        09 березня 2006 року № 268”, у зв’язку із підвищенням розмірів </w:t>
      </w:r>
      <w:r>
        <w:rPr>
          <w:bCs w:val="0"/>
          <w:color w:val="000000"/>
          <w:szCs w:val="28"/>
          <w:shd w:val="clear" w:color="auto" w:fill="FFFFFF"/>
          <w:lang w:eastAsia="ru-RU"/>
        </w:rPr>
        <w:t>посадових              окладів посадовим особам органів місцевого самоврядування затверджено штатні розписи апарату міської ради та виконавчого комітету, виконавчих органів міської ради.</w:t>
      </w:r>
    </w:p>
    <w:p w:rsidR="00AA4EB5" w:rsidRDefault="007C585D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</w:r>
      <w:r>
        <w:rPr>
          <w:color w:val="000000"/>
          <w:szCs w:val="28"/>
          <w:shd w:val="clear" w:color="auto" w:fill="FFFFFF"/>
        </w:rPr>
        <w:tab/>
        <w:t>Відповідно до розпоряджень міського голови від 15.04.2024 № 15-ра “</w:t>
      </w:r>
      <w:r>
        <w:rPr>
          <w:color w:val="000000"/>
          <w:szCs w:val="28"/>
          <w:shd w:val="clear" w:color="auto" w:fill="FFFFFF"/>
        </w:rPr>
        <w:t>Про внесення змін до штатного розпису департаменту соціальної та ветеранської політики Луцької міської ради”, від 12.08.2024 № 29-ра “Про внесення змін до штатного розпису служби у справах дітей Луцької міської ради”  проведена робота щодо затвердження пол</w:t>
      </w:r>
      <w:r>
        <w:rPr>
          <w:color w:val="000000"/>
          <w:szCs w:val="28"/>
          <w:shd w:val="clear" w:color="auto" w:fill="FFFFFF"/>
        </w:rPr>
        <w:t>ожень  про структурні підрозділи департаменту соціальної та ветеранської політики, служби у справах дітей та посадові інструкції. Забезпечено  організацію стажування 58 посадових осіб місцевого самоврядування на новостворених посадах та підготовку розпоряд</w:t>
      </w:r>
      <w:r>
        <w:rPr>
          <w:color w:val="000000"/>
          <w:szCs w:val="28"/>
          <w:shd w:val="clear" w:color="auto" w:fill="FFFFFF"/>
        </w:rPr>
        <w:t xml:space="preserve">жень міського голови щодо  призначення/переведення за результатами їх стажування, а також організації адаптації новопризначених працівників. </w:t>
      </w:r>
    </w:p>
    <w:p w:rsidR="00AA4EB5" w:rsidRDefault="007C585D">
      <w:pPr>
        <w:pStyle w:val="ab"/>
        <w:tabs>
          <w:tab w:val="left" w:pos="567"/>
        </w:tabs>
        <w:spacing w:after="0" w:line="240" w:lineRule="auto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>
        <w:rPr>
          <w:bCs w:val="0"/>
          <w:color w:val="C9211E"/>
          <w:szCs w:val="28"/>
          <w:shd w:val="clear" w:color="auto" w:fill="FFFFFF"/>
        </w:rPr>
        <w:tab/>
      </w:r>
      <w:r>
        <w:rPr>
          <w:bCs w:val="0"/>
          <w:color w:val="0A0909"/>
          <w:szCs w:val="28"/>
          <w:shd w:val="clear" w:color="auto" w:fill="FFFFFF"/>
        </w:rPr>
        <w:t>Упродовж звітного періоду актуалізовано посадові інструкції працівників  департаменту економічної політики, депа</w:t>
      </w:r>
      <w:r>
        <w:rPr>
          <w:bCs w:val="0"/>
          <w:color w:val="0A0909"/>
          <w:szCs w:val="28"/>
          <w:shd w:val="clear" w:color="auto" w:fill="FFFFFF"/>
        </w:rPr>
        <w:t>ртаменту соціальної та ветеранської політики, департаменту освіти, департаменту муніципальної варти, відділу з питань праці та архівного відділу.</w:t>
      </w:r>
    </w:p>
    <w:p w:rsidR="00AA4EB5" w:rsidRDefault="007C585D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0A0909"/>
          <w:szCs w:val="28"/>
          <w:shd w:val="clear" w:color="auto" w:fill="FFFFFF"/>
        </w:rPr>
        <w:tab/>
        <w:t>Управлінням персоналу проведена робота щодо підготовки розпорядження міського голови про внесення зміни до ро</w:t>
      </w:r>
      <w:r>
        <w:rPr>
          <w:bCs w:val="0"/>
          <w:color w:val="0A0909"/>
          <w:szCs w:val="28"/>
          <w:shd w:val="clear" w:color="auto" w:fill="FFFFFF"/>
        </w:rPr>
        <w:t xml:space="preserve">зпорядження міського голови від 13.12.2021 № 164-ра “Про розподіл обов’язків між міським головою, секретарем міської ради, заступником міського голови, заступником міського голови, керуючим справами виконкому”. </w:t>
      </w:r>
    </w:p>
    <w:p w:rsidR="00AA4EB5" w:rsidRDefault="007C585D">
      <w:pPr>
        <w:tabs>
          <w:tab w:val="left" w:pos="567"/>
        </w:tabs>
        <w:ind w:firstLine="540"/>
        <w:jc w:val="both"/>
        <w:rPr>
          <w:szCs w:val="28"/>
        </w:rPr>
      </w:pPr>
      <w:r>
        <w:rPr>
          <w:szCs w:val="28"/>
        </w:rPr>
        <w:tab/>
      </w:r>
      <w:r>
        <w:rPr>
          <w:b/>
          <w:bCs w:val="0"/>
          <w:color w:val="000000"/>
          <w:szCs w:val="28"/>
          <w:shd w:val="clear" w:color="auto" w:fill="FFFFFF"/>
        </w:rPr>
        <w:t>2</w:t>
      </w:r>
      <w:r>
        <w:rPr>
          <w:b/>
          <w:bCs w:val="0"/>
          <w:color w:val="000000"/>
          <w:szCs w:val="28"/>
          <w:shd w:val="clear" w:color="auto" w:fill="FFFFFF"/>
        </w:rPr>
        <w:t>. Розгляд пропозицій, заяв, скарг громадян</w:t>
      </w:r>
      <w:r>
        <w:rPr>
          <w:b/>
          <w:bCs w:val="0"/>
          <w:color w:val="000000"/>
          <w:szCs w:val="28"/>
          <w:shd w:val="clear" w:color="auto" w:fill="FFFFFF"/>
        </w:rPr>
        <w:t xml:space="preserve">, надання роз’яснень з питань, що належать до компетенції управління.  Ведення особових справ працівників. </w:t>
      </w:r>
    </w:p>
    <w:p w:rsidR="00AA4EB5" w:rsidRDefault="007C585D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  <w:t>Управлінням персоналу</w:t>
      </w:r>
      <w:r>
        <w:rPr>
          <w:szCs w:val="28"/>
          <w:shd w:val="clear" w:color="auto" w:fill="FFFFFF"/>
        </w:rPr>
        <w:t xml:space="preserve">  розглянуто </w:t>
      </w:r>
      <w:r>
        <w:rPr>
          <w:szCs w:val="28"/>
          <w:shd w:val="clear" w:color="auto" w:fill="FFFFFF"/>
        </w:rPr>
        <w:t>2967</w:t>
      </w:r>
      <w:r>
        <w:rPr>
          <w:szCs w:val="28"/>
          <w:shd w:val="clear" w:color="auto" w:fill="FFFFFF"/>
        </w:rPr>
        <w:t xml:space="preserve"> заяви щодо прийому на роботу, переведення, звільнення працівників, надання їм відпусток та матеріальних допомог. Підготовлено 1666 розпорядження міського голови з кадрових питань, з них: </w:t>
      </w:r>
      <w:r>
        <w:rPr>
          <w:color w:val="191919"/>
          <w:szCs w:val="28"/>
          <w:shd w:val="clear" w:color="auto" w:fill="FFFFFF"/>
        </w:rPr>
        <w:t>31</w:t>
      </w:r>
      <w:r>
        <w:rPr>
          <w:color w:val="020202"/>
          <w:szCs w:val="28"/>
          <w:shd w:val="clear" w:color="auto" w:fill="FFFFFF"/>
        </w:rPr>
        <w:t xml:space="preserve"> щодо штатних розписів, положень, посадових інструкцій,  порядку п</w:t>
      </w:r>
      <w:r>
        <w:rPr>
          <w:color w:val="020202"/>
          <w:szCs w:val="28"/>
          <w:shd w:val="clear" w:color="auto" w:fill="FFFFFF"/>
        </w:rPr>
        <w:t>роведення щорічної оцінки, плану роботи з кадрами; 891</w:t>
      </w:r>
      <w:r>
        <w:rPr>
          <w:color w:val="020202"/>
          <w:szCs w:val="28"/>
        </w:rPr>
        <w:t xml:space="preserve"> – про прийняття, переведення, звільнення, підвищення кваліфікації, стажування, заохочення (нагородження, преміювання), нарахування матеріальної допомоги, відпустки за власний рахунок; 722 – про щорічні</w:t>
      </w:r>
      <w:r>
        <w:rPr>
          <w:color w:val="020202"/>
          <w:szCs w:val="28"/>
        </w:rPr>
        <w:t xml:space="preserve"> оплачувані відпустки, короткострокові відрядження в межах України та за кордон, 16 – про участь у навчанні, кадровий резерв. </w:t>
      </w:r>
    </w:p>
    <w:p w:rsidR="00AA4EB5" w:rsidRDefault="007C585D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20202"/>
          <w:szCs w:val="28"/>
        </w:rPr>
        <w:lastRenderedPageBreak/>
        <w:tab/>
        <w:t>Підготовлено 3 рішення міської ради щодо затвердження структури виконавчих органів міської ради, загальної чисельності апарату м</w:t>
      </w:r>
      <w:r>
        <w:rPr>
          <w:color w:val="020202"/>
          <w:szCs w:val="28"/>
        </w:rPr>
        <w:t xml:space="preserve">іської ради та її виконавчих органів та внесення змін до Положення про управління персоналу Луцької міської ради з питань ведення військового обліку призовників, військовозобов’язаних та резервістів у </w:t>
      </w:r>
      <w:proofErr w:type="spellStart"/>
      <w:r>
        <w:rPr>
          <w:color w:val="020202"/>
          <w:szCs w:val="28"/>
        </w:rPr>
        <w:t>апараті</w:t>
      </w:r>
      <w:proofErr w:type="spellEnd"/>
      <w:r>
        <w:rPr>
          <w:color w:val="020202"/>
          <w:szCs w:val="28"/>
        </w:rPr>
        <w:t xml:space="preserve"> виконавчого комітету та виконавчих органах Луць</w:t>
      </w:r>
      <w:r>
        <w:rPr>
          <w:color w:val="020202"/>
          <w:szCs w:val="28"/>
        </w:rPr>
        <w:t>кої міської ради.</w:t>
      </w:r>
    </w:p>
    <w:p w:rsidR="00AA4EB5" w:rsidRDefault="007C585D">
      <w:pPr>
        <w:pStyle w:val="af7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Підготовлено 17 наказів управління персоналу з основної діяльності та кадрових питань.</w:t>
      </w: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</w:t>
      </w:r>
    </w:p>
    <w:p w:rsidR="00AA4EB5" w:rsidRDefault="007C585D">
      <w:pPr>
        <w:pStyle w:val="ab"/>
        <w:tabs>
          <w:tab w:val="left" w:pos="567"/>
        </w:tabs>
        <w:spacing w:after="0" w:line="240" w:lineRule="auto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 xml:space="preserve">     </w:t>
      </w:r>
      <w:r>
        <w:rPr>
          <w:bCs w:val="0"/>
          <w:color w:val="000000"/>
          <w:szCs w:val="28"/>
          <w:shd w:val="clear" w:color="auto" w:fill="FFFFFF"/>
        </w:rPr>
        <w:tab/>
        <w:t>Розглянуто 30 звернень громадян, 300 листі</w:t>
      </w:r>
      <w:r>
        <w:rPr>
          <w:bCs w:val="0"/>
          <w:color w:val="000000"/>
          <w:szCs w:val="28"/>
          <w:shd w:val="clear" w:color="auto" w:fill="FFFFFF"/>
        </w:rPr>
        <w:t>в вхідної кореспонденції, підготовлено 63 вихідних листа. Окрім того, протягом звітного періоду управлінням надано інформацію на 14 публічних запитів.</w:t>
      </w:r>
    </w:p>
    <w:p w:rsidR="00AA4EB5" w:rsidRDefault="007C585D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0A0909"/>
          <w:szCs w:val="28"/>
          <w:shd w:val="clear" w:color="auto" w:fill="FFFFFF"/>
        </w:rPr>
        <w:tab/>
      </w:r>
      <w:r>
        <w:rPr>
          <w:szCs w:val="28"/>
        </w:rPr>
        <w:t xml:space="preserve">Протягом звітного періоду підготовлено та видано </w:t>
      </w:r>
      <w:r>
        <w:rPr>
          <w:color w:val="181616"/>
          <w:szCs w:val="28"/>
        </w:rPr>
        <w:t>48</w:t>
      </w:r>
      <w:r>
        <w:rPr>
          <w:szCs w:val="28"/>
        </w:rPr>
        <w:t xml:space="preserve"> </w:t>
      </w:r>
      <w:r>
        <w:rPr>
          <w:color w:val="020202"/>
          <w:szCs w:val="28"/>
        </w:rPr>
        <w:t>–</w:t>
      </w:r>
      <w:r>
        <w:rPr>
          <w:szCs w:val="28"/>
        </w:rPr>
        <w:t xml:space="preserve"> посвідчень-ідентифікаторів працівникам виконавчих </w:t>
      </w:r>
      <w:r>
        <w:rPr>
          <w:szCs w:val="28"/>
        </w:rPr>
        <w:t xml:space="preserve">органів міської ради. Окрім того, оновлено посвідчення працівників департаменту соціальної та ветеранської  політики, служби у справах дітей відповідно до нових штатних розписів. Здійснювався моніторинг автоматизованої системи електронного обліку робочого </w:t>
      </w:r>
      <w:r>
        <w:rPr>
          <w:szCs w:val="28"/>
        </w:rPr>
        <w:t xml:space="preserve">часу щодо виявлення осіб, які вчинили порушення трудової дисципліни. </w:t>
      </w:r>
    </w:p>
    <w:p w:rsidR="00AA4EB5" w:rsidRDefault="007C585D">
      <w:pPr>
        <w:tabs>
          <w:tab w:val="left" w:pos="567"/>
        </w:tabs>
        <w:ind w:firstLine="539"/>
        <w:jc w:val="both"/>
      </w:pPr>
      <w:r>
        <w:rPr>
          <w:rStyle w:val="a5"/>
          <w:b w:val="0"/>
          <w:color w:val="000000"/>
          <w:szCs w:val="28"/>
          <w:shd w:val="clear" w:color="auto" w:fill="FFFFFF"/>
        </w:rPr>
        <w:t>Готувалися довідки з місця роботи працівників, копії трудових книжок.  Окрім того, надавалися численні консультації та роз'яснення працівникам та керівникам виконавчих органів міської ра</w:t>
      </w:r>
      <w:r>
        <w:rPr>
          <w:rStyle w:val="a5"/>
          <w:b w:val="0"/>
          <w:color w:val="000000"/>
          <w:szCs w:val="28"/>
          <w:shd w:val="clear" w:color="auto" w:fill="FFFFFF"/>
        </w:rPr>
        <w:t>ди, керівникам підприємств,  організацій (установ, закладів), що належать до комунальної власності міської територіальної громади, з кадрових питань, з питань законодавства про працю та проходження служби в органах місцевого самоврядування.</w:t>
      </w:r>
    </w:p>
    <w:p w:rsidR="00AA4EB5" w:rsidRDefault="007C585D">
      <w:pPr>
        <w:tabs>
          <w:tab w:val="left" w:pos="567"/>
        </w:tabs>
        <w:ind w:firstLine="540"/>
        <w:jc w:val="both"/>
        <w:rPr>
          <w:szCs w:val="28"/>
        </w:rPr>
      </w:pPr>
      <w:r>
        <w:rPr>
          <w:rStyle w:val="a5"/>
          <w:b w:val="0"/>
          <w:color w:val="0A0909"/>
          <w:szCs w:val="28"/>
          <w:shd w:val="clear" w:color="auto" w:fill="FFFFFF"/>
        </w:rPr>
        <w:t xml:space="preserve">У зв'язку з </w:t>
      </w:r>
      <w:r>
        <w:rPr>
          <w:rStyle w:val="a5"/>
          <w:b w:val="0"/>
          <w:color w:val="0A0909"/>
          <w:szCs w:val="28"/>
          <w:shd w:val="clear" w:color="auto" w:fill="FFFFFF"/>
        </w:rPr>
        <w:t>оновленням облікової системи “Кадри-</w:t>
      </w:r>
      <w:r>
        <w:rPr>
          <w:rStyle w:val="a5"/>
          <w:b w:val="0"/>
          <w:color w:val="0A0909"/>
          <w:szCs w:val="28"/>
          <w:shd w:val="clear" w:color="auto" w:fill="FFFFFF"/>
          <w:lang w:val="en-US"/>
        </w:rPr>
        <w:t>WEB</w:t>
      </w:r>
      <w:r w:rsidRPr="007C585D">
        <w:rPr>
          <w:rStyle w:val="a5"/>
          <w:b w:val="0"/>
          <w:color w:val="0A0909"/>
          <w:szCs w:val="28"/>
          <w:shd w:val="clear" w:color="auto" w:fill="FFFFFF"/>
        </w:rPr>
        <w:t>”</w:t>
      </w:r>
      <w:r>
        <w:rPr>
          <w:rStyle w:val="a5"/>
          <w:b w:val="0"/>
          <w:color w:val="0A0909"/>
          <w:szCs w:val="28"/>
          <w:shd w:val="clear" w:color="auto" w:fill="FFFFFF"/>
        </w:rPr>
        <w:t xml:space="preserve"> працівники управління здійснювали роботу щодо її наповнення та актуалізації. Проведено навчання спільно з розробниками системи та управлінням інформаційно-комунікаційних технологій щодо особливостей роботи системи т</w:t>
      </w:r>
      <w:r>
        <w:rPr>
          <w:rStyle w:val="a5"/>
          <w:b w:val="0"/>
          <w:color w:val="0A0909"/>
          <w:szCs w:val="28"/>
          <w:shd w:val="clear" w:color="auto" w:fill="FFFFFF"/>
        </w:rPr>
        <w:t>а її удосконалення.</w:t>
      </w:r>
    </w:p>
    <w:p w:rsidR="00AA4EB5" w:rsidRDefault="00AA4EB5">
      <w:pPr>
        <w:tabs>
          <w:tab w:val="left" w:pos="567"/>
        </w:tabs>
        <w:ind w:firstLine="540"/>
        <w:jc w:val="both"/>
        <w:rPr>
          <w:szCs w:val="28"/>
        </w:rPr>
      </w:pPr>
    </w:p>
    <w:p w:rsidR="00AA4EB5" w:rsidRDefault="007C585D">
      <w:pPr>
        <w:pStyle w:val="af7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Підвищення рівня професійної компетентності працівників.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Ведеться постійна робота щодо запровадження системності та безперервності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-освітньому процесі підвищення кваліфікації посадових осіб місцевого самоврядування.</w:t>
      </w:r>
    </w:p>
    <w:p w:rsidR="00AA4EB5" w:rsidRDefault="007C585D">
      <w:pPr>
        <w:pStyle w:val="af7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одиться роз'яснювальна робота з працівниками виконавчих органів міської ради щодо реєстрації на Порталі управління знаннями, а також використання його функцій для професійного розвитку.</w:t>
      </w:r>
    </w:p>
    <w:p w:rsidR="00AA4EB5" w:rsidRDefault="007C585D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плану внутрішнього навчання посадових осіб місцевого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самоврядування виконавчих органів Луцької міської ради на 2024 рік за звітний період було проведено 9 внутрішніх навчань, а також організовано управлінням персоналу поза графіком  онлайн-навчання щодо ефективної комунікації у соціальних мережах.  Загалом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навчаннях взяло участь 275 працівників виконавчих органів Луцької міської ради.</w:t>
      </w:r>
    </w:p>
    <w:p w:rsidR="00AA4EB5" w:rsidRDefault="007C585D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планом-графіком підвищення кваліфікації державних службовців, посадових осіб місцевого самоврядування на 2024 рік відбулося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42 навчання за програмами постійно діючого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короткотермінового семінарів, у яких взяли участь та отримали свідоцтва про підвищення кваліфікації 385 посадових осіб місцевого самоврядування.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Під час  зовнішніх навчань посадові особи місцевого самоврядування Луцької міської ради працювали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мами:  “Протидія торгівлі людьми і домашньому насильству”,  “Е-демократія і комунікація”,  “Кроки для спеціалістів. Організація доступу до публічної інформації в органах місцевого самоврядування”, “Сприйняття змін”, “Дипломатичний протокол та етикет”, “Осо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бливості комунікації в сучасних умовах”, “Державна політика у сфері розвитку місцевого самоврядування та територіальної організації влади”, “Соціальна підтримка пільгових категорій громадян та осіб з інвалідністю”, “Запобігання корупції та забезпечення доб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рочесності”, “Стратегічне управління та планування”, “Особливості роботи з внутрішньо переміщеними особами: запити, виклики та можливості”,  “Правотворча діяльність органів місцевого самоврядування: сьогодення та перспективи удосконалення”, “Організація 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боти із захисту прав дітей у територіальній громаді”,  “Дипломатичний протокол та етикет”, 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Мовнокомунікативний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практикум для публічних службовців”, “Розбудова системи енергетичного менеджменту в ОМС”, “Усвідомлене застосування ресурсів та функціоналу кібе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рпростору”, “Усвідомлене застосування ресурсів та функціоналу кіберпростору”, “Державна мова”, “Соціально-психологічні аспекти діяльності публічного службовця”,  “Сприйняття змін”,  “Комунікації та взаємодія на публічній службі”,  “Стратегічне планування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озвитку територіальних громад”, “Командна робота та взаємодія”, “Прийняття ефективних рішень. Тайм-менеджмент”,  “Нові засади здійснення адміністративної процедури”, “Державно-приватне партнерство - інструмент розвитку територіальної громади та її інфрастр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уктури” тощо. 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88 працівників виконавчих органів міської ради пройшли навчання за короткостроковою програмою “Забезпечення створення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безбар’єрного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простору на засадах рівності, недискримінації, доступності та інклюзії”.</w:t>
      </w:r>
    </w:p>
    <w:p w:rsidR="00AA4EB5" w:rsidRDefault="007C585D">
      <w:pPr>
        <w:pStyle w:val="af8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Окрім того, 47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 xml:space="preserve">працівників виконавчих органів Луцької міської ради пройшли дистанційне навчання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>за загальною професійною (сертифікатною) програмою підвищення кваліфікації посадових осіб місцевого самоврядування ІV-VІІ категорії посад (не рідше одного разу на три роки).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4 працівники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 xml:space="preserve">виконавчих органів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взяли участь </w:t>
      </w:r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t>навчанні “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Українська мова у професійній комунікації: для виконання службових обов’язків”, організованого Сумським державним університетом центру розвитку кадрового потенціалу. </w:t>
      </w:r>
    </w:p>
    <w:p w:rsidR="00AA4EB5" w:rsidRDefault="007C585D">
      <w:pPr>
        <w:pStyle w:val="af8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Начальник від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ділу розвитку персоналу управління персоналу пройшла навчання за загальною короткостроковою програмою підвищення кваліфікації “Управління конфліктами в органах публічної влади”, організованого НАДС спільно з Вищою школою публічного управління та Координато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ром проектів ОБСЄ в Україні.</w:t>
      </w:r>
    </w:p>
    <w:p w:rsidR="00AA4EB5" w:rsidRDefault="007C585D">
      <w:pPr>
        <w:pStyle w:val="af7"/>
        <w:ind w:firstLine="709"/>
        <w:jc w:val="both"/>
        <w:rPr>
          <w:color w:val="C9211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Начальник відділу оборонно-мобілізаційної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режимно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-секретної роботи міської ради взяла участь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вебінарі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“Зміни у веденні військового обліку та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lastRenderedPageBreak/>
        <w:t>бронюванні”.</w:t>
      </w:r>
    </w:p>
    <w:p w:rsidR="00AA4EB5" w:rsidRDefault="007C585D">
      <w:pPr>
        <w:tabs>
          <w:tab w:val="left" w:pos="567"/>
        </w:tabs>
        <w:ind w:firstLine="567"/>
        <w:jc w:val="both"/>
      </w:pPr>
      <w:r>
        <w:rPr>
          <w:rStyle w:val="a5"/>
          <w:b w:val="0"/>
          <w:color w:val="000000"/>
          <w:szCs w:val="28"/>
          <w:shd w:val="clear" w:color="auto" w:fill="FFFFFF"/>
        </w:rPr>
        <w:t>Окрім того, працівники виконавчих органів міської ради пройшли навчал</w:t>
      </w:r>
      <w:r>
        <w:rPr>
          <w:rStyle w:val="a5"/>
          <w:b w:val="0"/>
          <w:color w:val="000000"/>
          <w:szCs w:val="28"/>
          <w:shd w:val="clear" w:color="auto" w:fill="FFFFFF"/>
        </w:rPr>
        <w:t>ьні онлайн-курси на платформі Дія “Освіта”.</w:t>
      </w:r>
    </w:p>
    <w:p w:rsidR="00AA4EB5" w:rsidRDefault="007C585D">
      <w:pPr>
        <w:tabs>
          <w:tab w:val="left" w:pos="567"/>
        </w:tabs>
        <w:ind w:firstLine="567"/>
        <w:jc w:val="both"/>
        <w:rPr>
          <w:color w:val="131212"/>
        </w:rPr>
      </w:pPr>
      <w:r>
        <w:rPr>
          <w:rStyle w:val="a5"/>
          <w:b w:val="0"/>
          <w:color w:val="131212"/>
          <w:szCs w:val="28"/>
          <w:shd w:val="clear" w:color="auto" w:fill="FFFFFF"/>
        </w:rPr>
        <w:t xml:space="preserve">15 працівників виконавчих органів міської ради пройшли навчання в межах </w:t>
      </w:r>
      <w:proofErr w:type="spellStart"/>
      <w:r>
        <w:rPr>
          <w:rStyle w:val="a5"/>
          <w:b w:val="0"/>
          <w:color w:val="131212"/>
          <w:szCs w:val="28"/>
          <w:shd w:val="clear" w:color="auto" w:fill="FFFFFF"/>
        </w:rPr>
        <w:t>проєкту</w:t>
      </w:r>
      <w:proofErr w:type="spellEnd"/>
      <w:r>
        <w:rPr>
          <w:rStyle w:val="a5"/>
          <w:b w:val="0"/>
          <w:color w:val="131212"/>
          <w:szCs w:val="28"/>
          <w:shd w:val="clear" w:color="auto" w:fill="FFFFFF"/>
        </w:rPr>
        <w:t xml:space="preserve"> “Курси англійської мови для державних службовців та посадових осіб органів місцевого самоврядування”, що реалізовується громадською </w:t>
      </w:r>
      <w:r>
        <w:rPr>
          <w:rStyle w:val="a5"/>
          <w:b w:val="0"/>
          <w:color w:val="131212"/>
          <w:szCs w:val="28"/>
          <w:shd w:val="clear" w:color="auto" w:fill="FFFFFF"/>
        </w:rPr>
        <w:t xml:space="preserve">організацією “ГОУЛОКАЛ” у співпраці з Британською Радою в Україні за підтримки </w:t>
      </w:r>
      <w:proofErr w:type="spellStart"/>
      <w:r>
        <w:rPr>
          <w:rStyle w:val="a5"/>
          <w:b w:val="0"/>
          <w:color w:val="131212"/>
          <w:szCs w:val="28"/>
          <w:shd w:val="clear" w:color="auto" w:fill="FFFFFF"/>
        </w:rPr>
        <w:t>проєкту</w:t>
      </w:r>
      <w:proofErr w:type="spellEnd"/>
      <w:r>
        <w:rPr>
          <w:rStyle w:val="a5"/>
          <w:b w:val="0"/>
          <w:color w:val="131212"/>
          <w:szCs w:val="28"/>
          <w:shd w:val="clear" w:color="auto" w:fill="FFFFFF"/>
        </w:rPr>
        <w:t xml:space="preserve"> USAID “ГОВЕРЛА” та отримали сертифікат рівня А1, та 1 працівниця сертифікат рівня В1.</w:t>
      </w:r>
    </w:p>
    <w:p w:rsidR="00AA4EB5" w:rsidRDefault="007C585D">
      <w:pPr>
        <w:tabs>
          <w:tab w:val="left" w:pos="570"/>
        </w:tabs>
        <w:jc w:val="both"/>
      </w:pPr>
      <w:r>
        <w:rPr>
          <w:rStyle w:val="a5"/>
          <w:b w:val="0"/>
          <w:color w:val="020202"/>
          <w:szCs w:val="28"/>
          <w:lang w:eastAsia="ru-RU"/>
        </w:rPr>
        <w:tab/>
      </w:r>
      <w:r>
        <w:rPr>
          <w:b/>
          <w:color w:val="000000"/>
          <w:szCs w:val="28"/>
          <w:shd w:val="clear" w:color="auto" w:fill="FFFFFF"/>
        </w:rPr>
        <w:t xml:space="preserve"> 4. Службові відрядження.</w:t>
      </w:r>
    </w:p>
    <w:p w:rsidR="00AA4EB5" w:rsidRDefault="007C585D">
      <w:pPr>
        <w:pStyle w:val="af7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Усі службові відрядження відбуваються відповідно Закону України від 01.07.2022 № 2352-IX “Про внесення змін до деяких законодавчих актів України щодо оптимізації трудових відносин”, Указу Президента України від 23.01.2023 № 27/2023 «Про рішення Ради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безпеки і оборони України від 23 січня 2023 року “Про деякі питання щодо перетину державного кордону України в умовах воєнного стану”, постанови Кабінету Міністрів України від 27.01.1995 № 57 “Про затвердження Правил перетинання державного кордону г</w:t>
      </w:r>
      <w:r>
        <w:rPr>
          <w:rFonts w:ascii="Times New Roman" w:hAnsi="Times New Roman" w:cs="Times New Roman"/>
          <w:color w:val="000000"/>
          <w:sz w:val="28"/>
          <w:szCs w:val="28"/>
        </w:rPr>
        <w:t>ромадянами України”, зі змінами, Інструкції про службові відрядження в межах України та за кордон, затвердженої Міністерством фінансів України від 13.03.1998 № 59, зі змінами, Регламенту роботи виконавчого комітету та виконавчих органів Луцької міської рад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 </w:t>
      </w:r>
    </w:p>
    <w:p w:rsidR="00AA4EB5" w:rsidRDefault="007C585D">
      <w:pPr>
        <w:pStyle w:val="af7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Протягом звітного періоду було підготовлено 84 розпорядження про направлення працівників виконавчих органів міської ради у службові відрядження, з них 62 розпорядження про відрядження в межах України та 22 - за кордон. Підготовлено 17 листів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>Державній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 xml:space="preserve"> прикордонній службі України щодо дозволу на перетин кордону депутатів Луцької міської ради.</w:t>
      </w:r>
    </w:p>
    <w:p w:rsidR="00AA4EB5" w:rsidRDefault="007C585D">
      <w:pPr>
        <w:tabs>
          <w:tab w:val="left" w:pos="630"/>
        </w:tabs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shd w:val="clear" w:color="auto" w:fill="FFFFFF"/>
        </w:rPr>
        <w:t xml:space="preserve">За результатами службових </w:t>
      </w:r>
      <w:proofErr w:type="spellStart"/>
      <w:r>
        <w:rPr>
          <w:color w:val="000000"/>
          <w:szCs w:val="28"/>
          <w:shd w:val="clear" w:color="auto" w:fill="FFFFFF"/>
        </w:rPr>
        <w:t>відряджень</w:t>
      </w:r>
      <w:proofErr w:type="spellEnd"/>
      <w:r>
        <w:rPr>
          <w:color w:val="000000"/>
          <w:szCs w:val="28"/>
          <w:shd w:val="clear" w:color="auto" w:fill="FFFFFF"/>
        </w:rPr>
        <w:t xml:space="preserve"> працівники виконавчих органів міської ради взяли участь у регіональних заходах, зокрема: </w:t>
      </w:r>
      <w:r>
        <w:rPr>
          <w:color w:val="050505"/>
          <w:szCs w:val="28"/>
          <w:shd w:val="clear" w:color="auto" w:fill="FFFFFF"/>
        </w:rPr>
        <w:t>міжнародній конференції “Стале відно</w:t>
      </w:r>
      <w:r>
        <w:rPr>
          <w:color w:val="050505"/>
          <w:szCs w:val="28"/>
          <w:shd w:val="clear" w:color="auto" w:fill="FFFFFF"/>
        </w:rPr>
        <w:t xml:space="preserve">влення: Муніципалітети у співпраці для економічного розвитку”; форумі впливової молоді; 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50505"/>
          <w:szCs w:val="28"/>
          <w:shd w:val="clear" w:color="auto" w:fill="FFFFFF"/>
        </w:rPr>
        <w:t>Волинському регіональному форумі “Реформа харчування: виклики, досягнення, перспективи”; форумі “</w:t>
      </w:r>
      <w:proofErr w:type="spellStart"/>
      <w:r>
        <w:rPr>
          <w:color w:val="050505"/>
          <w:szCs w:val="28"/>
          <w:shd w:val="clear" w:color="auto" w:fill="FFFFFF"/>
        </w:rPr>
        <w:t>Open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Data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Day</w:t>
      </w:r>
      <w:proofErr w:type="spellEnd"/>
      <w:r>
        <w:rPr>
          <w:color w:val="050505"/>
          <w:szCs w:val="28"/>
          <w:shd w:val="clear" w:color="auto" w:fill="FFFFFF"/>
        </w:rPr>
        <w:t xml:space="preserve"> 2024: </w:t>
      </w:r>
      <w:proofErr w:type="spellStart"/>
      <w:r>
        <w:rPr>
          <w:color w:val="050505"/>
          <w:szCs w:val="28"/>
          <w:shd w:val="clear" w:color="auto" w:fill="FFFFFF"/>
        </w:rPr>
        <w:t>Unity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for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Progress</w:t>
      </w:r>
      <w:proofErr w:type="spellEnd"/>
      <w:r>
        <w:rPr>
          <w:color w:val="050505"/>
          <w:szCs w:val="28"/>
          <w:shd w:val="clear" w:color="auto" w:fill="FFFFFF"/>
        </w:rPr>
        <w:t>”; форумі «</w:t>
      </w:r>
      <w:proofErr w:type="spellStart"/>
      <w:r>
        <w:rPr>
          <w:color w:val="050505"/>
          <w:szCs w:val="28"/>
          <w:shd w:val="clear" w:color="auto" w:fill="FFFFFF"/>
        </w:rPr>
        <w:t>Digital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Power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Summit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r>
        <w:rPr>
          <w:color w:val="050505"/>
          <w:szCs w:val="28"/>
          <w:shd w:val="clear" w:color="auto" w:fill="FFFFFF"/>
        </w:rPr>
        <w:t xml:space="preserve">2024: цифрове лідерство громад»; конференції Креативних Індустрій у межах </w:t>
      </w:r>
      <w:proofErr w:type="spellStart"/>
      <w:r>
        <w:rPr>
          <w:color w:val="050505"/>
          <w:szCs w:val="28"/>
          <w:shd w:val="clear" w:color="auto" w:fill="FFFFFF"/>
        </w:rPr>
        <w:t>проєктної</w:t>
      </w:r>
      <w:proofErr w:type="spellEnd"/>
      <w:r>
        <w:rPr>
          <w:color w:val="050505"/>
          <w:szCs w:val="28"/>
          <w:shd w:val="clear" w:color="auto" w:fill="FFFFFF"/>
        </w:rPr>
        <w:t xml:space="preserve"> ініціативи “Створення інфраструктури для бізнесу, що постраждав від війни” у межах 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Підтримка швидкого економічного відновлення українських муніципалітетів (SRER); </w:t>
      </w:r>
      <w:r>
        <w:rPr>
          <w:color w:val="050505"/>
          <w:szCs w:val="28"/>
          <w:shd w:val="clear" w:color="auto" w:fill="FFFFFF"/>
        </w:rPr>
        <w:t xml:space="preserve">конференції з демократичного врядування щодо обговорення Муніципального дослідження, яке було проведено у 21-му обласному центрі України; </w:t>
      </w:r>
      <w:r>
        <w:rPr>
          <w:color w:val="000000"/>
          <w:szCs w:val="28"/>
          <w:shd w:val="clear" w:color="auto" w:fill="FFFFFF"/>
        </w:rPr>
        <w:t>культурному форумі «Культура та креативні індустрії для сталого регіонального розвитку» у межах реалізації швейцарсько</w:t>
      </w:r>
      <w:r>
        <w:rPr>
          <w:color w:val="000000"/>
          <w:szCs w:val="28"/>
          <w:shd w:val="clear" w:color="auto" w:fill="FFFFFF"/>
        </w:rPr>
        <w:t xml:space="preserve">-українського </w:t>
      </w:r>
      <w:proofErr w:type="spellStart"/>
      <w:r>
        <w:rPr>
          <w:color w:val="000000"/>
          <w:szCs w:val="28"/>
          <w:shd w:val="clear" w:color="auto" w:fill="FFFFFF"/>
        </w:rPr>
        <w:t>проєкту</w:t>
      </w:r>
      <w:proofErr w:type="spellEnd"/>
      <w:r>
        <w:rPr>
          <w:color w:val="000000"/>
          <w:szCs w:val="28"/>
          <w:shd w:val="clear" w:color="auto" w:fill="FFFFFF"/>
        </w:rPr>
        <w:t xml:space="preserve"> «Згуртованість та регіональний розвиток України, UCORD» задля вивчення питання поєднання економічного розвитку з традиційною та сучасною культурою; ІІ Всеукраїнському Форумі Рад ВПО у межах реалізації </w:t>
      </w:r>
      <w:proofErr w:type="spellStart"/>
      <w:r>
        <w:rPr>
          <w:color w:val="000000"/>
          <w:szCs w:val="28"/>
          <w:shd w:val="clear" w:color="auto" w:fill="FFFFFF"/>
        </w:rPr>
        <w:t>проєкту</w:t>
      </w:r>
      <w:proofErr w:type="spellEnd"/>
      <w:r>
        <w:rPr>
          <w:color w:val="000000"/>
          <w:szCs w:val="28"/>
          <w:shd w:val="clear" w:color="auto" w:fill="FFFFFF"/>
        </w:rPr>
        <w:t xml:space="preserve"> «Підтримка спроможності с</w:t>
      </w:r>
      <w:r>
        <w:rPr>
          <w:color w:val="000000"/>
          <w:szCs w:val="28"/>
          <w:shd w:val="clear" w:color="auto" w:fill="FFFFFF"/>
        </w:rPr>
        <w:t xml:space="preserve">истеми соціального захисту населення щодо </w:t>
      </w:r>
      <w:r>
        <w:rPr>
          <w:color w:val="000000"/>
          <w:szCs w:val="28"/>
          <w:shd w:val="clear" w:color="auto" w:fill="FFFFFF"/>
        </w:rPr>
        <w:lastRenderedPageBreak/>
        <w:t>реєстрації внутрішньо переміщених осіб»; Всеукраїнській освітянській конференції «СЕРПНЕВА-2024».</w:t>
      </w:r>
    </w:p>
    <w:p w:rsidR="00AA4EB5" w:rsidRDefault="007C585D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 xml:space="preserve">У межах закордонних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працівники виконавчих органів міської ради взяли участь у </w:t>
      </w:r>
      <w:proofErr w:type="spellStart"/>
      <w:r>
        <w:rPr>
          <w:color w:val="050505"/>
          <w:szCs w:val="28"/>
          <w:shd w:val="clear" w:color="auto" w:fill="FFFFFF"/>
        </w:rPr>
        <w:t>нетворкінговій</w:t>
      </w:r>
      <w:proofErr w:type="spellEnd"/>
      <w:r>
        <w:rPr>
          <w:color w:val="050505"/>
          <w:szCs w:val="28"/>
          <w:shd w:val="clear" w:color="auto" w:fill="FFFFFF"/>
        </w:rPr>
        <w:t xml:space="preserve"> зустрічі Ме</w:t>
      </w:r>
      <w:r>
        <w:rPr>
          <w:color w:val="050505"/>
          <w:szCs w:val="28"/>
          <w:shd w:val="clear" w:color="auto" w:fill="FFFFFF"/>
        </w:rPr>
        <w:t>режі демократичної стійкості Шведського міжнародного центру місцевої демократії та у тренінгах навчальної програми “Демократична стійкість” для представників органів місцевого самоврядування України та Швеції; міжнародному тренінгу  “Ментальне здоров'я у є</w:t>
      </w:r>
      <w:r>
        <w:rPr>
          <w:color w:val="050505"/>
          <w:szCs w:val="28"/>
          <w:shd w:val="clear" w:color="auto" w:fill="FFFFFF"/>
        </w:rPr>
        <w:t xml:space="preserve">вропейській молодіжній роботі” для представників України, Іспанії, Німеччини, Франції, Литви та Румунії; міжнародній конференції “Роль </w:t>
      </w:r>
      <w:proofErr w:type="spellStart"/>
      <w:r>
        <w:rPr>
          <w:color w:val="050505"/>
          <w:szCs w:val="28"/>
          <w:shd w:val="clear" w:color="auto" w:fill="FFFFFF"/>
        </w:rPr>
        <w:t>волонтерства</w:t>
      </w:r>
      <w:proofErr w:type="spellEnd"/>
      <w:r>
        <w:rPr>
          <w:color w:val="050505"/>
          <w:szCs w:val="28"/>
          <w:shd w:val="clear" w:color="auto" w:fill="FFFFFF"/>
        </w:rPr>
        <w:t xml:space="preserve"> у розбудові потужного громадянського суспільства” у межах реалізації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Ради Європи “Зміцнення стійкост</w:t>
      </w:r>
      <w:r>
        <w:rPr>
          <w:color w:val="050505"/>
          <w:szCs w:val="28"/>
          <w:shd w:val="clear" w:color="auto" w:fill="FFFFFF"/>
        </w:rPr>
        <w:t xml:space="preserve">і демократичних процесів через громадську участь під час війни та в післявоєнний період”. Долучилися до робочих зустрічей в місті </w:t>
      </w:r>
      <w:proofErr w:type="spellStart"/>
      <w:r>
        <w:rPr>
          <w:color w:val="050505"/>
          <w:szCs w:val="28"/>
          <w:shd w:val="clear" w:color="auto" w:fill="FFFFFF"/>
        </w:rPr>
        <w:t>Хелм</w:t>
      </w:r>
      <w:proofErr w:type="spellEnd"/>
      <w:r>
        <w:rPr>
          <w:color w:val="050505"/>
          <w:szCs w:val="28"/>
          <w:shd w:val="clear" w:color="auto" w:fill="FFFFFF"/>
        </w:rPr>
        <w:t xml:space="preserve"> (Республіка Польща) із представниками благодійних організацій і фондів Німеччини, співпрацю з якими було налагоджено в ме</w:t>
      </w:r>
      <w:r>
        <w:rPr>
          <w:color w:val="050505"/>
          <w:szCs w:val="28"/>
          <w:shd w:val="clear" w:color="auto" w:fill="FFFFFF"/>
        </w:rPr>
        <w:t xml:space="preserve">жах ініціативи Cities4Cities,  з представниками Адміністрації Краю </w:t>
      </w:r>
      <w:proofErr w:type="spellStart"/>
      <w:r>
        <w:rPr>
          <w:color w:val="050505"/>
          <w:szCs w:val="28"/>
          <w:shd w:val="clear" w:color="auto" w:fill="FFFFFF"/>
        </w:rPr>
        <w:t>Ліппе</w:t>
      </w:r>
      <w:proofErr w:type="spellEnd"/>
      <w:r>
        <w:rPr>
          <w:color w:val="050505"/>
          <w:szCs w:val="28"/>
          <w:shd w:val="clear" w:color="auto" w:fill="FFFFFF"/>
        </w:rPr>
        <w:t xml:space="preserve"> (Федеративна Республіка Німеччина); працювали у робочій групі з написання українсько-польського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«Підтримка </w:t>
      </w:r>
      <w:proofErr w:type="spellStart"/>
      <w:r>
        <w:rPr>
          <w:color w:val="050505"/>
          <w:szCs w:val="28"/>
          <w:shd w:val="clear" w:color="auto" w:fill="FFFFFF"/>
        </w:rPr>
        <w:t>маломобільних</w:t>
      </w:r>
      <w:proofErr w:type="spellEnd"/>
      <w:r>
        <w:rPr>
          <w:color w:val="050505"/>
          <w:szCs w:val="28"/>
          <w:shd w:val="clear" w:color="auto" w:fill="FFFFFF"/>
        </w:rPr>
        <w:t xml:space="preserve"> груп населення, створення простору для роботи з молодд</w:t>
      </w:r>
      <w:r>
        <w:rPr>
          <w:color w:val="050505"/>
          <w:szCs w:val="28"/>
          <w:shd w:val="clear" w:color="auto" w:fill="FFFFFF"/>
        </w:rPr>
        <w:t xml:space="preserve">ю з проблемами розвитку» в Соціально-економічному університеті м. </w:t>
      </w:r>
      <w:proofErr w:type="spellStart"/>
      <w:r>
        <w:rPr>
          <w:color w:val="050505"/>
          <w:szCs w:val="28"/>
          <w:shd w:val="clear" w:color="auto" w:fill="FFFFFF"/>
        </w:rPr>
        <w:t>Пшеворська</w:t>
      </w:r>
      <w:proofErr w:type="spellEnd"/>
      <w:r>
        <w:rPr>
          <w:color w:val="050505"/>
          <w:szCs w:val="28"/>
          <w:shd w:val="clear" w:color="auto" w:fill="FFFFFF"/>
        </w:rPr>
        <w:t xml:space="preserve"> ( Республіка Польща). </w:t>
      </w:r>
    </w:p>
    <w:p w:rsidR="00AA4EB5" w:rsidRDefault="007C585D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 xml:space="preserve">Брали участь у заходах з нагоди дня міст іноземних партнерів, а саме: у фестивалі Моцарта в місті </w:t>
      </w:r>
      <w:proofErr w:type="spellStart"/>
      <w:r>
        <w:rPr>
          <w:color w:val="050505"/>
          <w:szCs w:val="28"/>
          <w:shd w:val="clear" w:color="auto" w:fill="FFFFFF"/>
        </w:rPr>
        <w:t>Вюрцбург</w:t>
      </w:r>
      <w:proofErr w:type="spellEnd"/>
      <w:r>
        <w:rPr>
          <w:color w:val="050505"/>
          <w:szCs w:val="28"/>
          <w:shd w:val="clear" w:color="auto" w:fill="FFFFFF"/>
        </w:rPr>
        <w:t xml:space="preserve"> (Німеччина), фестивалі “</w:t>
      </w:r>
      <w:proofErr w:type="spellStart"/>
      <w:r>
        <w:rPr>
          <w:color w:val="050505"/>
          <w:szCs w:val="28"/>
          <w:shd w:val="clear" w:color="auto" w:fill="FFFFFF"/>
        </w:rPr>
        <w:t>Тракайське</w:t>
      </w:r>
      <w:proofErr w:type="spellEnd"/>
      <w:r>
        <w:rPr>
          <w:color w:val="050505"/>
          <w:szCs w:val="28"/>
          <w:shd w:val="clear" w:color="auto" w:fill="FFFFFF"/>
        </w:rPr>
        <w:t xml:space="preserve"> літо 2024”, “</w:t>
      </w:r>
      <w:r>
        <w:rPr>
          <w:color w:val="050505"/>
          <w:szCs w:val="28"/>
          <w:shd w:val="clear" w:color="auto" w:fill="FFFFFF"/>
        </w:rPr>
        <w:t xml:space="preserve">TAURO RAGAS 2024” (Литовська Республіка), </w:t>
      </w:r>
      <w:r>
        <w:rPr>
          <w:color w:val="000000"/>
          <w:szCs w:val="28"/>
          <w:shd w:val="clear" w:color="auto" w:fill="FFFFFF"/>
        </w:rPr>
        <w:t xml:space="preserve">Днів міста </w:t>
      </w:r>
      <w:proofErr w:type="spellStart"/>
      <w:r>
        <w:rPr>
          <w:color w:val="000000"/>
          <w:szCs w:val="28"/>
          <w:shd w:val="clear" w:color="auto" w:fill="FFFFFF"/>
        </w:rPr>
        <w:t>Хелм</w:t>
      </w:r>
      <w:proofErr w:type="spellEnd"/>
      <w:r>
        <w:rPr>
          <w:color w:val="000000"/>
          <w:szCs w:val="28"/>
          <w:shd w:val="clear" w:color="auto" w:fill="FFFFFF"/>
        </w:rPr>
        <w:t xml:space="preserve"> (Республіка Польща), річниць встановлення побратимських відносин краю </w:t>
      </w:r>
      <w:proofErr w:type="spellStart"/>
      <w:r>
        <w:rPr>
          <w:color w:val="000000"/>
          <w:szCs w:val="28"/>
          <w:shd w:val="clear" w:color="auto" w:fill="FFFFFF"/>
        </w:rPr>
        <w:t>Ліппе</w:t>
      </w:r>
      <w:proofErr w:type="spellEnd"/>
      <w:r>
        <w:rPr>
          <w:color w:val="000000"/>
          <w:szCs w:val="28"/>
          <w:shd w:val="clear" w:color="auto" w:fill="FFFFFF"/>
        </w:rPr>
        <w:t xml:space="preserve"> (Федеративна Республіка Німеччина) із містами </w:t>
      </w:r>
      <w:proofErr w:type="spellStart"/>
      <w:r>
        <w:rPr>
          <w:color w:val="000000"/>
          <w:szCs w:val="28"/>
          <w:shd w:val="clear" w:color="auto" w:fill="FFFFFF"/>
        </w:rPr>
        <w:t>Ходзеж</w:t>
      </w:r>
      <w:proofErr w:type="spellEnd"/>
      <w:r>
        <w:rPr>
          <w:color w:val="000000"/>
          <w:szCs w:val="28"/>
          <w:shd w:val="clear" w:color="auto" w:fill="FFFFFF"/>
        </w:rPr>
        <w:t xml:space="preserve"> (Республіка Польща) та Каунас (Литовська Республіка); у щорічному зах</w:t>
      </w:r>
      <w:r>
        <w:rPr>
          <w:color w:val="000000"/>
          <w:szCs w:val="28"/>
          <w:shd w:val="clear" w:color="auto" w:fill="FFFFFF"/>
        </w:rPr>
        <w:t xml:space="preserve">оді «Фестиваль літа у </w:t>
      </w:r>
      <w:proofErr w:type="spellStart"/>
      <w:r>
        <w:rPr>
          <w:color w:val="000000"/>
          <w:szCs w:val="28"/>
          <w:shd w:val="clear" w:color="auto" w:fill="FFFFFF"/>
        </w:rPr>
        <w:t>Кійові</w:t>
      </w:r>
      <w:proofErr w:type="spellEnd"/>
      <w:r>
        <w:rPr>
          <w:color w:val="000000"/>
          <w:szCs w:val="28"/>
          <w:shd w:val="clear" w:color="auto" w:fill="FFFFFF"/>
        </w:rPr>
        <w:t xml:space="preserve">» з нагоди Дня міста. </w:t>
      </w:r>
    </w:p>
    <w:p w:rsidR="00AA4EB5" w:rsidRDefault="007C585D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>З</w:t>
      </w:r>
      <w:r>
        <w:rPr>
          <w:color w:val="000000"/>
          <w:szCs w:val="28"/>
          <w:shd w:val="clear" w:color="auto" w:fill="FFFFFF"/>
        </w:rPr>
        <w:t xml:space="preserve">а результатами </w:t>
      </w:r>
      <w:proofErr w:type="spellStart"/>
      <w:r>
        <w:rPr>
          <w:color w:val="000000"/>
          <w:szCs w:val="28"/>
          <w:shd w:val="clear" w:color="auto" w:fill="FFFFFF"/>
        </w:rPr>
        <w:t>відряджень</w:t>
      </w:r>
      <w:proofErr w:type="spellEnd"/>
      <w:r>
        <w:rPr>
          <w:color w:val="000000"/>
          <w:szCs w:val="28"/>
          <w:shd w:val="clear" w:color="auto" w:fill="FFFFFF"/>
        </w:rPr>
        <w:t xml:space="preserve"> за кордон Луцька міська територіальна громада отримала </w:t>
      </w:r>
      <w:r>
        <w:rPr>
          <w:color w:val="050505"/>
          <w:szCs w:val="28"/>
          <w:shd w:val="clear" w:color="auto" w:fill="FFFFFF"/>
        </w:rPr>
        <w:t xml:space="preserve">гуманітарну допомогу, надану Адміністрацією міста </w:t>
      </w:r>
      <w:proofErr w:type="spellStart"/>
      <w:r>
        <w:rPr>
          <w:color w:val="050505"/>
          <w:szCs w:val="28"/>
          <w:shd w:val="clear" w:color="auto" w:fill="FFFFFF"/>
        </w:rPr>
        <w:t>Торунь</w:t>
      </w:r>
      <w:proofErr w:type="spellEnd"/>
      <w:r>
        <w:rPr>
          <w:color w:val="050505"/>
          <w:szCs w:val="28"/>
          <w:shd w:val="clear" w:color="auto" w:fill="FFFFFF"/>
        </w:rPr>
        <w:t xml:space="preserve"> для потреб Збройних сил України, внутрішньо переміщених осіб тери</w:t>
      </w:r>
      <w:r>
        <w:rPr>
          <w:color w:val="050505"/>
          <w:szCs w:val="28"/>
          <w:shd w:val="clear" w:color="auto" w:fill="FFFFFF"/>
        </w:rPr>
        <w:t>торіальної громади.</w:t>
      </w:r>
    </w:p>
    <w:p w:rsidR="00AA4EB5" w:rsidRDefault="007C585D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 xml:space="preserve">Низка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була спрямована на підвищення професійного рівня працівників виконавчих органів, зокрема:</w:t>
      </w:r>
      <w:r>
        <w:rPr>
          <w:color w:val="000000"/>
          <w:szCs w:val="28"/>
          <w:shd w:val="clear" w:color="auto" w:fill="FFFFFF"/>
        </w:rPr>
        <w:t xml:space="preserve"> участь у тренінгах</w:t>
      </w:r>
      <w:r>
        <w:rPr>
          <w:color w:val="000000"/>
          <w:szCs w:val="28"/>
        </w:rPr>
        <w:t xml:space="preserve"> “Інформування та пошук кандидатів у патронатні вихователі» з метою підвищення професійної компетентності, поп</w:t>
      </w:r>
      <w:r>
        <w:rPr>
          <w:color w:val="000000"/>
          <w:szCs w:val="28"/>
        </w:rPr>
        <w:t xml:space="preserve">уляризації та розвитку послуги патронату над дитиною в Україні в межах </w:t>
      </w:r>
      <w:proofErr w:type="spellStart"/>
      <w:r>
        <w:rPr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ЮНІСЕФ “Родина для кожної дитини”; “Кращий догляд для кожної дитини”, який реалізовує управління соціальних служб для сім’ї, дітей та молоді Луцької міської ради у співпраці з Б</w:t>
      </w:r>
      <w:r>
        <w:rPr>
          <w:color w:val="000000"/>
          <w:szCs w:val="28"/>
        </w:rPr>
        <w:t xml:space="preserve">О “Благодійний фонд “Синергія дії” та Благодійною установою “Навчально-реабілітаційний центр “Джерело” за фінансової підтримки Дитячого фонду ООН ЮНІСЕФ в Україні;  </w:t>
      </w:r>
    </w:p>
    <w:p w:rsidR="00AA4EB5" w:rsidRDefault="007C585D">
      <w:pPr>
        <w:pStyle w:val="af7"/>
        <w:tabs>
          <w:tab w:val="left" w:pos="6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навчальному семінарі “Впровадження 10 видів допомог в ЄІССС”;  навчальному виїзному семіна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 для спеціалістів служб у справах дітей, які працюють з сім'ями з дітьми у територіальних громадах Волинської та Харківської областей у рамках національної програми з розбудови системи кращого догляду за дітьми “Кращий догляд для кожної дитини”; навчанні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«Презентація Єдиного державного реєстру адрес, Навчальний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workshop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»;  тренінгу «Загальні підходи до формування життєстійкості на рівні громад» в рамках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“Підвищення потенціалу громад для забезпечення інтегрованих соціальних послуг вразливих дітям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Львівській, Волинській і Закарпатській областях”, який реалізовує Центр соціальних послуг “Джерело” (Львів) та Дитячий Фонд ООН ЮНІСЕФ; науковому семінарі  “Україна та                 ЄС – виклики й перспективи”; навчально-практичному тренінгу “Практика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астосування Закону України “Про адміністративну процедуру”: виклики для органів місцевого самоврядування, пошуки шляхів їх вирішення”;  навчанні щодо планування реалізації Стратегії забезпечення права кожної дитини в Україні на зростання в сімейному оточен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ні на регіональному та місцевому рівнях;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тренінгу для керівників та адміністраторів ЦНАП щодо просування е-послуг і залучення суб’єктів звернення до цифрових процесів в межах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«Місця для самообслуговування в ЦНАП»;  навчальній програмі «Система підтримки та супроводу ветеранів у громадах 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застосуванням кейс-менеджменту» у межах реалізації спільного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громадської організації «Простір можливостей» з Міністерством соціальної політики України; конференції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Uzdrowic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dziecko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у межах якої проведено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воркшоп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«Функціонування дитини з ФАС (фе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тальний алкогольний синдром) у школі, родині та громаді» та потрапляння дітей з синдромом ФАС до сімейних форм виховання та роботи з ними. </w:t>
      </w:r>
    </w:p>
    <w:p w:rsidR="00AA4EB5" w:rsidRDefault="007C585D">
      <w:pPr>
        <w:pStyle w:val="af7"/>
        <w:tabs>
          <w:tab w:val="left" w:pos="63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Працівники виконавчих органів міської ради брали участь у засіданнях  Антимонопольного комітету України щодо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порушен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ня законодавства про захист економічної конкуренції та </w:t>
      </w:r>
      <w:r>
        <w:rPr>
          <w:rFonts w:ascii="Times New Roman" w:hAnsi="Times New Roman" w:cs="Times New Roman"/>
          <w:color w:val="000000"/>
          <w:sz w:val="28"/>
          <w:szCs w:val="28"/>
        </w:rPr>
        <w:t>судових засіданнях.</w:t>
      </w:r>
    </w:p>
    <w:p w:rsidR="00AA4EB5" w:rsidRDefault="007C585D">
      <w:pPr>
        <w:pStyle w:val="af7"/>
        <w:tabs>
          <w:tab w:val="left" w:pos="6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межах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відряджень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здійснювався обмін досвідом щодо ведення військового обліку призовників, військовозобов’язаних та резервістів, цифрових інструментів, питань туризму, соціального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захисту населення тощо.</w:t>
      </w:r>
    </w:p>
    <w:p w:rsidR="00AA4EB5" w:rsidRDefault="007C585D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5. Організація  роботи з молоддю, що навчається або закінчує заклади вищої освіти, для проходження стажування та виробничої практики у виконавчих органах міської ради.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укладених договорів про проведення практики здобувачів вищої освіти на 2023-2024 навчальний рік проведено практику для 87 студентів Волинського національного університету імені Лесі Українки, Національного університету “Острозька академія”, Н</w:t>
      </w:r>
      <w:r>
        <w:rPr>
          <w:rFonts w:ascii="Times New Roman" w:hAnsi="Times New Roman" w:cs="Times New Roman"/>
          <w:sz w:val="28"/>
          <w:szCs w:val="28"/>
        </w:rPr>
        <w:t>аціонального юридичного університету імені Ярослава Мудрого, Державного податкового університету, Львівського національного університету імені Івана Франка,  Луцького національного технічного університету. Практика відбувалася у юридичному департаменті, де</w:t>
      </w:r>
      <w:r>
        <w:rPr>
          <w:rFonts w:ascii="Times New Roman" w:hAnsi="Times New Roman" w:cs="Times New Roman"/>
          <w:sz w:val="28"/>
          <w:szCs w:val="28"/>
        </w:rPr>
        <w:t>партаменті “Центр надання адміністративних у місті Луцьку”, департаменті житлово-комунального господарства, департаменті соціальної та ветеранської політики,  департаменті економічної політики, управлінні соціальних служб для сім'ї, дітей та молоді, управл</w:t>
      </w:r>
      <w:r>
        <w:rPr>
          <w:rFonts w:ascii="Times New Roman" w:hAnsi="Times New Roman" w:cs="Times New Roman"/>
          <w:sz w:val="28"/>
          <w:szCs w:val="28"/>
        </w:rPr>
        <w:t xml:space="preserve">інні інформаційно-комунікаційних технологій, архівному відділі міської ради. 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під час практики здобувачі вищої освіти ознайомилися із засадами управлінської діяльності, опрацьовували нормативно-правові акти, положення про виконавчі органи та посадо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 інструкції посадових осіб,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Регламентом роботи виконавчого комітету та виконавчих органів Луцької міської ради тощо. </w:t>
      </w:r>
    </w:p>
    <w:p w:rsidR="00AA4EB5" w:rsidRDefault="007C585D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6. Підготовка матеріалів та надання пропозицій міському голові щодо заохочення та нагородження працівників.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>рішення Луцько</w:t>
      </w:r>
      <w:r>
        <w:rPr>
          <w:rFonts w:ascii="Times New Roman" w:hAnsi="Times New Roman" w:cs="Times New Roman"/>
          <w:sz w:val="28"/>
          <w:szCs w:val="28"/>
        </w:rPr>
        <w:t xml:space="preserve">ї міської ради </w:t>
      </w:r>
      <w:r>
        <w:rPr>
          <w:rFonts w:ascii="Times New Roman" w:hAnsi="Times New Roman" w:cs="Times New Roman"/>
          <w:sz w:val="28"/>
          <w:szCs w:val="28"/>
          <w:lang w:bidi="ar-SA"/>
        </w:rPr>
        <w:t>від 22.12.2021 № 24/119 “Про затвердження Програми розвитку культури Луцької міської територіальної громади на 2022-2025 роки”</w:t>
      </w:r>
      <w:r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 розпорядженням  міського  голови  від  01.06.2021 №111-р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бездоганну працю, високі трудові досягнення, професійну майстерність, успіхи в реалізації програм економічного та соціального розвитку Луцької міської територіальної громади, активну благодійну, громадську та політичну діяльність, роботу з виховання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підростаючого покоління, значний внесок у розвиток культури, мистецтва, науки, освіти, спорту та охорони здоров’я, місцевого самоврядування,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міжнародного співробітництва, за мужність і відвагу, виявлені при порятунку людей та матеріальних цінностей, забезп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ечення законності, прав і свобод громадян, розвиток Луцької міської територіальної громади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протягом звітного періоду управлінням підготовлено 467 нагородних матеріалів, для відзначення осіб та колективів підприємств і організацій громади різних форм власно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сті. 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саме: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Почесних грамоти Луцької міської ради;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Почесних грамот міського голови;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412 Подяк міського голови;</w:t>
      </w:r>
    </w:p>
    <w:p w:rsidR="00AA4EB5" w:rsidRDefault="007C585D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Вітальних адрес.</w:t>
      </w:r>
    </w:p>
    <w:p w:rsidR="00AA4EB5" w:rsidRDefault="007C585D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Здійснено роботу щодо організації відзначення з нагоди Дня Незалежності України та забезпечення вручення 129 відзнак міського голови колективам, кращим працівникам підприємств, організацій (установ, закладів) відповідної галузі, а також  волонтерам, медичн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им працівникам, працівникам комунальних служб, </w:t>
      </w:r>
      <w:bookmarkStart w:id="1" w:name="__DdeLink__1124_2474477753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військовослужбовцям Збройних Сил України та інших військових формувань,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добровольцям добровольчих формувань, представникам рятувальних служб.</w:t>
      </w:r>
    </w:p>
    <w:p w:rsidR="00AA4EB5" w:rsidRDefault="007C585D">
      <w:pPr>
        <w:ind w:firstLine="540"/>
        <w:jc w:val="both"/>
      </w:pPr>
      <w:r>
        <w:rPr>
          <w:color w:val="000000"/>
          <w:szCs w:val="28"/>
          <w:highlight w:val="white"/>
        </w:rPr>
        <w:t>Інформація про вручені відзнаки з нагоди ювілейних, пам’ятних, проф</w:t>
      </w:r>
      <w:r>
        <w:rPr>
          <w:color w:val="000000"/>
          <w:szCs w:val="28"/>
          <w:highlight w:val="white"/>
        </w:rPr>
        <w:t>есійних та інших дат висвітлюється на офіційному сайті Луцької міської ради в рубриці «Шана та вдячність мешканцям Луцької міської територіальної громади».</w:t>
      </w:r>
    </w:p>
    <w:p w:rsidR="00AA4EB5" w:rsidRDefault="007C585D">
      <w:pPr>
        <w:ind w:firstLine="540"/>
        <w:jc w:val="both"/>
      </w:pPr>
      <w:r>
        <w:rPr>
          <w:color w:val="000000"/>
          <w:szCs w:val="28"/>
          <w:highlight w:val="white"/>
        </w:rPr>
        <w:t>Здійснювалося наповнення бази нагород.</w:t>
      </w:r>
    </w:p>
    <w:p w:rsidR="00AA4EB5" w:rsidRDefault="007C585D">
      <w:pPr>
        <w:tabs>
          <w:tab w:val="left" w:pos="630"/>
          <w:tab w:val="left" w:pos="8850"/>
        </w:tabs>
        <w:ind w:right="-170"/>
        <w:jc w:val="both"/>
        <w:rPr>
          <w:b/>
          <w:color w:val="000000"/>
          <w:szCs w:val="28"/>
          <w:highlight w:val="white"/>
        </w:rPr>
      </w:pPr>
      <w:r>
        <w:rPr>
          <w:b/>
          <w:color w:val="000000"/>
          <w:szCs w:val="28"/>
          <w:shd w:val="clear" w:color="auto" w:fill="FFFFFF"/>
        </w:rPr>
        <w:tab/>
        <w:t>7. Робота з питань запобігання та виявлення корупції</w:t>
      </w:r>
    </w:p>
    <w:p w:rsidR="00AA4EB5" w:rsidRDefault="007C585D">
      <w:pPr>
        <w:tabs>
          <w:tab w:val="left" w:pos="625"/>
        </w:tabs>
        <w:ind w:firstLine="567"/>
        <w:jc w:val="both"/>
      </w:pPr>
      <w:r>
        <w:rPr>
          <w:bCs w:val="0"/>
          <w:color w:val="000000"/>
          <w:szCs w:val="28"/>
        </w:rPr>
        <w:t>Працівн</w:t>
      </w:r>
      <w:r>
        <w:rPr>
          <w:bCs w:val="0"/>
          <w:color w:val="000000"/>
          <w:szCs w:val="28"/>
        </w:rPr>
        <w:t xml:space="preserve">иком відділу з питань запобігання та виявлення корупції </w:t>
      </w:r>
      <w:r>
        <w:rPr>
          <w:bCs w:val="0"/>
          <w:szCs w:val="28"/>
        </w:rPr>
        <w:t>управління персоналу</w:t>
      </w:r>
      <w:r>
        <w:rPr>
          <w:bCs w:val="0"/>
          <w:color w:val="000000"/>
          <w:szCs w:val="28"/>
        </w:rPr>
        <w:t xml:space="preserve"> Луцької міської ради </w:t>
      </w:r>
      <w:r>
        <w:rPr>
          <w:bCs w:val="0"/>
          <w:szCs w:val="28"/>
        </w:rPr>
        <w:t>надавались</w:t>
      </w:r>
      <w:r>
        <w:rPr>
          <w:bCs w:val="0"/>
          <w:color w:val="000000"/>
          <w:szCs w:val="28"/>
        </w:rPr>
        <w:t xml:space="preserve"> усні та письмові консультації щодо застосування антикорупційного законодавства </w:t>
      </w:r>
      <w:bookmarkStart w:id="2" w:name="__DdeLink__3230_1907269227"/>
      <w:r>
        <w:rPr>
          <w:bCs w:val="0"/>
          <w:color w:val="000000"/>
          <w:szCs w:val="28"/>
        </w:rPr>
        <w:t>працівникам виконавчих органів міської ради, депутатам міської ради,</w:t>
      </w:r>
      <w:r>
        <w:rPr>
          <w:bCs w:val="0"/>
          <w:color w:val="000000"/>
          <w:szCs w:val="28"/>
        </w:rPr>
        <w:t xml:space="preserve"> посадовим особам підприємств, організацій (установ, закладів), що належать до комунальної власності міської територіальної громади</w:t>
      </w:r>
      <w:bookmarkEnd w:id="2"/>
      <w:r>
        <w:rPr>
          <w:bCs w:val="0"/>
          <w:color w:val="000000"/>
          <w:szCs w:val="28"/>
        </w:rPr>
        <w:t>.</w:t>
      </w:r>
    </w:p>
    <w:p w:rsidR="00AA4EB5" w:rsidRDefault="007C585D">
      <w:pPr>
        <w:widowControl w:val="0"/>
        <w:ind w:firstLine="709"/>
        <w:jc w:val="both"/>
        <w:rPr>
          <w:rFonts w:eastAsia="Tahoma"/>
          <w:bCs w:val="0"/>
          <w:color w:val="auto"/>
          <w:szCs w:val="28"/>
          <w:lang w:bidi="hi-IN"/>
        </w:rPr>
      </w:pPr>
      <w:r>
        <w:rPr>
          <w:rFonts w:eastAsia="Tahoma"/>
          <w:bCs w:val="0"/>
          <w:color w:val="auto"/>
          <w:szCs w:val="28"/>
          <w:lang w:bidi="hi-IN"/>
        </w:rPr>
        <w:t>Здійснюється робота щодо реалізації Антикорупційної програми Луцької міської ради на 2024-2026 роки, яка затверджена рішенн</w:t>
      </w:r>
      <w:r>
        <w:rPr>
          <w:rFonts w:eastAsia="Tahoma"/>
          <w:bCs w:val="0"/>
          <w:color w:val="auto"/>
          <w:szCs w:val="28"/>
          <w:lang w:bidi="hi-IN"/>
        </w:rPr>
        <w:t xml:space="preserve">ям Луцької міської </w:t>
      </w:r>
      <w:r>
        <w:rPr>
          <w:rFonts w:eastAsia="Tahoma"/>
          <w:bCs w:val="0"/>
          <w:color w:val="auto"/>
          <w:szCs w:val="28"/>
          <w:lang w:bidi="hi-IN"/>
        </w:rPr>
        <w:lastRenderedPageBreak/>
        <w:t xml:space="preserve">ради від 20.12.2023 № 54/2. </w:t>
      </w:r>
    </w:p>
    <w:p w:rsidR="00AA4EB5" w:rsidRDefault="007C585D">
      <w:pPr>
        <w:widowControl w:val="0"/>
        <w:ind w:firstLine="709"/>
        <w:jc w:val="both"/>
        <w:rPr>
          <w:rFonts w:eastAsia="Tahoma"/>
          <w:bCs w:val="0"/>
          <w:color w:val="auto"/>
          <w:szCs w:val="28"/>
          <w:lang w:bidi="hi-IN"/>
        </w:rPr>
      </w:pPr>
      <w:r>
        <w:rPr>
          <w:rFonts w:eastAsia="Tahoma"/>
          <w:bCs w:val="0"/>
          <w:color w:val="auto"/>
          <w:szCs w:val="28"/>
          <w:lang w:bidi="hi-IN"/>
        </w:rPr>
        <w:t>Керівники виконавчих органів міської ради, комунальних підприємств, організацій (установ, закладів), що належать до комунальної власності Луцької міської територіальної громади щоквартально надають інформацію</w:t>
      </w:r>
      <w:r>
        <w:rPr>
          <w:rFonts w:eastAsia="Tahoma"/>
          <w:bCs w:val="0"/>
          <w:color w:val="auto"/>
          <w:szCs w:val="28"/>
          <w:lang w:bidi="hi-IN"/>
        </w:rPr>
        <w:t xml:space="preserve"> про виконання вищезазначеної Антикорупційної програми, яка аналізується та узагальнюється працівником відділу з питань запобігання та виявлення корупції управління персоналу.</w:t>
      </w:r>
    </w:p>
    <w:p w:rsidR="00AA4EB5" w:rsidRDefault="007C585D">
      <w:pPr>
        <w:widowControl w:val="0"/>
        <w:ind w:firstLine="709"/>
        <w:jc w:val="both"/>
        <w:rPr>
          <w:rFonts w:eastAsia="Tahoma"/>
          <w:bCs w:val="0"/>
          <w:color w:val="auto"/>
          <w:szCs w:val="28"/>
          <w:lang w:bidi="hi-IN"/>
        </w:rPr>
      </w:pPr>
      <w:r>
        <w:rPr>
          <w:rFonts w:eastAsia="Tahoma"/>
          <w:bCs w:val="0"/>
          <w:color w:val="auto"/>
          <w:szCs w:val="28"/>
          <w:lang w:bidi="hi-IN"/>
        </w:rPr>
        <w:t>З метою формування єдиного підходу до дотримання правил запобігання та врегулюва</w:t>
      </w:r>
      <w:r>
        <w:rPr>
          <w:rFonts w:eastAsia="Tahoma"/>
          <w:bCs w:val="0"/>
          <w:color w:val="auto"/>
          <w:szCs w:val="28"/>
          <w:lang w:bidi="hi-IN"/>
        </w:rPr>
        <w:t>ння конфлікту інтересів у діяльності Луцької міської ради та її виконавчих органах розроблено Порядок запобігання та врегулювання конфлікту інтересів у Луцькій міській раді та її виконавчих органах, який затверджений  розпорядженням міського голови від 23.</w:t>
      </w:r>
      <w:r>
        <w:rPr>
          <w:rFonts w:eastAsia="Tahoma"/>
          <w:bCs w:val="0"/>
          <w:color w:val="auto"/>
          <w:szCs w:val="28"/>
          <w:lang w:bidi="hi-IN"/>
        </w:rPr>
        <w:t>04.2024 № 257.</w:t>
      </w:r>
    </w:p>
    <w:p w:rsidR="00AA4EB5" w:rsidRDefault="007C585D">
      <w:pPr>
        <w:widowControl w:val="0"/>
        <w:ind w:firstLine="709"/>
        <w:jc w:val="both"/>
      </w:pPr>
      <w:bookmarkStart w:id="3" w:name="__DdeLink__3230_19072692271"/>
      <w:bookmarkEnd w:id="3"/>
      <w:r>
        <w:rPr>
          <w:bCs w:val="0"/>
          <w:color w:val="auto"/>
          <w:szCs w:val="28"/>
        </w:rPr>
        <w:t>На виконання положень Закону України “Про очищення влади”  надіслано 14 запитів та повідомлень про початок проходження перевірки, передбаченої Законом України “Про очищення влади”, до Західного міжрегіонального управління Міністерства юстиці</w:t>
      </w:r>
      <w:r>
        <w:rPr>
          <w:bCs w:val="0"/>
          <w:color w:val="auto"/>
          <w:szCs w:val="28"/>
        </w:rPr>
        <w:t>ї</w:t>
      </w:r>
      <w:r>
        <w:rPr>
          <w:rFonts w:ascii="Calibri;Century Gothic" w:hAnsi="Calibri;Century Gothic" w:cs="Calibri;Century Gothic"/>
          <w:bCs w:val="0"/>
          <w:iCs/>
          <w:color w:val="auto"/>
          <w:szCs w:val="28"/>
        </w:rPr>
        <w:t>.</w:t>
      </w:r>
      <w:r>
        <w:rPr>
          <w:bCs w:val="0"/>
          <w:color w:val="auto"/>
          <w:szCs w:val="28"/>
        </w:rPr>
        <w:t xml:space="preserve"> Підготовлено 62 довідки про результати перевірок, передбачених Законом України “Про очищення влади”. </w:t>
      </w:r>
    </w:p>
    <w:p w:rsidR="00AA4EB5" w:rsidRDefault="007C585D">
      <w:pPr>
        <w:pStyle w:val="af7"/>
        <w:ind w:firstLine="567"/>
        <w:jc w:val="both"/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8. Робота відділу документального забезпечення.</w:t>
      </w:r>
    </w:p>
    <w:p w:rsidR="00AA4EB5" w:rsidRDefault="007C585D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У відповідності до посадових інструкцій працівниками відділу документального забезпечення управління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персоналу, які працюють на віддалених робочих місцях забезпечено роботу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округів протягом ІІ та ІІІ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кварталів 2024 року. </w:t>
      </w:r>
    </w:p>
    <w:p w:rsidR="00AA4EB5" w:rsidRDefault="007C585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 працівниками відділу забезпечено:</w:t>
      </w:r>
    </w:p>
    <w:p w:rsidR="00AA4EB5" w:rsidRDefault="007C585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особистих прийомів громадян старостами та попередньо проведено консул</w:t>
      </w:r>
      <w:r>
        <w:rPr>
          <w:rFonts w:ascii="Times New Roman" w:hAnsi="Times New Roman" w:cs="Times New Roman"/>
          <w:sz w:val="28"/>
          <w:szCs w:val="28"/>
        </w:rPr>
        <w:t xml:space="preserve">ьтації, в тому числі, по телефону жителів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округів;</w:t>
      </w:r>
    </w:p>
    <w:p w:rsidR="00AA4EB5" w:rsidRDefault="007C585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роз'яснювальної роботи із жителями щодо порядку реєстрації та надання допомоги із реєстрацією (у разі потреби) в Державному аграрному реєстрі; проведення роз'яснювальної роботи та</w:t>
      </w:r>
      <w:r>
        <w:rPr>
          <w:rFonts w:ascii="Times New Roman" w:hAnsi="Times New Roman" w:cs="Times New Roman"/>
          <w:sz w:val="28"/>
          <w:szCs w:val="28"/>
        </w:rPr>
        <w:t xml:space="preserve"> збір документів з подальшою їх реєстрацією власниками тварин для отримання дотацій на вирощування молодняку великої рогатої худоби та власників особистих селянських господарств, які утримують корів, ведення відповідних реєстрів;</w:t>
      </w:r>
    </w:p>
    <w:p w:rsidR="00AA4EB5" w:rsidRDefault="007C585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підготовку документів на в</w:t>
      </w:r>
      <w:r>
        <w:rPr>
          <w:rFonts w:ascii="Times New Roman" w:hAnsi="Times New Roman" w:cs="Times New Roman"/>
          <w:sz w:val="28"/>
          <w:szCs w:val="28"/>
        </w:rPr>
        <w:t>чинення нотаріальних дій (з подальшою реєстрацією у Спадковому реєстрі) та посвідчення довіреностей;</w:t>
      </w:r>
    </w:p>
    <w:p w:rsidR="00AA4EB5" w:rsidRDefault="007C585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підготовку актів різного типу (про фактичне місце проживання, про наявність пічного опалення);</w:t>
      </w:r>
    </w:p>
    <w:p w:rsidR="00AA4EB5" w:rsidRDefault="007C585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підготовку виписок з відомостей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та і</w:t>
      </w:r>
      <w:r>
        <w:rPr>
          <w:rFonts w:ascii="Times New Roman" w:hAnsi="Times New Roman" w:cs="Times New Roman"/>
          <w:sz w:val="28"/>
          <w:szCs w:val="28"/>
        </w:rPr>
        <w:t>нших довідок (про останнє місце проживання, про членство в особистому селянському господарстві, ін.)</w:t>
      </w:r>
    </w:p>
    <w:p w:rsidR="00AA4EB5" w:rsidRDefault="007C585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доручення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працівники відділу були залучені до збору овочів для потреб лікувальних закладів;</w:t>
      </w:r>
    </w:p>
    <w:p w:rsidR="00AA4EB5" w:rsidRDefault="007C585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роботу щодо ведення книги телефонограм, а їх зміст,</w:t>
      </w:r>
      <w:r>
        <w:rPr>
          <w:rFonts w:ascii="Times New Roman" w:hAnsi="Times New Roman" w:cs="Times New Roman"/>
          <w:sz w:val="28"/>
          <w:szCs w:val="28"/>
        </w:rPr>
        <w:t xml:space="preserve"> а також інша актуальна інформація, доводилась до місцевих жителів через офіційні сторінки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групи, на сторінці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та на </w:t>
      </w:r>
      <w:r>
        <w:rPr>
          <w:rFonts w:ascii="Times New Roman" w:hAnsi="Times New Roman" w:cs="Times New Roman"/>
          <w:sz w:val="28"/>
          <w:szCs w:val="28"/>
        </w:rPr>
        <w:lastRenderedPageBreak/>
        <w:t>інформаційних стендах (дошках оголошень);</w:t>
      </w:r>
    </w:p>
    <w:p w:rsidR="00AA4EB5" w:rsidRDefault="007C585D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>надання допомоги департаменту містобудування, земе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льних ресурсів та реклами у присвоєнні адрес об'єктам будівництва та об'єктам нерухомого майна та  надання допомоги у наповненні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геопорталу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громади. Крім того, забезпечено надання відомостей щодо наповнення адресного реєстру;</w:t>
      </w:r>
    </w:p>
    <w:p w:rsidR="00AA4EB5" w:rsidRDefault="007C585D">
      <w:pPr>
        <w:widowControl w:val="0"/>
        <w:tabs>
          <w:tab w:val="left" w:pos="6954"/>
        </w:tabs>
        <w:ind w:firstLine="567"/>
        <w:jc w:val="both"/>
      </w:pPr>
      <w:r>
        <w:rPr>
          <w:rStyle w:val="a3"/>
          <w:szCs w:val="28"/>
          <w:lang w:eastAsia="ar-SA"/>
        </w:rPr>
        <w:t>надання інформації відділу ведення державного реєстру виборців  про наявність адресних об'єктів;</w:t>
      </w:r>
    </w:p>
    <w:p w:rsidR="00AA4EB5" w:rsidRDefault="007C585D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>Крім того, постійно проводиться  звірка інформації та уточнення даних щодо зареєстрованих осіб (членів домогосподарств) за результатами якої проводиться кориг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ування уже внесених відомостей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обліку, як до книг так і до Програми.</w:t>
      </w:r>
    </w:p>
    <w:p w:rsidR="00AA4EB5" w:rsidRDefault="007C585D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>Також, усі працівники відділу були залучені до роботи щодо повідомлення жителів округів про існуючу заборгованість та/або нарахування сплати земельного податку та податку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на нерухоме майно, відмінне від земельного податку, орендної плати за землю чи мінімального податкового зобов'язання.</w:t>
      </w:r>
    </w:p>
    <w:p w:rsidR="00AA4EB5" w:rsidRDefault="007C585D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Аналіз роботи працівників відділу документального забезпечення управління персоналу щодо документального забезпечення роботи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та р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оботи з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погосподарським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обліком по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округах у ІІ та ІІІ кварталах 2024 року відображено у додатках.</w:t>
      </w:r>
    </w:p>
    <w:p w:rsidR="00AA4EB5" w:rsidRDefault="00AA4EB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EB5" w:rsidRDefault="007C585D">
      <w:r>
        <w:t xml:space="preserve">Начальник управління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Віра ГУДИМА</w:t>
      </w:r>
    </w:p>
    <w:p w:rsidR="00AA4EB5" w:rsidRDefault="00AA4EB5"/>
    <w:p w:rsidR="00AA4EB5" w:rsidRDefault="007C585D">
      <w:pPr>
        <w:rPr>
          <w:sz w:val="24"/>
        </w:rPr>
      </w:pPr>
      <w:r>
        <w:rPr>
          <w:sz w:val="24"/>
        </w:rPr>
        <w:t>Олена Бондарчук 741 086</w:t>
      </w:r>
    </w:p>
    <w:p w:rsidR="00AA4EB5" w:rsidRDefault="007C585D">
      <w:pPr>
        <w:rPr>
          <w:sz w:val="24"/>
        </w:rPr>
      </w:pPr>
      <w:r>
        <w:rPr>
          <w:sz w:val="24"/>
        </w:rPr>
        <w:t>Ірина Богдан 741 080</w:t>
      </w:r>
    </w:p>
    <w:p w:rsidR="00AA4EB5" w:rsidRDefault="007C585D">
      <w:pPr>
        <w:rPr>
          <w:sz w:val="24"/>
        </w:rPr>
      </w:pPr>
      <w:r>
        <w:rPr>
          <w:sz w:val="24"/>
        </w:rPr>
        <w:t xml:space="preserve">Олена </w:t>
      </w:r>
      <w:proofErr w:type="spellStart"/>
      <w:r>
        <w:rPr>
          <w:sz w:val="24"/>
        </w:rPr>
        <w:t>Стефанська</w:t>
      </w:r>
      <w:proofErr w:type="spellEnd"/>
      <w:r>
        <w:rPr>
          <w:sz w:val="24"/>
        </w:rPr>
        <w:t xml:space="preserve"> 797 117</w:t>
      </w:r>
    </w:p>
    <w:p w:rsidR="00AA4EB5" w:rsidRDefault="007C585D">
      <w:pPr>
        <w:jc w:val="both"/>
        <w:rPr>
          <w:szCs w:val="28"/>
        </w:rPr>
        <w:sectPr w:rsidR="00AA4EB5">
          <w:headerReference w:type="default" r:id="rId6"/>
          <w:footerReference w:type="default" r:id="rId7"/>
          <w:pgSz w:w="11906" w:h="16838"/>
          <w:pgMar w:top="851" w:right="580" w:bottom="1418" w:left="1797" w:header="539" w:footer="510" w:gutter="0"/>
          <w:cols w:space="720"/>
          <w:formProt w:val="0"/>
          <w:docGrid w:linePitch="360"/>
        </w:sectPr>
      </w:pPr>
      <w:r>
        <w:rPr>
          <w:sz w:val="24"/>
        </w:rPr>
        <w:t>Олександр Романюк 777 912</w:t>
      </w:r>
    </w:p>
    <w:tbl>
      <w:tblPr>
        <w:tblW w:w="14963" w:type="dxa"/>
        <w:tblInd w:w="-3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7981"/>
        <w:gridCol w:w="1125"/>
        <w:gridCol w:w="998"/>
        <w:gridCol w:w="1526"/>
        <w:gridCol w:w="1522"/>
        <w:gridCol w:w="1162"/>
      </w:tblGrid>
      <w:tr w:rsidR="00AA4EB5">
        <w:trPr>
          <w:cantSplit/>
          <w:trHeight w:val="181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AA4EB5">
            <w:pPr>
              <w:widowControl w:val="0"/>
              <w:jc w:val="center"/>
              <w:rPr>
                <w:sz w:val="24"/>
              </w:rPr>
            </w:pPr>
          </w:p>
          <w:p w:rsidR="00AA4EB5" w:rsidRDefault="00AA4EB5">
            <w:pPr>
              <w:widowControl w:val="0"/>
              <w:jc w:val="center"/>
              <w:rPr>
                <w:sz w:val="24"/>
              </w:rPr>
            </w:pPr>
          </w:p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Завдання та обов’язки,  які виконувались</w:t>
            </w:r>
          </w:p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протягом ІІ та ІІІ кварталів 2024 року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A4EB5" w:rsidRDefault="007C585D">
            <w:pPr>
              <w:widowControl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Г. Попович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A4EB5" w:rsidRDefault="007C585D">
            <w:pPr>
              <w:widowControl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proofErr w:type="spellStart"/>
            <w:r>
              <w:rPr>
                <w:sz w:val="24"/>
              </w:rPr>
              <w:t>О.Стефанська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A4EB5" w:rsidRDefault="00AA4EB5">
            <w:pPr>
              <w:widowControl w:val="0"/>
              <w:ind w:left="113" w:right="113"/>
              <w:jc w:val="center"/>
              <w:rPr>
                <w:sz w:val="24"/>
              </w:rPr>
            </w:pPr>
          </w:p>
          <w:p w:rsidR="00AA4EB5" w:rsidRDefault="00AA4EB5">
            <w:pPr>
              <w:widowControl w:val="0"/>
              <w:ind w:left="113" w:right="113"/>
              <w:jc w:val="center"/>
              <w:rPr>
                <w:sz w:val="24"/>
              </w:rPr>
            </w:pPr>
          </w:p>
          <w:p w:rsidR="00AA4EB5" w:rsidRDefault="007C585D">
            <w:pPr>
              <w:widowControl w:val="0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Л.Яцушек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A4EB5" w:rsidRDefault="00AA4EB5">
            <w:pPr>
              <w:widowControl w:val="0"/>
              <w:ind w:left="113" w:right="113"/>
              <w:jc w:val="center"/>
              <w:rPr>
                <w:sz w:val="24"/>
              </w:rPr>
            </w:pPr>
          </w:p>
          <w:p w:rsidR="00AA4EB5" w:rsidRDefault="00AA4EB5">
            <w:pPr>
              <w:widowControl w:val="0"/>
              <w:ind w:left="113" w:right="113"/>
              <w:jc w:val="center"/>
              <w:rPr>
                <w:sz w:val="24"/>
              </w:rPr>
            </w:pPr>
          </w:p>
          <w:p w:rsidR="00AA4EB5" w:rsidRDefault="007C585D">
            <w:pPr>
              <w:widowControl w:val="0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Г.Шпак</w:t>
            </w:r>
            <w:proofErr w:type="spellEnd"/>
          </w:p>
          <w:p w:rsidR="00AA4EB5" w:rsidRDefault="00AA4EB5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A4EB5" w:rsidRDefault="007C585D">
            <w:pPr>
              <w:widowControl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proofErr w:type="spellStart"/>
            <w:r>
              <w:rPr>
                <w:sz w:val="24"/>
              </w:rPr>
              <w:t>О.Квока</w:t>
            </w:r>
            <w:proofErr w:type="spellEnd"/>
          </w:p>
          <w:p w:rsidR="00AA4EB5" w:rsidRDefault="00AA4EB5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</w:tr>
      <w:tr w:rsidR="00AA4EB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Кількість населення станом на 31.12.2023 (з реєстрацією місяця проживання)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3994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6100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8986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4345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3844</w:t>
            </w:r>
          </w:p>
        </w:tc>
      </w:tr>
      <w:tr w:rsidR="00AA4EB5"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Опрацьовано документів, що надійшло до </w:t>
            </w:r>
            <w:proofErr w:type="spellStart"/>
            <w:r>
              <w:rPr>
                <w:sz w:val="24"/>
              </w:rPr>
              <w:t>старостинського</w:t>
            </w:r>
            <w:proofErr w:type="spellEnd"/>
            <w:r>
              <w:rPr>
                <w:sz w:val="24"/>
              </w:rPr>
              <w:t xml:space="preserve"> округу  </w:t>
            </w:r>
            <w:r>
              <w:rPr>
                <w:sz w:val="24"/>
              </w:rPr>
              <w:t>(внутрішніх/вхідних)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 w:rsidR="00AA4EB5"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</w:pPr>
            <w:r>
              <w:rPr>
                <w:sz w:val="24"/>
              </w:rPr>
              <w:t>Підготовка проектів внутрішніх чи вихідних листів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AA4EB5">
        <w:trPr>
          <w:trHeight w:val="182"/>
        </w:trPr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</w:pPr>
            <w:r>
              <w:rPr>
                <w:sz w:val="24"/>
              </w:rPr>
              <w:t>Листування з органами нотаріату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EB5"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Зареєстровано через систему “</w:t>
            </w:r>
            <w:proofErr w:type="spellStart"/>
            <w:r>
              <w:rPr>
                <w:sz w:val="24"/>
              </w:rPr>
              <w:t>Аскод</w:t>
            </w:r>
            <w:proofErr w:type="spellEnd"/>
            <w:r>
              <w:rPr>
                <w:sz w:val="24"/>
              </w:rPr>
              <w:t>” звернень громадян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206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AA4EB5"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Надійшло усних звернень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внесено</w:t>
            </w:r>
            <w:proofErr w:type="spellEnd"/>
            <w:r>
              <w:rPr>
                <w:sz w:val="24"/>
              </w:rPr>
              <w:t xml:space="preserve"> до журналу обліку особистого прийому) (надання консультацій та роз’яснень жителям сіл щодня)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A4EB5"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актів різного типу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AA4EB5"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Підготовка виписок з книг </w:t>
            </w:r>
            <w:proofErr w:type="spellStart"/>
            <w:r>
              <w:rPr>
                <w:sz w:val="24"/>
              </w:rPr>
              <w:t>погосподарського</w:t>
            </w:r>
            <w:proofErr w:type="spellEnd"/>
            <w:r>
              <w:rPr>
                <w:sz w:val="24"/>
              </w:rPr>
              <w:t xml:space="preserve"> обліку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A4EB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Підготовка </w:t>
            </w:r>
            <w:r>
              <w:rPr>
                <w:sz w:val="24"/>
              </w:rPr>
              <w:t xml:space="preserve">характеристик на жителів </w:t>
            </w:r>
            <w:proofErr w:type="spellStart"/>
            <w:r>
              <w:rPr>
                <w:sz w:val="24"/>
              </w:rPr>
              <w:t>старостинського</w:t>
            </w:r>
            <w:proofErr w:type="spellEnd"/>
            <w:r>
              <w:rPr>
                <w:sz w:val="24"/>
              </w:rPr>
              <w:t xml:space="preserve"> округу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A4EB5">
        <w:trPr>
          <w:trHeight w:val="371"/>
        </w:trPr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довідок різного типу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AA4EB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проектів довіреностей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AA4EB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проектів документів для вчинення нотаріальних дій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A4EB5">
        <w:trPr>
          <w:trHeight w:val="32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Підготовка </w:t>
            </w:r>
            <w:r>
              <w:rPr>
                <w:sz w:val="24"/>
              </w:rPr>
              <w:t>проектів архівних довідок про заробітну плату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EB5">
        <w:trPr>
          <w:trHeight w:val="31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Адвокатські запити/відповіді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A4EB5">
        <w:trPr>
          <w:trHeight w:val="425"/>
        </w:trPr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Прийняття документів</w:t>
            </w:r>
            <w:r>
              <w:rPr>
                <w:sz w:val="24"/>
              </w:rPr>
              <w:t xml:space="preserve"> на дотації</w:t>
            </w:r>
            <w:r>
              <w:rPr>
                <w:sz w:val="24"/>
              </w:rPr>
              <w:t xml:space="preserve"> щодо програм АПК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EB5" w:rsidRDefault="007C58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A4EB5" w:rsidRDefault="00AA4EB5"/>
    <w:tbl>
      <w:tblPr>
        <w:tblW w:w="15798" w:type="dxa"/>
        <w:tblInd w:w="-9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2"/>
        <w:gridCol w:w="459"/>
        <w:gridCol w:w="742"/>
        <w:gridCol w:w="751"/>
        <w:gridCol w:w="610"/>
        <w:gridCol w:w="684"/>
        <w:gridCol w:w="807"/>
        <w:gridCol w:w="781"/>
        <w:gridCol w:w="684"/>
        <w:gridCol w:w="975"/>
        <w:gridCol w:w="900"/>
        <w:gridCol w:w="975"/>
        <w:gridCol w:w="948"/>
        <w:gridCol w:w="1079"/>
        <w:gridCol w:w="1023"/>
        <w:gridCol w:w="1078"/>
        <w:gridCol w:w="919"/>
        <w:gridCol w:w="891"/>
      </w:tblGrid>
      <w:tr w:rsidR="00AA4EB5"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Старостинський</w:t>
            </w:r>
            <w:proofErr w:type="spellEnd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округ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К-ть </w:t>
            </w:r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домогосподарств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станом на 31.12.2020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(усі типи)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Кількість </w:t>
            </w:r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об'єктів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погосподарського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 обліку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станом  на 31.12.2022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Кількість </w:t>
            </w:r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об'єктів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погосподарського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 обліку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станом  на 31.12.2023</w:t>
            </w:r>
          </w:p>
          <w:p w:rsidR="00AA4EB5" w:rsidRDefault="00AA4EB5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</w:p>
          <w:p w:rsidR="00AA4EB5" w:rsidRDefault="00AA4EB5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За І </w:t>
            </w: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кв</w:t>
            </w:r>
            <w:proofErr w:type="spellEnd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2024 введено інформацію до програми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повністю/частково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За І </w:t>
            </w: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кв</w:t>
            </w:r>
            <w:proofErr w:type="spellEnd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2024 введено інформацію до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</w:t>
            </w:r>
            <w:r w:rsidRPr="007C585D"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ru-RU"/>
              </w:rPr>
              <w:t>к</w:t>
            </w: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ниг</w:t>
            </w:r>
            <w:proofErr w:type="spellEnd"/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повністю/частково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Кількість </w:t>
            </w:r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об'єктів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погосподарського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 обліку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станом  на 31.03.2024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За ІІ </w:t>
            </w: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кв</w:t>
            </w:r>
            <w:proofErr w:type="spellEnd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2024 введено інформацію до програми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повністю/частково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За ІІ </w:t>
            </w: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кв</w:t>
            </w:r>
            <w:proofErr w:type="spellEnd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2024 введено інформацію до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</w:t>
            </w:r>
            <w:r w:rsidRPr="007C585D"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ru-RU"/>
              </w:rPr>
              <w:t>к</w:t>
            </w: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ниг</w:t>
            </w:r>
            <w:proofErr w:type="spellEnd"/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повністю/частково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Кількість </w:t>
            </w:r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об'єктів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погосподарського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 обліку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станом  на 30.06.2024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За ІІІ </w:t>
            </w: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кв</w:t>
            </w:r>
            <w:proofErr w:type="spellEnd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2024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введено інформацію до програми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повністю/частково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За ІІІ </w:t>
            </w: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кв</w:t>
            </w:r>
            <w:proofErr w:type="spellEnd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2024 введено інформацію до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</w:t>
            </w:r>
            <w:r w:rsidRPr="007C585D"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ru-RU"/>
              </w:rPr>
              <w:t>к</w:t>
            </w: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ниг</w:t>
            </w:r>
            <w:proofErr w:type="spellEnd"/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повністю/частково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Кількість </w:t>
            </w:r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об'єктів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погосподарського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 xml:space="preserve"> обліку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 станом  на 30.09.2024</w:t>
            </w:r>
          </w:p>
        </w:tc>
      </w:tr>
      <w:tr w:rsidR="00AA4EB5"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AA4EB5">
            <w:pPr>
              <w:widowControl w:val="0"/>
            </w:pP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B5" w:rsidRDefault="00AA4EB5">
            <w:pPr>
              <w:widowControl w:val="0"/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К-ть домогосподарств станом на 31.12.2022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(код 1,2,3,5,)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К-ть землеволодінь 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власники яких проживають в інших населених пунктах  станом  на 31.12.2022 (код 4)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К-ть домогосподарств станом на 31.12.2023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(код 1,2,3,5,)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К-ть землеволодінь власники яких проживають в інших населених пунктах  станом  на 31.12.2023 (код 4)</w:t>
            </w:r>
          </w:p>
          <w:p w:rsidR="00AA4EB5" w:rsidRDefault="00AA4EB5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AA4EB5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AA4EB5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К-ть 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домогосподарств станом на 31.03.2024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(код 1,2,3,5,)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К-ть землеволодінь власники яких проживають в інших населених пунктах станом на 31.03.2024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(код 4)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AA4EB5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AA4EB5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К-ть домогосподарств станом на 30.06.2024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(код 1,2,3,5,)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 xml:space="preserve">К-ть землеволодінь власники яких проживають в </w:t>
            </w: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інших населених пунктах станом на 30.06.2024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(код 4)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AA4EB5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AA4EB5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К-ть домогосподарств станом на 30.09.2024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(код 1,2,3,5,)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К-ть землеволодінь власники яких проживають в інших населених пунктах станом на 30.09.2024</w:t>
            </w:r>
          </w:p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(код 4)</w:t>
            </w:r>
          </w:p>
        </w:tc>
      </w:tr>
      <w:tr w:rsidR="00AA4EB5"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Боголюбський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1535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1680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95/194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117/291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1743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147/399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147/304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1779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124/124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124/124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1801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132</w:t>
            </w:r>
          </w:p>
        </w:tc>
      </w:tr>
      <w:tr w:rsidR="00AA4EB5"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Заборольський</w:t>
            </w:r>
            <w:proofErr w:type="spellEnd"/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2037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2236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184/77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285/0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304/1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2313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175/1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17/4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237</w:t>
            </w:r>
          </w:p>
        </w:tc>
      </w:tr>
      <w:tr w:rsidR="00AA4EB5"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Жидичинський</w:t>
            </w:r>
            <w:proofErr w:type="spellEnd"/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110/252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45/450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177/254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81/190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81/190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1689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334</w:t>
            </w:r>
          </w:p>
        </w:tc>
      </w:tr>
      <w:tr w:rsidR="00AA4EB5"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Княгининівський</w:t>
            </w:r>
            <w:proofErr w:type="spellEnd"/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2657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115/287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115/287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2655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56/525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56/525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2655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155/170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155/170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2764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851</w:t>
            </w:r>
          </w:p>
        </w:tc>
      </w:tr>
      <w:tr w:rsidR="00AA4EB5"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Прилуцький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1794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1420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430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1452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73/375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</w:rPr>
              <w:t>203/146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1455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476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147/82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68/106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1459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486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71/142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36/74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1464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5" w:rsidRDefault="007C585D">
            <w:pPr>
              <w:pStyle w:val="af0"/>
              <w:widowControl w:val="0"/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Liberation Serif" w:hAnsi="Liberation Serif"/>
                <w:bCs w:val="0"/>
                <w:color w:val="000000"/>
                <w:sz w:val="16"/>
                <w:szCs w:val="16"/>
                <w:lang w:val="en-US"/>
              </w:rPr>
              <w:t>493</w:t>
            </w:r>
          </w:p>
        </w:tc>
      </w:tr>
    </w:tbl>
    <w:p w:rsidR="00AA4EB5" w:rsidRDefault="00AA4EB5">
      <w:pPr>
        <w:rPr>
          <w:sz w:val="18"/>
          <w:szCs w:val="18"/>
        </w:rPr>
      </w:pPr>
    </w:p>
    <w:p w:rsidR="00AA4EB5" w:rsidRDefault="007C585D">
      <w:r>
        <w:rPr>
          <w:sz w:val="18"/>
          <w:szCs w:val="18"/>
        </w:rPr>
        <w:t xml:space="preserve">Домогосподарство в </w:t>
      </w:r>
      <w:r>
        <w:rPr>
          <w:sz w:val="18"/>
          <w:szCs w:val="18"/>
        </w:rPr>
        <w:t>даному звіті код 1,2,3,5.</w:t>
      </w:r>
    </w:p>
    <w:p w:rsidR="00AA4EB5" w:rsidRDefault="007C585D">
      <w:pPr>
        <w:rPr>
          <w:sz w:val="18"/>
          <w:szCs w:val="18"/>
        </w:rPr>
      </w:pPr>
      <w:r>
        <w:rPr>
          <w:sz w:val="18"/>
          <w:szCs w:val="18"/>
        </w:rPr>
        <w:t>Землеволодіння в даному звіті код 4.</w:t>
      </w:r>
    </w:p>
    <w:p w:rsidR="00AA4EB5" w:rsidRDefault="007C585D">
      <w:pPr>
        <w:rPr>
          <w:sz w:val="18"/>
          <w:szCs w:val="18"/>
        </w:rPr>
      </w:pPr>
      <w:r>
        <w:rPr>
          <w:sz w:val="18"/>
          <w:szCs w:val="18"/>
        </w:rPr>
        <w:t xml:space="preserve">Об’єкти </w:t>
      </w:r>
      <w:proofErr w:type="spellStart"/>
      <w:r>
        <w:rPr>
          <w:sz w:val="18"/>
          <w:szCs w:val="18"/>
        </w:rPr>
        <w:t>погосподарського</w:t>
      </w:r>
      <w:proofErr w:type="spellEnd"/>
      <w:r>
        <w:rPr>
          <w:sz w:val="18"/>
          <w:szCs w:val="18"/>
        </w:rPr>
        <w:t xml:space="preserve"> обліку код 1, 2, 3, 4, 5.</w:t>
      </w:r>
    </w:p>
    <w:sectPr w:rsidR="00AA4EB5">
      <w:headerReference w:type="default" r:id="rId8"/>
      <w:footerReference w:type="default" r:id="rId9"/>
      <w:pgSz w:w="16838" w:h="11906" w:orient="landscape"/>
      <w:pgMar w:top="596" w:right="1418" w:bottom="1797" w:left="1866" w:header="53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585D">
      <w:r>
        <w:separator/>
      </w:r>
    </w:p>
  </w:endnote>
  <w:endnote w:type="continuationSeparator" w:id="0">
    <w:p w:rsidR="00000000" w:rsidRDefault="007C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B5" w:rsidRDefault="00AA4E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B5" w:rsidRDefault="00AA4EB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585D">
      <w:r>
        <w:separator/>
      </w:r>
    </w:p>
  </w:footnote>
  <w:footnote w:type="continuationSeparator" w:id="0">
    <w:p w:rsidR="00000000" w:rsidRDefault="007C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B5" w:rsidRDefault="00AA4EB5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B5" w:rsidRDefault="00AA4EB5">
    <w:pPr>
      <w:pStyle w:val="a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4EB5"/>
    <w:rsid w:val="007C585D"/>
    <w:rsid w:val="00A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336725F-4BDF-475C-954C-624E22F2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Основной шрифт абзаца"/>
    <w:qFormat/>
  </w:style>
  <w:style w:type="character" w:customStyle="1" w:styleId="1">
    <w:name w:val="Шрифт абзацу за промовчанням1"/>
    <w:qFormat/>
  </w:style>
  <w:style w:type="character" w:customStyle="1" w:styleId="apple-converted-space">
    <w:name w:val="apple-converted-space"/>
    <w:basedOn w:val="1"/>
    <w:qFormat/>
  </w:style>
  <w:style w:type="character" w:customStyle="1" w:styleId="a4">
    <w:name w:val="Текст у виносці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иділення жирним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Відвідане гіперпосилання"/>
    <w:rPr>
      <w:color w:val="800000"/>
      <w:u w:val="single"/>
    </w:rPr>
  </w:style>
  <w:style w:type="character" w:styleId="a8">
    <w:name w:val="Emphasis"/>
    <w:basedOn w:val="a3"/>
    <w:qFormat/>
    <w:rPr>
      <w:rFonts w:ascii="Calibri;Century Gothic" w:hAnsi="Calibri;Century Gothic" w:cs="Calibri;Century Gothic"/>
      <w:b/>
      <w:i/>
      <w:iCs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uppressLineNumbers/>
      <w:tabs>
        <w:tab w:val="center" w:pos="4650"/>
        <w:tab w:val="right" w:pos="9300"/>
      </w:tabs>
    </w:pPr>
  </w:style>
  <w:style w:type="paragraph" w:styleId="af4">
    <w:name w:val="header"/>
    <w:basedOn w:val="a"/>
    <w:pPr>
      <w:suppressLineNumbers/>
      <w:tabs>
        <w:tab w:val="center" w:pos="4650"/>
        <w:tab w:val="right" w:pos="9300"/>
      </w:tabs>
    </w:p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qFormat/>
    <w:pPr>
      <w:ind w:left="291" w:right="123" w:firstLine="599"/>
    </w:pPr>
    <w:rPr>
      <w:lang w:eastAsia="en-US"/>
    </w:rPr>
  </w:style>
  <w:style w:type="paragraph" w:styleId="af7">
    <w:name w:val="No Spacing"/>
    <w:qFormat/>
    <w:pPr>
      <w:widowControl w:val="0"/>
    </w:pPr>
    <w:rPr>
      <w:rFonts w:ascii="Arial" w:eastAsia="Tahoma" w:hAnsi="Arial" w:cs="Mangal"/>
      <w:color w:val="00000A"/>
      <w:sz w:val="36"/>
    </w:rPr>
  </w:style>
  <w:style w:type="paragraph" w:customStyle="1" w:styleId="western">
    <w:name w:val="western"/>
    <w:basedOn w:val="a"/>
    <w:qFormat/>
    <w:pPr>
      <w:spacing w:before="280" w:after="119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af8">
    <w:name w:val="Без интервала"/>
    <w:qFormat/>
    <w:pPr>
      <w:widowControl w:val="0"/>
    </w:pPr>
    <w:rPr>
      <w:rFonts w:ascii="Arial" w:eastAsia="Tahoma" w:hAnsi="Arial" w:cs="Mangal"/>
      <w:color w:val="00000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12</Pages>
  <Words>19218</Words>
  <Characters>10955</Characters>
  <Application>Microsoft Office Word</Application>
  <DocSecurity>0</DocSecurity>
  <Lines>91</Lines>
  <Paragraphs>60</Paragraphs>
  <ScaleCrop>false</ScaleCrop>
  <Company/>
  <LinksUpToDate>false</LinksUpToDate>
  <CharactersWithSpaces>30113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Kostjuk</dc:creator>
  <dc:description/>
  <cp:lastModifiedBy>Тетяна Тирилюк</cp:lastModifiedBy>
  <cp:revision>109</cp:revision>
  <cp:lastPrinted>2025-01-21T12:28:00Z</cp:lastPrinted>
  <dcterms:created xsi:type="dcterms:W3CDTF">2021-07-21T11:23:00Z</dcterms:created>
  <dcterms:modified xsi:type="dcterms:W3CDTF">2025-05-15T12:58:00Z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