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371A" w:rsidRDefault="005B4603">
      <w:pPr>
        <w:pStyle w:val="ab"/>
        <w:ind w:firstLine="850"/>
        <w:jc w:val="center"/>
      </w:pPr>
      <w:r>
        <w:rPr>
          <w:b/>
          <w:color w:val="222222"/>
          <w:szCs w:val="28"/>
        </w:rPr>
        <w:t>Про роботу управління персоналу Луцької міської ради                                        за ІІ квартал 2023 року</w:t>
      </w:r>
    </w:p>
    <w:p w:rsidR="0094371A" w:rsidRDefault="005B4603">
      <w:pPr>
        <w:pStyle w:val="af7"/>
        <w:tabs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персоналу Луцької міської ради здійснює свою діяльність відповідно до Положення про управління персоналу Луцької міської ради, затвердженого рішенням Луцької міської ради </w:t>
      </w:r>
      <w:r>
        <w:rPr>
          <w:rFonts w:ascii="Times New Roman" w:hAnsi="Times New Roman" w:cs="Times New Roman"/>
          <w:color w:val="222222"/>
          <w:sz w:val="28"/>
          <w:szCs w:val="28"/>
        </w:rPr>
        <w:t>від 28.04.2021 №10/70</w:t>
      </w:r>
      <w:r>
        <w:rPr>
          <w:rFonts w:ascii="Times New Roman" w:hAnsi="Times New Roman" w:cs="Times New Roman"/>
          <w:sz w:val="28"/>
          <w:szCs w:val="28"/>
        </w:rPr>
        <w:t xml:space="preserve"> та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забезпечує  кадровий менеджмент у виконавчих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органах міської ради.</w:t>
      </w:r>
    </w:p>
    <w:p w:rsidR="0094371A" w:rsidRDefault="0094371A">
      <w:pPr>
        <w:pStyle w:val="af7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4371A" w:rsidRDefault="005B4603">
      <w:pPr>
        <w:pStyle w:val="af7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1.Кадрова робота.</w:t>
      </w:r>
    </w:p>
    <w:p w:rsidR="0094371A" w:rsidRDefault="005B4603">
      <w:pPr>
        <w:pStyle w:val="af7"/>
        <w:tabs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Формування складу посадових осіб місцевого самоврядування проводилось у відповідності до Закону України “Про службу в органах місцевого самоврядування” та інших нормативних документів, що регулюють порядок призначен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ня на посади посадових осіб місцевого самоврядування.</w:t>
      </w:r>
    </w:p>
    <w:p w:rsidR="0094371A" w:rsidRDefault="0094371A">
      <w:pPr>
        <w:pStyle w:val="af7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692" w:type="dxa"/>
        <w:tblInd w:w="-40" w:type="dxa"/>
        <w:tblLayout w:type="fixed"/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1303"/>
        <w:gridCol w:w="1359"/>
        <w:gridCol w:w="1760"/>
        <w:gridCol w:w="1587"/>
        <w:gridCol w:w="1307"/>
        <w:gridCol w:w="846"/>
      </w:tblGrid>
      <w:tr w:rsidR="0094371A">
        <w:trPr>
          <w:trHeight w:val="582"/>
        </w:trPr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Призначено/прийнято: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*як переможець конкурсу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 переводу з державної установи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*за рекомендацією конкурсної комісії зараховано до кадрового резерву та в подальшому </w:t>
            </w:r>
            <w:proofErr w:type="spellStart"/>
            <w:r>
              <w:rPr>
                <w:sz w:val="22"/>
                <w:szCs w:val="22"/>
              </w:rPr>
              <w:t>працевлаштовано</w:t>
            </w:r>
            <w:proofErr w:type="spellEnd"/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*за загальним </w:t>
            </w:r>
            <w:r>
              <w:rPr>
                <w:sz w:val="22"/>
                <w:szCs w:val="22"/>
              </w:rPr>
              <w:t>трудовим законодавством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widowControl w:val="0"/>
              <w:jc w:val="center"/>
            </w:pPr>
            <w:r>
              <w:rPr>
                <w:sz w:val="22"/>
                <w:szCs w:val="22"/>
              </w:rPr>
              <w:t>*</w:t>
            </w:r>
            <w:r>
              <w:rPr>
                <w:iCs/>
                <w:color w:val="000000"/>
                <w:sz w:val="22"/>
                <w:szCs w:val="22"/>
                <w:highlight w:val="white"/>
                <w:shd w:val="clear" w:color="auto" w:fill="FFFFFF"/>
              </w:rPr>
              <w:t xml:space="preserve">відповідно до вимог статей 9, 10 Закону України </w:t>
            </w:r>
            <w:r>
              <w:rPr>
                <w:rStyle w:val="a5"/>
                <w:b w:val="0"/>
                <w:iCs/>
                <w:color w:val="000000"/>
                <w:sz w:val="22"/>
                <w:szCs w:val="22"/>
                <w:highlight w:val="white"/>
                <w:shd w:val="clear" w:color="auto" w:fill="FFFFFF"/>
              </w:rPr>
              <w:t>“Про правовий режим воєнного стану”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94371A">
            <w:pPr>
              <w:widowControl w:val="0"/>
              <w:jc w:val="center"/>
            </w:pP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26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94371A">
            <w:pPr>
              <w:widowControl w:val="0"/>
              <w:jc w:val="center"/>
            </w:pP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Переведено в межах виконавчих органів міської ради: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*на вищі посади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посади в межах категорії посад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на нижчі </w:t>
            </w:r>
            <w:r>
              <w:rPr>
                <w:sz w:val="20"/>
                <w:szCs w:val="20"/>
              </w:rPr>
              <w:t>посади (за згодою)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widowControl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94371A">
            <w:pPr>
              <w:widowControl w:val="0"/>
              <w:jc w:val="center"/>
            </w:pP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Всього: 18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widowControl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94371A">
            <w:pPr>
              <w:widowControl w:val="0"/>
              <w:jc w:val="center"/>
            </w:pP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Укладено  строкових трудових договорів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*Вперше укладених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*підготовлено додаткових угод до них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widowControl w:val="0"/>
              <w:jc w:val="center"/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widowControl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94371A">
            <w:pPr>
              <w:widowControl w:val="0"/>
              <w:jc w:val="center"/>
            </w:pP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</w:t>
            </w:r>
          </w:p>
          <w:p w:rsidR="0094371A" w:rsidRDefault="0094371A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Звільнено: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угодою сторін</w:t>
            </w:r>
          </w:p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ст.36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власним бажанням</w:t>
            </w:r>
          </w:p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ст.38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за переведенням в іншу </w:t>
            </w:r>
            <w:r>
              <w:rPr>
                <w:sz w:val="20"/>
                <w:szCs w:val="20"/>
              </w:rPr>
              <w:t>установу, організацію</w:t>
            </w:r>
          </w:p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п.5 ст.36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скороченням штату</w:t>
            </w:r>
          </w:p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ст.40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у зв'язку із закінченням строкового трудового договору</w:t>
            </w:r>
          </w:p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 ст.36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*інша підстава</w:t>
            </w: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11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Стажування пройшли: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межах кадрового резерву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 подальшим переведенням на посаду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інше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 47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Встановлено надбавки за вислугу років: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 роки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5 років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*10 років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*15 років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*20 років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25 років і більше</w:t>
            </w: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28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Присвоєно рангів: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14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Укладено контрактів з керівниками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*вперше </w:t>
            </w:r>
            <w:r>
              <w:rPr>
                <w:sz w:val="20"/>
                <w:szCs w:val="20"/>
              </w:rPr>
              <w:t>укладених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*підготовлено додаткових угод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</w:tr>
      <w:tr w:rsidR="0094371A"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3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5B4603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4371A" w:rsidRDefault="0094371A">
            <w:pPr>
              <w:pStyle w:val="af0"/>
              <w:widowControl w:val="0"/>
              <w:jc w:val="center"/>
            </w:pPr>
          </w:p>
        </w:tc>
      </w:tr>
    </w:tbl>
    <w:p w:rsidR="0094371A" w:rsidRDefault="005B460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</w:rPr>
        <w:tab/>
      </w:r>
    </w:p>
    <w:p w:rsidR="0094371A" w:rsidRDefault="005B460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bCs w:val="0"/>
          <w:color w:val="000000"/>
          <w:szCs w:val="28"/>
        </w:rPr>
        <w:tab/>
        <w:t xml:space="preserve">У квітні 2023 року з метою підвищення якості та оперативності роботи департаменту “Центр надання адміністративних послуг у місті Луцьку” підготовлено </w:t>
      </w:r>
      <w:r>
        <w:rPr>
          <w:bCs w:val="0"/>
          <w:color w:val="000000"/>
          <w:szCs w:val="28"/>
        </w:rPr>
        <w:t xml:space="preserve">рішення Луцької міської ради від </w:t>
      </w:r>
      <w:r>
        <w:rPr>
          <w:bCs w:val="0"/>
          <w:color w:val="000000"/>
          <w:szCs w:val="28"/>
        </w:rPr>
        <w:t>26.04.2023 №44/67 “</w:t>
      </w:r>
      <w:r>
        <w:rPr>
          <w:color w:val="000000"/>
          <w:szCs w:val="28"/>
        </w:rPr>
        <w:t>Про внесення змін до рішення міської ради від 28.04.2021 №10/69 “Про затвердження структури виконавчих органів міської ради, загальної чисельності апарату міської ради та її виконавчих органів</w:t>
      </w:r>
      <w:r>
        <w:rPr>
          <w:bCs w:val="0"/>
          <w:color w:val="000000"/>
          <w:szCs w:val="28"/>
        </w:rPr>
        <w:t xml:space="preserve">” де </w:t>
      </w:r>
      <w:proofErr w:type="spellStart"/>
      <w:r>
        <w:rPr>
          <w:bCs w:val="0"/>
          <w:color w:val="000000"/>
          <w:szCs w:val="28"/>
        </w:rPr>
        <w:t>внесено</w:t>
      </w:r>
      <w:proofErr w:type="spellEnd"/>
      <w:r>
        <w:rPr>
          <w:bCs w:val="0"/>
          <w:color w:val="000000"/>
          <w:szCs w:val="28"/>
        </w:rPr>
        <w:t xml:space="preserve"> зміни до структури та штатної </w:t>
      </w:r>
      <w:r>
        <w:rPr>
          <w:bCs w:val="0"/>
          <w:color w:val="000000"/>
          <w:szCs w:val="28"/>
        </w:rPr>
        <w:t xml:space="preserve">чисельності виконавчих органів Луцької міської ради. Відповідно затверджено загальну чисельність </w:t>
      </w:r>
      <w:proofErr w:type="spellStart"/>
      <w:r>
        <w:rPr>
          <w:bCs w:val="0"/>
          <w:color w:val="000000"/>
          <w:szCs w:val="28"/>
        </w:rPr>
        <w:t>апарту</w:t>
      </w:r>
      <w:proofErr w:type="spellEnd"/>
      <w:r>
        <w:rPr>
          <w:bCs w:val="0"/>
          <w:color w:val="000000"/>
          <w:szCs w:val="28"/>
        </w:rPr>
        <w:t xml:space="preserve"> міської ради та її виконавчих органів у кількості 627,5 штатних одиниць.</w:t>
      </w:r>
    </w:p>
    <w:p w:rsidR="0094371A" w:rsidRDefault="005B460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bCs w:val="0"/>
          <w:color w:val="000000"/>
          <w:szCs w:val="28"/>
        </w:rPr>
        <w:tab/>
        <w:t xml:space="preserve">У зв'язку із звільненням з посади старости Прилуцького </w:t>
      </w:r>
      <w:proofErr w:type="spellStart"/>
      <w:r>
        <w:rPr>
          <w:bCs w:val="0"/>
          <w:color w:val="000000"/>
          <w:szCs w:val="28"/>
        </w:rPr>
        <w:t>старостинського</w:t>
      </w:r>
      <w:proofErr w:type="spellEnd"/>
      <w:r>
        <w:rPr>
          <w:bCs w:val="0"/>
          <w:color w:val="000000"/>
          <w:szCs w:val="28"/>
        </w:rPr>
        <w:t xml:space="preserve"> округу </w:t>
      </w:r>
      <w:r>
        <w:rPr>
          <w:bCs w:val="0"/>
          <w:color w:val="000000"/>
          <w:szCs w:val="28"/>
        </w:rPr>
        <w:t xml:space="preserve">підготовлено рішення міської ради від 19.06.2023 №46/1 “Про дострокове припинення повноважень та звільнення з посади старости Прилуцького </w:t>
      </w:r>
      <w:proofErr w:type="spellStart"/>
      <w:r>
        <w:rPr>
          <w:bCs w:val="0"/>
          <w:color w:val="000000"/>
          <w:szCs w:val="28"/>
        </w:rPr>
        <w:t>старостинського</w:t>
      </w:r>
      <w:proofErr w:type="spellEnd"/>
      <w:r>
        <w:rPr>
          <w:bCs w:val="0"/>
          <w:color w:val="000000"/>
          <w:szCs w:val="28"/>
        </w:rPr>
        <w:t xml:space="preserve"> округу </w:t>
      </w:r>
      <w:proofErr w:type="spellStart"/>
      <w:r>
        <w:rPr>
          <w:bCs w:val="0"/>
          <w:color w:val="000000"/>
          <w:szCs w:val="28"/>
        </w:rPr>
        <w:t>Гурського</w:t>
      </w:r>
      <w:proofErr w:type="spellEnd"/>
      <w:r>
        <w:rPr>
          <w:bCs w:val="0"/>
          <w:color w:val="000000"/>
          <w:szCs w:val="28"/>
        </w:rPr>
        <w:t xml:space="preserve"> Олександра” та рішення міської ради від 19.06.2023 №46/2 “Про внесення змін до рішенн</w:t>
      </w:r>
      <w:r>
        <w:rPr>
          <w:bCs w:val="0"/>
          <w:color w:val="000000"/>
          <w:szCs w:val="28"/>
        </w:rPr>
        <w:t>ям від 17.12.2020 №1/14 “Про затвердження персонального складу виконавчого комітету Луцької міської ради”</w:t>
      </w:r>
    </w:p>
    <w:p w:rsidR="0094371A" w:rsidRDefault="005B460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</w:rPr>
        <w:lastRenderedPageBreak/>
        <w:tab/>
      </w:r>
      <w:r>
        <w:rPr>
          <w:szCs w:val="28"/>
        </w:rPr>
        <w:t>Ведеться робота щодо організації адаптації новопризначених працівників Луцької міської ради. Відповідно до Положення про організацію адаптації новопр</w:t>
      </w:r>
      <w:r>
        <w:rPr>
          <w:szCs w:val="28"/>
        </w:rPr>
        <w:t>изначених працівників Луцької міської ради, яке затверджено розпорядженням міського голови від  22.02.2023 №10-ра, упродовж звітного періоду здійснено адаптацію 13 новопризначених працівників департаментів соціальної політики, муніципальної варти, містобуд</w:t>
      </w:r>
      <w:r>
        <w:rPr>
          <w:szCs w:val="28"/>
        </w:rPr>
        <w:t>ування, земельних ресурсів та реклами, “Центр надання адміністративних послуг у місті Луцьку”, юридичному, житлово-комунального господарства, управлінні соціальних служб для сім'ї, дітей та молоді, відділу ведення Державного реєстру виборців.</w:t>
      </w:r>
    </w:p>
    <w:p w:rsidR="0094371A" w:rsidRDefault="005B460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szCs w:val="28"/>
        </w:rPr>
        <w:tab/>
        <w:t xml:space="preserve">Управлінням </w:t>
      </w:r>
      <w:r>
        <w:rPr>
          <w:szCs w:val="28"/>
        </w:rPr>
        <w:t>персоналу здійснюється робота щодо кадрового забезпечення пунктів допомоги відповідно до розпорядження міського голови від 18.04.2022 № 119 “Про організацію роботи пунктів допомоги Збройним силам України, підрозділам територіальної оборони, внутрішньо пере</w:t>
      </w:r>
      <w:r>
        <w:rPr>
          <w:szCs w:val="28"/>
        </w:rPr>
        <w:t>міщеним особам та містам України, які потребують гуманітарної допомоги”, зі змінами.</w:t>
      </w:r>
    </w:p>
    <w:p w:rsidR="0094371A" w:rsidRDefault="005B4603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szCs w:val="28"/>
        </w:rPr>
        <w:tab/>
        <w:t>Продовжується робота щодо актуалізації  посадових інструкцій працівників виконавчих органів міської ради, відповідно до Порядку роботи з посадовими інструкціями посадових</w:t>
      </w:r>
      <w:r>
        <w:rPr>
          <w:szCs w:val="28"/>
        </w:rPr>
        <w:t xml:space="preserve"> осіб місцевого самоврядування (службовців, робітників) виконавчих органів Луцької міської ради, який затверджений розпорядженням міського голови від 11.01.2023 № 2-ра, зокрема: департаменту “Центр надання адміністративних послуг у місті Луцьку”, департаме</w:t>
      </w:r>
      <w:r>
        <w:rPr>
          <w:szCs w:val="28"/>
        </w:rPr>
        <w:t xml:space="preserve">нту молоді та спорту, департаменту муніципальної варти, господарсько-технічного відділу. </w:t>
      </w:r>
    </w:p>
    <w:p w:rsidR="0094371A" w:rsidRDefault="005B4603">
      <w:pPr>
        <w:pStyle w:val="af7"/>
        <w:tabs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Управлінням персоналу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розглянуто 1221 заяву щодо прийому на роботу, переведення, звільнення працівників, надання їм відпусток та матеріальних допомог. Підготовлено 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 розпоряджень міського голови з кадрових питань, з них: </w:t>
      </w:r>
      <w: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 щодо </w:t>
      </w:r>
      <w:r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штатних розписів, положень, посадових інструкцій,  порядку проведення щорічної оцінки, плану роботи з кадрами; 402</w:t>
      </w:r>
      <w:r>
        <w:rPr>
          <w:rFonts w:ascii="Times New Roman" w:hAnsi="Times New Roman"/>
          <w:color w:val="020202"/>
          <w:sz w:val="28"/>
          <w:szCs w:val="28"/>
        </w:rPr>
        <w:t xml:space="preserve"> – про прийняття, переведення, звільнення, атестацію, підвищення кваліфікації, стажування, заохочення (нагородження, преміювання), нарахування матеріальної допомоги,</w:t>
      </w:r>
      <w:r>
        <w:rPr>
          <w:rFonts w:ascii="Times New Roman" w:hAnsi="Times New Roman"/>
          <w:color w:val="020202"/>
          <w:sz w:val="28"/>
          <w:szCs w:val="28"/>
        </w:rPr>
        <w:t xml:space="preserve"> </w:t>
      </w:r>
      <w:r>
        <w:rPr>
          <w:rFonts w:ascii="Times New Roman" w:hAnsi="Times New Roman"/>
          <w:color w:val="020202"/>
          <w:sz w:val="28"/>
          <w:szCs w:val="28"/>
        </w:rPr>
        <w:t>відпустки за власний рахунок; 299 – про щорічні оплачувані відпустки, короткострокові відр</w:t>
      </w:r>
      <w:r>
        <w:rPr>
          <w:rFonts w:ascii="Times New Roman" w:hAnsi="Times New Roman"/>
          <w:color w:val="020202"/>
          <w:sz w:val="28"/>
          <w:szCs w:val="28"/>
        </w:rPr>
        <w:t>ядження в межах України та за кордон.</w:t>
      </w:r>
    </w:p>
    <w:p w:rsidR="0094371A" w:rsidRDefault="005B4603">
      <w:pPr>
        <w:pStyle w:val="af7"/>
        <w:tabs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Підготовлено 8 наказів управління персоналу з основної діяльності та кадрових питань.                                                                                                       </w:t>
      </w:r>
    </w:p>
    <w:p w:rsidR="0094371A" w:rsidRDefault="005B4603">
      <w:pPr>
        <w:pStyle w:val="ab"/>
        <w:tabs>
          <w:tab w:val="left" w:pos="567"/>
        </w:tabs>
        <w:spacing w:after="0" w:line="240" w:lineRule="auto"/>
        <w:jc w:val="both"/>
      </w:pPr>
      <w:r>
        <w:rPr>
          <w:color w:val="000000"/>
          <w:szCs w:val="28"/>
          <w:shd w:val="clear" w:color="auto" w:fill="FFFFFF"/>
        </w:rPr>
        <w:t xml:space="preserve">     </w:t>
      </w:r>
      <w:r>
        <w:rPr>
          <w:color w:val="000000"/>
          <w:szCs w:val="28"/>
          <w:shd w:val="clear" w:color="auto" w:fill="FFFFFF"/>
        </w:rPr>
        <w:tab/>
        <w:t xml:space="preserve">Розглянуто 57 звернень </w:t>
      </w:r>
      <w:r>
        <w:rPr>
          <w:color w:val="000000"/>
          <w:szCs w:val="28"/>
          <w:shd w:val="clear" w:color="auto" w:fill="FFFFFF"/>
        </w:rPr>
        <w:t>громадян, 142 листа вхідної кореспонденції.  Працівниками управління підготовлено 24 вихідних та 196 внутрішніх листів. Окрім того, протягом звітного періоду надано інформацію на 4 публічні запити.</w:t>
      </w:r>
    </w:p>
    <w:p w:rsidR="0094371A" w:rsidRDefault="005B4603">
      <w:pPr>
        <w:pStyle w:val="ab"/>
        <w:tabs>
          <w:tab w:val="left" w:pos="567"/>
        </w:tabs>
        <w:spacing w:after="0" w:line="240" w:lineRule="auto"/>
        <w:jc w:val="both"/>
      </w:pPr>
      <w:r>
        <w:rPr>
          <w:szCs w:val="28"/>
        </w:rPr>
        <w:tab/>
        <w:t>Здійснювалася робота з обліковою системою «Кадри-</w:t>
      </w:r>
      <w:r>
        <w:rPr>
          <w:szCs w:val="28"/>
          <w:lang w:val="en-US"/>
        </w:rPr>
        <w:t>WEB</w:t>
      </w:r>
      <w:r>
        <w:rPr>
          <w:szCs w:val="28"/>
        </w:rPr>
        <w:t>». Дл</w:t>
      </w:r>
      <w:r>
        <w:rPr>
          <w:szCs w:val="28"/>
        </w:rPr>
        <w:t>я всіх працівників виконавчих органів Луцької міської ради створені особові картки в обліковій системі «Картка» та внесені дані до всіх розділів особової картки, метою якої є вдосконалення роботи, що проводиться у сфері обліку, навчання та інформування пос</w:t>
      </w:r>
      <w:r>
        <w:rPr>
          <w:szCs w:val="28"/>
        </w:rPr>
        <w:t xml:space="preserve">адових осіб виконавчих органів міської ради. </w:t>
      </w:r>
    </w:p>
    <w:p w:rsidR="0094371A" w:rsidRDefault="005B4603">
      <w:pPr>
        <w:ind w:firstLine="540"/>
        <w:jc w:val="both"/>
      </w:pPr>
      <w:r>
        <w:rPr>
          <w:szCs w:val="28"/>
        </w:rPr>
        <w:t>Звітного періоду підготовлено та видано 29 — посвідчень-ідентифікаторів працівникам виконавчих органів міської ради. Щомісяця вівся моніторинг автоматизованої системи електронного обліку робочого часу щодо вияв</w:t>
      </w:r>
      <w:r>
        <w:rPr>
          <w:szCs w:val="28"/>
        </w:rPr>
        <w:t xml:space="preserve">лення </w:t>
      </w:r>
      <w:r>
        <w:rPr>
          <w:szCs w:val="28"/>
        </w:rPr>
        <w:lastRenderedPageBreak/>
        <w:t xml:space="preserve">осіб, які вчинили порушення трудової дисципліни та підготовлено службові листи. </w:t>
      </w:r>
    </w:p>
    <w:p w:rsidR="0094371A" w:rsidRDefault="005B4603">
      <w:pPr>
        <w:tabs>
          <w:tab w:val="left" w:pos="567"/>
        </w:tabs>
        <w:ind w:firstLine="539"/>
        <w:jc w:val="both"/>
      </w:pPr>
      <w:r>
        <w:rPr>
          <w:rStyle w:val="a5"/>
          <w:b w:val="0"/>
          <w:color w:val="000000"/>
          <w:szCs w:val="28"/>
          <w:shd w:val="clear" w:color="auto" w:fill="FFFFFF"/>
        </w:rPr>
        <w:t>Готувалися довідки з місця роботи працівників, копії трудових книжок.  Окрім того, надавалися численні консультації та роз'яснення працівникам та керівникам виконавчих о</w:t>
      </w:r>
      <w:r>
        <w:rPr>
          <w:rStyle w:val="a5"/>
          <w:b w:val="0"/>
          <w:color w:val="000000"/>
          <w:szCs w:val="28"/>
          <w:shd w:val="clear" w:color="auto" w:fill="FFFFFF"/>
        </w:rPr>
        <w:t>рганів міської ради, керівникам підприємств,  організацій (установ, закладів), що належать до комунальної власності міської територіальної громади, з кадрових питань, з питань законодавства про працю та проходження служби в органах місцевого самоврядування</w:t>
      </w:r>
      <w:r>
        <w:rPr>
          <w:rStyle w:val="a5"/>
          <w:b w:val="0"/>
          <w:color w:val="000000"/>
          <w:szCs w:val="28"/>
          <w:shd w:val="clear" w:color="auto" w:fill="FFFFFF"/>
        </w:rPr>
        <w:t>.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Підвищення рівня професійної компетентності працівників.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Ведеться постійна робота щодо запровадження системності та безперервності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-освітньому процесі підвищення кваліфікації посадових осіб місцевого самоврядування.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належної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організації підвищення кваліфікації посадових осіб виконавчих органів Луцької міської ради управління персоналу здійснює роботу через Портал управління знаннями Національного агентства питань державної служби. Проводиться роз'яснювальна робота з працівника</w:t>
      </w:r>
      <w:r>
        <w:rPr>
          <w:rFonts w:ascii="Times New Roman" w:hAnsi="Times New Roman" w:cs="Times New Roman"/>
          <w:color w:val="000000"/>
          <w:sz w:val="28"/>
          <w:szCs w:val="28"/>
        </w:rPr>
        <w:t>ми виконавчих органів міської ради щодо реєстрації на вказаному вище Порталі,  загалом зареєстровано 365 працівників.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плану внутрішнього навчання посадових осіб місцевого самоврядування виконавчих органів Луцької міської ради на 2023 рік на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вітний період було заплановано 12 внутрішніх навчань, з яких проведено 10,  Загалом у навчаннях взяло участь 247 працівників виконавчих органів Луцької міської ради. 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планом-графіком підвищення кваліфікації державних службовців, посадових осіб міс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цевого самоврядування на 2023 рік відбулося 18 навчань за програмами постійно діючого та короткотермінового семінарів, у яких взяли участь та отримали свідоцтва про підвищення кваліфікації 106 посадових осіб місцевого самоврядування.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Під час  зовнішніх нав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чань посадові особи місцевого самоврядування Луцької міської ради працювали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програмами: “Інформаційна безпека та цифрова гігієна”, “Протидія торгівлі людьми і домашньому насильству”, </w:t>
      </w:r>
      <w:r>
        <w:rPr>
          <w:rFonts w:ascii="Times New Roman" w:hAnsi="Times New Roman" w:cs="Times New Roman"/>
          <w:color w:val="020202"/>
          <w:sz w:val="28"/>
          <w:szCs w:val="28"/>
          <w:highlight w:val="white"/>
          <w:shd w:val="clear" w:color="auto" w:fill="FFFFFF"/>
        </w:rPr>
        <w:t>“Командна робота і взаємодія”,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“Соціальна підтримка пільгових категор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ій громадян та осіб з інвалідністю”, “Запобігання корупції та забезпечення доброчесності”, “Стратегічне управління та планування”, “Управління конфліктами”, “Практичні аспекти діяльності органів місцевого самоврядування у сфері охорони навколишнього природ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ного середовища”, “Організація роботи із захисту прав дітей у територіальній громаді”, “Згуртованість в громадах в умовах воєнного стану”, “Основи інформаційної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кібербезпеки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публічній службі”, “Сприйняття змін”.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Окрім того, 69 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  <w:shd w:val="clear" w:color="auto" w:fill="FFFFFF"/>
        </w:rPr>
        <w:t xml:space="preserve">працівників виконавчих </w:t>
      </w:r>
      <w:r>
        <w:rPr>
          <w:rFonts w:ascii="Times New Roman" w:hAnsi="Times New Roman" w:cs="Times New Roman"/>
          <w:color w:val="050505"/>
          <w:sz w:val="28"/>
          <w:szCs w:val="28"/>
          <w:highlight w:val="white"/>
          <w:shd w:val="clear" w:color="auto" w:fill="FFFFFF"/>
        </w:rPr>
        <w:t>органів Луцької міської ради пройшли дистанційне навчання за загальною професійною (сертифікатною) програмою підвищення кваліфікації посадових осіб місцевого самоврядування ІV-VІІ категорії посад (не рідше одного разу на три роки).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5 працівників взяли уча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сть в о</w:t>
      </w:r>
      <w:r>
        <w:rPr>
          <w:rFonts w:ascii="Times New Roman" w:hAnsi="Times New Roman" w:cs="Times New Roman"/>
          <w:color w:val="020202"/>
          <w:sz w:val="28"/>
          <w:szCs w:val="28"/>
          <w:highlight w:val="white"/>
          <w:shd w:val="clear" w:color="auto" w:fill="FFFFFF"/>
        </w:rPr>
        <w:t xml:space="preserve">чному навчанні “Мистецтво публічного виступу: вектор успіху управлінця” та 1 працівник у зустрічі з Олегом </w:t>
      </w:r>
      <w:proofErr w:type="spellStart"/>
      <w:r>
        <w:rPr>
          <w:rFonts w:ascii="Times New Roman" w:hAnsi="Times New Roman" w:cs="Times New Roman"/>
          <w:color w:val="020202"/>
          <w:sz w:val="28"/>
          <w:szCs w:val="28"/>
          <w:highlight w:val="white"/>
          <w:shd w:val="clear" w:color="auto" w:fill="FFFFFF"/>
        </w:rPr>
        <w:t>Фасолею</w:t>
      </w:r>
      <w:proofErr w:type="spellEnd"/>
      <w:r>
        <w:rPr>
          <w:rFonts w:ascii="Times New Roman" w:hAnsi="Times New Roman" w:cs="Times New Roman"/>
          <w:color w:val="020202"/>
          <w:sz w:val="28"/>
          <w:szCs w:val="28"/>
          <w:highlight w:val="whit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20202"/>
          <w:sz w:val="28"/>
          <w:szCs w:val="28"/>
          <w:highlight w:val="white"/>
          <w:shd w:val="clear" w:color="auto" w:fill="FFFFFF"/>
        </w:rPr>
        <w:lastRenderedPageBreak/>
        <w:t xml:space="preserve">експертом Шведсько-українського </w:t>
      </w:r>
      <w:proofErr w:type="spellStart"/>
      <w:r>
        <w:rPr>
          <w:rFonts w:ascii="Times New Roman" w:hAnsi="Times New Roman" w:cs="Times New Roman"/>
          <w:color w:val="020202"/>
          <w:sz w:val="28"/>
          <w:szCs w:val="28"/>
          <w:highlight w:val="white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color w:val="020202"/>
          <w:sz w:val="28"/>
          <w:szCs w:val="28"/>
          <w:highlight w:val="white"/>
          <w:shd w:val="clear" w:color="auto" w:fill="FFFFFF"/>
        </w:rPr>
        <w:t xml:space="preserve"> «Підтримка децентралізації в Україні» SKL </w:t>
      </w:r>
      <w:proofErr w:type="spellStart"/>
      <w:r>
        <w:rPr>
          <w:rFonts w:ascii="Times New Roman" w:hAnsi="Times New Roman" w:cs="Times New Roman"/>
          <w:color w:val="020202"/>
          <w:sz w:val="28"/>
          <w:szCs w:val="28"/>
          <w:highlight w:val="white"/>
          <w:shd w:val="clear" w:color="auto" w:fill="FFFFFF"/>
        </w:rPr>
        <w:t>International</w:t>
      </w:r>
      <w:proofErr w:type="spellEnd"/>
      <w:r>
        <w:rPr>
          <w:rFonts w:ascii="Times New Roman" w:hAnsi="Times New Roman" w:cs="Times New Roman"/>
          <w:color w:val="020202"/>
          <w:sz w:val="28"/>
          <w:szCs w:val="28"/>
          <w:highlight w:val="white"/>
          <w:shd w:val="clear" w:color="auto" w:fill="FFFFFF"/>
        </w:rPr>
        <w:t>.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50505"/>
          <w:sz w:val="28"/>
          <w:szCs w:val="28"/>
          <w:highlight w:val="white"/>
          <w:shd w:val="clear" w:color="auto" w:fill="FFFFFF"/>
        </w:rPr>
        <w:t xml:space="preserve">В межах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highlight w:val="white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highlight w:val="white"/>
          <w:shd w:val="clear" w:color="auto" w:fill="FFFFFF"/>
        </w:rPr>
        <w:t xml:space="preserve"> USAID “ГОВЕРЛА”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прац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івники пройшли навчання на теми </w:t>
      </w:r>
      <w:r>
        <w:rPr>
          <w:rFonts w:ascii="Times New Roman" w:hAnsi="Times New Roman" w:cs="Times New Roman"/>
          <w:color w:val="171414"/>
          <w:sz w:val="28"/>
          <w:szCs w:val="28"/>
          <w:highlight w:val="white"/>
          <w:shd w:val="clear" w:color="auto" w:fill="FFFFFF"/>
        </w:rPr>
        <w:t xml:space="preserve">“Робота з конфліктами на рівні громад: </w:t>
      </w:r>
      <w:proofErr w:type="spellStart"/>
      <w:r>
        <w:rPr>
          <w:rFonts w:ascii="Times New Roman" w:hAnsi="Times New Roman" w:cs="Times New Roman"/>
          <w:color w:val="171414"/>
          <w:sz w:val="28"/>
          <w:szCs w:val="28"/>
          <w:highlight w:val="white"/>
          <w:shd w:val="clear" w:color="auto" w:fill="FFFFFF"/>
        </w:rPr>
        <w:t>законодавство,методи</w:t>
      </w:r>
      <w:proofErr w:type="spellEnd"/>
      <w:r>
        <w:rPr>
          <w:rFonts w:ascii="Times New Roman" w:hAnsi="Times New Roman" w:cs="Times New Roman"/>
          <w:color w:val="171414"/>
          <w:sz w:val="28"/>
          <w:szCs w:val="28"/>
          <w:highlight w:val="white"/>
          <w:shd w:val="clear" w:color="auto" w:fill="FFFFFF"/>
        </w:rPr>
        <w:t>, практики. Конфлікт-чутливість та муніципальні послуги”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, “Впроваджуємо ефективний громадський бюджет: від теорії до практики”.</w:t>
      </w:r>
    </w:p>
    <w:p w:rsidR="0094371A" w:rsidRDefault="005B4603">
      <w:pPr>
        <w:jc w:val="both"/>
      </w:pPr>
      <w:r>
        <w:rPr>
          <w:bCs w:val="0"/>
          <w:color w:val="000000"/>
          <w:szCs w:val="28"/>
          <w:highlight w:val="white"/>
          <w:shd w:val="clear" w:color="auto" w:fill="FFFFFF"/>
        </w:rPr>
        <w:tab/>
      </w:r>
      <w:r>
        <w:rPr>
          <w:rStyle w:val="a5"/>
          <w:b w:val="0"/>
          <w:color w:val="020202"/>
          <w:szCs w:val="28"/>
          <w:lang w:eastAsia="ru-RU"/>
        </w:rPr>
        <w:t xml:space="preserve">Упродовж звітного періоду проведено два тренінги з підтримки ментального здоров'я працівників виконавчих органів міської ради, організованих спільно з департаментом молоді та спорту. Тренерам виступили: </w:t>
      </w:r>
      <w:r>
        <w:rPr>
          <w:rStyle w:val="a5"/>
          <w:b w:val="0"/>
          <w:color w:val="171414"/>
          <w:szCs w:val="28"/>
          <w:shd w:val="clear" w:color="auto" w:fill="FFFFFF"/>
          <w:lang w:eastAsia="ru-RU"/>
        </w:rPr>
        <w:t xml:space="preserve">Тетяна </w:t>
      </w:r>
      <w:proofErr w:type="spellStart"/>
      <w:r>
        <w:rPr>
          <w:rStyle w:val="a5"/>
          <w:b w:val="0"/>
          <w:color w:val="171414"/>
          <w:szCs w:val="28"/>
          <w:shd w:val="clear" w:color="auto" w:fill="FFFFFF"/>
          <w:lang w:eastAsia="ru-RU"/>
        </w:rPr>
        <w:t>Гордовська</w:t>
      </w:r>
      <w:proofErr w:type="spellEnd"/>
      <w:r>
        <w:rPr>
          <w:rStyle w:val="a5"/>
          <w:b w:val="0"/>
          <w:color w:val="171414"/>
          <w:szCs w:val="28"/>
          <w:shd w:val="clear" w:color="auto" w:fill="FFFFFF"/>
          <w:lang w:eastAsia="ru-RU"/>
        </w:rPr>
        <w:t>, клінічний психолог, координатор Ве</w:t>
      </w:r>
      <w:r>
        <w:rPr>
          <w:rStyle w:val="a5"/>
          <w:b w:val="0"/>
          <w:color w:val="171414"/>
          <w:szCs w:val="28"/>
          <w:shd w:val="clear" w:color="auto" w:fill="FFFFFF"/>
          <w:lang w:eastAsia="ru-RU"/>
        </w:rPr>
        <w:t xml:space="preserve">теранського простору «Плюс, плюс»; </w:t>
      </w:r>
      <w:r>
        <w:rPr>
          <w:color w:val="171414"/>
          <w:szCs w:val="28"/>
        </w:rPr>
        <w:t xml:space="preserve">Олена </w:t>
      </w:r>
      <w:proofErr w:type="spellStart"/>
      <w:r>
        <w:rPr>
          <w:color w:val="171414"/>
          <w:szCs w:val="28"/>
        </w:rPr>
        <w:t>Солоненко</w:t>
      </w:r>
      <w:proofErr w:type="spellEnd"/>
      <w:r>
        <w:rPr>
          <w:color w:val="171414"/>
          <w:szCs w:val="28"/>
        </w:rPr>
        <w:t xml:space="preserve">, практичний психолог, арт-терапевт, </w:t>
      </w:r>
      <w:proofErr w:type="spellStart"/>
      <w:r>
        <w:rPr>
          <w:color w:val="171414"/>
          <w:szCs w:val="28"/>
        </w:rPr>
        <w:t>гештальт</w:t>
      </w:r>
      <w:proofErr w:type="spellEnd"/>
      <w:r>
        <w:rPr>
          <w:color w:val="171414"/>
          <w:szCs w:val="28"/>
        </w:rPr>
        <w:t xml:space="preserve">-терапевт, аспірант факультету психології Волинського національного університету імені Лесі Українки; Наталія </w:t>
      </w:r>
      <w:proofErr w:type="spellStart"/>
      <w:r>
        <w:rPr>
          <w:color w:val="171414"/>
          <w:szCs w:val="28"/>
        </w:rPr>
        <w:t>Райниш</w:t>
      </w:r>
      <w:proofErr w:type="spellEnd"/>
      <w:r>
        <w:rPr>
          <w:color w:val="171414"/>
          <w:szCs w:val="28"/>
        </w:rPr>
        <w:t xml:space="preserve">, клінічний психолог, </w:t>
      </w:r>
      <w:proofErr w:type="spellStart"/>
      <w:r>
        <w:rPr>
          <w:color w:val="171414"/>
          <w:szCs w:val="28"/>
        </w:rPr>
        <w:t>співзасновниця</w:t>
      </w:r>
      <w:proofErr w:type="spellEnd"/>
      <w:r>
        <w:rPr>
          <w:color w:val="171414"/>
          <w:szCs w:val="28"/>
        </w:rPr>
        <w:t xml:space="preserve"> та голов</w:t>
      </w:r>
      <w:r>
        <w:rPr>
          <w:color w:val="171414"/>
          <w:szCs w:val="28"/>
        </w:rPr>
        <w:t>а громадської організації «</w:t>
      </w:r>
      <w:proofErr w:type="spellStart"/>
      <w:r>
        <w:rPr>
          <w:color w:val="171414"/>
          <w:szCs w:val="28"/>
        </w:rPr>
        <w:t>Елеос</w:t>
      </w:r>
      <w:proofErr w:type="spellEnd"/>
      <w:r>
        <w:rPr>
          <w:color w:val="171414"/>
          <w:szCs w:val="28"/>
        </w:rPr>
        <w:t>-Волинь»; Людмила Мельник практикуючий психолог ТФК Луцького національного технічного університету, сертифікований тренер соціально-психологічних та бізнес тренінгів, експертом у сфері емоційного інтелекту. У</w:t>
      </w:r>
      <w:r>
        <w:rPr>
          <w:rStyle w:val="a5"/>
          <w:b w:val="0"/>
          <w:color w:val="171414"/>
          <w:szCs w:val="28"/>
          <w:shd w:val="clear" w:color="auto" w:fill="FFFFFF"/>
          <w:lang w:eastAsia="ru-RU"/>
        </w:rPr>
        <w:t xml:space="preserve"> навчанні взяли </w:t>
      </w:r>
      <w:r>
        <w:rPr>
          <w:rStyle w:val="a5"/>
          <w:b w:val="0"/>
          <w:color w:val="171414"/>
          <w:szCs w:val="28"/>
          <w:shd w:val="clear" w:color="auto" w:fill="FFFFFF"/>
          <w:lang w:eastAsia="ru-RU"/>
        </w:rPr>
        <w:t>участь 52 особи.</w:t>
      </w:r>
    </w:p>
    <w:p w:rsidR="0094371A" w:rsidRDefault="005B4603">
      <w:pPr>
        <w:ind w:firstLine="709"/>
        <w:jc w:val="both"/>
      </w:pPr>
      <w:r>
        <w:rPr>
          <w:color w:val="000000"/>
          <w:szCs w:val="28"/>
        </w:rPr>
        <w:t xml:space="preserve">Управлінням персоналу організовано та проведено онлайн зустріч із відповідальними особами за ведення діловодства, кадрової роботи та відкритих даних, а також особами уповноваженими на виконання функцій держави або місцевого самоврядування </w:t>
      </w:r>
      <w:r>
        <w:rPr>
          <w:color w:val="000000"/>
          <w:szCs w:val="28"/>
        </w:rPr>
        <w:t xml:space="preserve">підприємств, організацій (установ, закладів), що належать до комунальної власності міської територіальної громади, у межах якої пропрацьовано питання надання відпусток, електронного декларування, організації документообігу та відкритих даних. </w:t>
      </w:r>
      <w:r>
        <w:rPr>
          <w:color w:val="050505"/>
          <w:szCs w:val="28"/>
        </w:rPr>
        <w:t>Спікерами зус</w:t>
      </w:r>
      <w:r>
        <w:rPr>
          <w:color w:val="050505"/>
          <w:szCs w:val="28"/>
        </w:rPr>
        <w:t xml:space="preserve">трічі виступили: Ірина Богдан, заступник начальника управління персоналу, начальник відділу кадрової роботи; Олександр Романюк, начальник відділу з питань запобігання та виявлення корупції управління персоналу; Надія </w:t>
      </w:r>
      <w:proofErr w:type="spellStart"/>
      <w:r>
        <w:rPr>
          <w:color w:val="050505"/>
          <w:szCs w:val="28"/>
        </w:rPr>
        <w:t>Бортнік</w:t>
      </w:r>
      <w:proofErr w:type="spellEnd"/>
      <w:r>
        <w:rPr>
          <w:color w:val="050505"/>
          <w:szCs w:val="28"/>
        </w:rPr>
        <w:t xml:space="preserve">, начальник загального відділу; </w:t>
      </w:r>
      <w:r>
        <w:rPr>
          <w:rStyle w:val="a5"/>
          <w:b w:val="0"/>
          <w:color w:val="050505"/>
          <w:szCs w:val="28"/>
          <w:shd w:val="clear" w:color="auto" w:fill="FFFFFF"/>
          <w:lang w:eastAsia="ru-RU"/>
        </w:rPr>
        <w:t xml:space="preserve">Наталія </w:t>
      </w:r>
      <w:proofErr w:type="spellStart"/>
      <w:r>
        <w:rPr>
          <w:rStyle w:val="a5"/>
          <w:b w:val="0"/>
          <w:color w:val="050505"/>
          <w:szCs w:val="28"/>
          <w:shd w:val="clear" w:color="auto" w:fill="FFFFFF"/>
          <w:lang w:eastAsia="ru-RU"/>
        </w:rPr>
        <w:t>Хмель</w:t>
      </w:r>
      <w:proofErr w:type="spellEnd"/>
      <w:r>
        <w:rPr>
          <w:rStyle w:val="a5"/>
          <w:b w:val="0"/>
          <w:color w:val="050505"/>
          <w:szCs w:val="28"/>
          <w:shd w:val="clear" w:color="auto" w:fill="FFFFFF"/>
          <w:lang w:eastAsia="ru-RU"/>
        </w:rPr>
        <w:t>, заступник начальника управління інформаційно-комунікаційних технологій міської ради, начальник відділу інформаційних технологій.</w:t>
      </w:r>
    </w:p>
    <w:p w:rsidR="0094371A" w:rsidRDefault="005B4603">
      <w:pPr>
        <w:pStyle w:val="af7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 w:bidi="ar-SA"/>
        </w:rPr>
        <w:t>Організовано зустріч керівників виконавчих органів міської ради з п</w:t>
      </w:r>
      <w:r>
        <w:rPr>
          <w:rStyle w:val="a5"/>
          <w:rFonts w:ascii="Times New Roman" w:hAnsi="Times New Roman" w:cs="Times New Roman"/>
          <w:b w:val="0"/>
          <w:bCs w:val="0"/>
          <w:color w:val="050505"/>
          <w:sz w:val="28"/>
          <w:szCs w:val="28"/>
          <w:shd w:val="clear" w:color="auto" w:fill="FFFFFF"/>
          <w:lang w:eastAsia="ru-RU" w:bidi="ar-SA"/>
        </w:rPr>
        <w:t xml:space="preserve">редставниками Національного університету </w:t>
      </w:r>
      <w:r>
        <w:rPr>
          <w:rStyle w:val="a5"/>
          <w:rFonts w:ascii="Times New Roman" w:hAnsi="Times New Roman" w:cs="Times New Roman"/>
          <w:b w:val="0"/>
          <w:bCs w:val="0"/>
          <w:color w:val="050505"/>
          <w:sz w:val="28"/>
          <w:szCs w:val="28"/>
          <w:shd w:val="clear" w:color="auto" w:fill="FFFFFF"/>
          <w:lang w:eastAsia="ru-RU" w:bidi="ar-SA"/>
        </w:rPr>
        <w:t>“Львівська політехніка” щодо можливості вступу для посадових осіб місцевого самоврядування до Інституту адміністрування, державного управління та професійного розвитку.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 w:bidi="ar-SA"/>
        </w:rPr>
        <w:t xml:space="preserve"> </w:t>
      </w:r>
    </w:p>
    <w:p w:rsidR="0094371A" w:rsidRDefault="0094371A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</w:p>
    <w:p w:rsidR="0094371A" w:rsidRDefault="005B4603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Службові відрядження.</w:t>
      </w:r>
    </w:p>
    <w:p w:rsidR="0094371A" w:rsidRDefault="005B4603">
      <w:pPr>
        <w:pStyle w:val="af7"/>
        <w:tabs>
          <w:tab w:val="left" w:pos="63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Усі службові відрядження відбуваються відповідно Закону Укр</w:t>
      </w:r>
      <w:r>
        <w:rPr>
          <w:rFonts w:ascii="Times New Roman" w:hAnsi="Times New Roman" w:cs="Times New Roman"/>
          <w:color w:val="000000"/>
          <w:sz w:val="28"/>
          <w:szCs w:val="28"/>
        </w:rPr>
        <w:t>аїни від 01.07.2022 № 2352-IX “Про внесення змін до деяких законодавчих актів України щодо оптимізації трудових відносин”, Указу Президента України від 23.01.2023 № 27/2023 “Про рішення Ради національної безпеки і оборони України від 23 січня 2023 року “Пр</w:t>
      </w:r>
      <w:r>
        <w:rPr>
          <w:rFonts w:ascii="Times New Roman" w:hAnsi="Times New Roman" w:cs="Times New Roman"/>
          <w:color w:val="000000"/>
          <w:sz w:val="28"/>
          <w:szCs w:val="28"/>
        </w:rPr>
        <w:t>о деякі питання щодо перетину державного кордону України в умовах воєнного стану”, постанови Кабінету Міністрів України від 27.01.1995 № 57 “Про затвердження Правил перетинання державного кордону громадянами України”, зі змінами, Інструкції про службові ві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дрядження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межах України та за кордон, затвердженої наказом Міністерства фінансів України від 13.03.1998 № 59, Регламенту роботи виконавчого комітету та виконавчих органів Луцької міської ради,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затвердженого рішенням виконавчого комітету міської ради від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17.02.2021               116-1, зі змінами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4371A" w:rsidRDefault="005B4603">
      <w:pPr>
        <w:pStyle w:val="af7"/>
        <w:tabs>
          <w:tab w:val="left" w:pos="63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Протягом звітного періоду було підготовлено 45 розпоряджень про направлення працівників виконавчих органів міської ради у відрядження, з них                               31 розпорядження про відрядження в межа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України та 14 - за кордон. Підготовлено 7 листів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>Державній прикордонній службі України щодо дозволу на виїзд за кордон у службові відрядження депутатів Луцької міської ради.</w:t>
      </w:r>
    </w:p>
    <w:p w:rsidR="0094371A" w:rsidRDefault="005B4603">
      <w:pPr>
        <w:tabs>
          <w:tab w:val="left" w:pos="630"/>
        </w:tabs>
        <w:jc w:val="both"/>
      </w:pPr>
      <w:r>
        <w:rPr>
          <w:color w:val="000000"/>
          <w:szCs w:val="28"/>
        </w:rPr>
        <w:tab/>
        <w:t>У межах</w:t>
      </w:r>
      <w:r>
        <w:rPr>
          <w:color w:val="000000"/>
          <w:szCs w:val="28"/>
          <w:shd w:val="clear" w:color="auto" w:fill="FFFFFF"/>
        </w:rPr>
        <w:t xml:space="preserve"> службових </w:t>
      </w:r>
      <w:proofErr w:type="spellStart"/>
      <w:r>
        <w:rPr>
          <w:color w:val="000000"/>
          <w:szCs w:val="28"/>
          <w:shd w:val="clear" w:color="auto" w:fill="FFFFFF"/>
        </w:rPr>
        <w:t>відряджень</w:t>
      </w:r>
      <w:proofErr w:type="spellEnd"/>
      <w:r>
        <w:rPr>
          <w:color w:val="000000"/>
          <w:szCs w:val="28"/>
          <w:shd w:val="clear" w:color="auto" w:fill="FFFFFF"/>
        </w:rPr>
        <w:t xml:space="preserve"> працівники виконавчих органів Луцької міської ради взяли участь у </w:t>
      </w:r>
      <w:r>
        <w:rPr>
          <w:color w:val="050505"/>
          <w:szCs w:val="28"/>
          <w:shd w:val="clear" w:color="auto" w:fill="FFFFFF"/>
        </w:rPr>
        <w:t>Міжнародній конференції щодо Плану дій Ради Європи для України «Стійкість, відновлення та реконструкція» 2023-2026 рр., яка проходила у Варшаві (Республіка Польща); Заг</w:t>
      </w:r>
      <w:r>
        <w:rPr>
          <w:color w:val="050505"/>
          <w:szCs w:val="28"/>
          <w:shd w:val="clear" w:color="auto" w:fill="FFFFFF"/>
        </w:rPr>
        <w:t xml:space="preserve">альних зборах Асоціації «Енергоефективні міста України», конференціях: «Угода мерів в Україні: Плануємо стале відновлення разом», «Демократія участі – невід’ємний елемент доброго демократичного врядування» у межах реалізації </w:t>
      </w:r>
      <w:proofErr w:type="spellStart"/>
      <w:r>
        <w:rPr>
          <w:color w:val="050505"/>
          <w:szCs w:val="28"/>
          <w:shd w:val="clear" w:color="auto" w:fill="FFFFFF"/>
        </w:rPr>
        <w:t>проєкту</w:t>
      </w:r>
      <w:proofErr w:type="spellEnd"/>
      <w:r>
        <w:rPr>
          <w:color w:val="050505"/>
          <w:szCs w:val="28"/>
          <w:shd w:val="clear" w:color="auto" w:fill="FFFFFF"/>
        </w:rPr>
        <w:t xml:space="preserve"> Ради Європи «Зміцнення </w:t>
      </w:r>
      <w:r>
        <w:rPr>
          <w:color w:val="050505"/>
          <w:szCs w:val="28"/>
          <w:shd w:val="clear" w:color="auto" w:fill="FFFFFF"/>
        </w:rPr>
        <w:t>стійкості демократичних процесів через громадську участь під час війни та післявоєнний період»; Міжнародному форумі «</w:t>
      </w:r>
      <w:proofErr w:type="spellStart"/>
      <w:r>
        <w:rPr>
          <w:color w:val="050505"/>
          <w:szCs w:val="28"/>
          <w:shd w:val="clear" w:color="auto" w:fill="FFFFFF"/>
        </w:rPr>
        <w:t>Smart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Building</w:t>
      </w:r>
      <w:proofErr w:type="spellEnd"/>
      <w:r>
        <w:rPr>
          <w:color w:val="050505"/>
          <w:szCs w:val="28"/>
          <w:shd w:val="clear" w:color="auto" w:fill="FFFFFF"/>
        </w:rPr>
        <w:t xml:space="preserve">»; форумі “Публічне управління та інновації”; семінарі «Стратегія – ключ до інклюзивного розвитку громади» </w:t>
      </w:r>
      <w:proofErr w:type="spellStart"/>
      <w:r>
        <w:rPr>
          <w:color w:val="050505"/>
          <w:szCs w:val="28"/>
          <w:shd w:val="clear" w:color="auto" w:fill="FFFFFF"/>
        </w:rPr>
        <w:t>проєкту</w:t>
      </w:r>
      <w:proofErr w:type="spellEnd"/>
      <w:r>
        <w:rPr>
          <w:color w:val="050505"/>
          <w:szCs w:val="28"/>
          <w:shd w:val="clear" w:color="auto" w:fill="FFFFFF"/>
        </w:rPr>
        <w:t xml:space="preserve"> Ради Європ</w:t>
      </w:r>
      <w:r>
        <w:rPr>
          <w:color w:val="050505"/>
          <w:szCs w:val="28"/>
          <w:shd w:val="clear" w:color="auto" w:fill="FFFFFF"/>
        </w:rPr>
        <w:t xml:space="preserve">и «Зміцнення стійкості демократичних процесів через громадську участь під час війни та в післявоєнний період», які відбулися у м. Львові; форумі зі зміни соціальних норм для запобігання домашньому насильству; форумі «Продовольча безпека України: переробка </w:t>
      </w:r>
      <w:r>
        <w:rPr>
          <w:color w:val="050505"/>
          <w:szCs w:val="28"/>
          <w:shd w:val="clear" w:color="auto" w:fill="FFFFFF"/>
        </w:rPr>
        <w:t xml:space="preserve">та зберігання урожаю»;  координаційній зустрічі Уряду України та очільників міст та громад – учасниць </w:t>
      </w:r>
      <w:proofErr w:type="spellStart"/>
      <w:r>
        <w:rPr>
          <w:color w:val="050505"/>
          <w:szCs w:val="28"/>
          <w:shd w:val="clear" w:color="auto" w:fill="FFFFFF"/>
        </w:rPr>
        <w:t>проєкту</w:t>
      </w:r>
      <w:proofErr w:type="spellEnd"/>
      <w:r>
        <w:rPr>
          <w:color w:val="050505"/>
          <w:szCs w:val="28"/>
          <w:shd w:val="clear" w:color="auto" w:fill="FFFFFF"/>
        </w:rPr>
        <w:t xml:space="preserve"> Фонду народонаселення ООН «Міста і громади, вільні від домашнього насильства»; засіданні Комісії </w:t>
      </w:r>
      <w:proofErr w:type="spellStart"/>
      <w:r>
        <w:rPr>
          <w:color w:val="050505"/>
          <w:szCs w:val="28"/>
          <w:shd w:val="clear" w:color="auto" w:fill="FFFFFF"/>
        </w:rPr>
        <w:t>Мінінфраструктури</w:t>
      </w:r>
      <w:proofErr w:type="spellEnd"/>
      <w:r>
        <w:rPr>
          <w:color w:val="050505"/>
          <w:szCs w:val="28"/>
          <w:shd w:val="clear" w:color="auto" w:fill="FFFFFF"/>
        </w:rPr>
        <w:t xml:space="preserve"> з розгляду схем теплопостачання</w:t>
      </w:r>
      <w:r>
        <w:rPr>
          <w:color w:val="050505"/>
          <w:szCs w:val="28"/>
          <w:shd w:val="clear" w:color="auto" w:fill="FFFFFF"/>
        </w:rPr>
        <w:t xml:space="preserve"> населених пунктів з кількістю жителів більш як 20 тисяч осіб та/або регіональних програм модернізації систем теплопостачання,  які відбулися у   м. Києві. 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>Окрім того, працівниками виконавчих органів міської ради вивчено закордонний досвід щодо покращення</w:t>
      </w:r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 екологічної ситуації в місті та сфери громадського транспорту, розбудови велосипедної інфраструктури та підвищення якості життя жителів Луцької міської територіальної громади; отримано знання щодо реагування на кібератаку типу </w:t>
      </w:r>
      <w:proofErr w:type="spellStart"/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>Ransomware</w:t>
      </w:r>
      <w:proofErr w:type="spellEnd"/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 для міст України </w:t>
      </w:r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«CIREX. CYBER. </w:t>
      </w:r>
      <w:proofErr w:type="spellStart"/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>Ransomware</w:t>
      </w:r>
      <w:proofErr w:type="spellEnd"/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», надання якісних адміністративних послуг в умовах кризового реагування та відновлення. </w:t>
      </w:r>
    </w:p>
    <w:p w:rsidR="0094371A" w:rsidRDefault="005B4603">
      <w:pPr>
        <w:tabs>
          <w:tab w:val="left" w:pos="630"/>
        </w:tabs>
        <w:ind w:firstLine="709"/>
        <w:jc w:val="both"/>
      </w:pPr>
      <w:r>
        <w:rPr>
          <w:color w:val="050505"/>
          <w:szCs w:val="28"/>
          <w:shd w:val="clear" w:color="auto" w:fill="FFFFFF"/>
        </w:rPr>
        <w:t>Працівники управління соціальних служб для сім'ї, дітей та молоді за результатами службового відрядження отримали автомобіль від Фонду народо</w:t>
      </w:r>
      <w:r>
        <w:rPr>
          <w:color w:val="050505"/>
          <w:szCs w:val="28"/>
          <w:shd w:val="clear" w:color="auto" w:fill="FFFFFF"/>
        </w:rPr>
        <w:t>населення ООН за фінансової підтримки уряду Данії у координації з Офісом Віце прем’єрки з питань європейської та євроатлантичної інтеграції та Міністерством соціальної політики України для перевезення дітей з інвалідністю.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>В межах візиту до м. Перемишль (Р</w:t>
      </w:r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еспубліка Польща) на конференцію «Добре мати сусіда» отримано відзнаки за реалізацію </w:t>
      </w:r>
      <w:proofErr w:type="spellStart"/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 «Нове життя старого міста: </w:t>
      </w:r>
      <w:proofErr w:type="spellStart"/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>ревіталізація</w:t>
      </w:r>
      <w:proofErr w:type="spellEnd"/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 пам’яток історико-культурної спадщини Луцька та Любліна». 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Упродовж звітного періоду п</w:t>
      </w:r>
      <w:r>
        <w:rPr>
          <w:rFonts w:ascii="Times New Roman" w:hAnsi="Times New Roman" w:cs="Times New Roman"/>
          <w:color w:val="000000"/>
          <w:sz w:val="28"/>
          <w:szCs w:val="28"/>
        </w:rPr>
        <w:t>рацівники виконавчих органів міської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ради брали участь у судових засіданнях, навчальних програмах, обміні досвідом у сфері соціального захисту населення, діловодства тощо.</w:t>
      </w:r>
    </w:p>
    <w:p w:rsidR="0094371A" w:rsidRDefault="0094371A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371A" w:rsidRDefault="005B4603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4. Організація  роботи з молоддю, що навчається або закінчує вищі навчальні заклади, для проходження стажування та виро</w:t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бничої практики у виконавчих органах міської ради.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Відповідно до укладених договорів про проведення практики студентів на 2022-2023 навчальний рік проведено практику для 36 студентів Волинського національного університету імені Лесі Українки, Національного</w:t>
      </w:r>
      <w:r>
        <w:rPr>
          <w:rFonts w:ascii="Times New Roman" w:hAnsi="Times New Roman" w:cs="Times New Roman"/>
          <w:sz w:val="28"/>
          <w:szCs w:val="28"/>
        </w:rPr>
        <w:t xml:space="preserve"> університету  “Острозька академія”, Приватного вищого навчального закладу “ “Академія рекреаційних технологій і права”, Державного податкового університету,  Луцького національного технічного університету. Практика відбувалася у юридичному департаменті, д</w:t>
      </w:r>
      <w:r>
        <w:rPr>
          <w:rFonts w:ascii="Times New Roman" w:hAnsi="Times New Roman" w:cs="Times New Roman"/>
          <w:sz w:val="28"/>
          <w:szCs w:val="28"/>
        </w:rPr>
        <w:t>епартаменті “Центр надання адміністративних у місті Луцьку”, департаменті житлово-комунального господарства,  департаменті містобудування, земельних ресурсів та реклами, управління інформаційної роботи, управлінні соціальних служб для сім'ї дітей та молоді</w:t>
      </w:r>
      <w:r>
        <w:rPr>
          <w:rFonts w:ascii="Times New Roman" w:hAnsi="Times New Roman" w:cs="Times New Roman"/>
          <w:sz w:val="28"/>
          <w:szCs w:val="28"/>
        </w:rPr>
        <w:t xml:space="preserve">, відділі екології, управлінні капітального будівництва,  управлінні інформаційно-комунікаційних технологій, архівному відділі міської ради. 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Загалом під час практики студенти ознайомилися із засадами управлінської діяльності, опрацьовували нормативно-прав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ові акти, положення про виконавчі органи та посадові інструкції посадових осіб, Регламентом роботи виконавчого комітету та виконавчих органів Луцької міської ради тощо. 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результатами проходження практики формується база даних студентів, які  продемонстр</w:t>
      </w:r>
      <w:r>
        <w:rPr>
          <w:rFonts w:ascii="Times New Roman" w:hAnsi="Times New Roman" w:cs="Times New Roman"/>
          <w:color w:val="000000"/>
          <w:sz w:val="28"/>
          <w:szCs w:val="28"/>
        </w:rPr>
        <w:t>ували високий рівень знань та умінь.</w:t>
      </w:r>
    </w:p>
    <w:p w:rsidR="0094371A" w:rsidRDefault="0094371A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371A" w:rsidRDefault="005B4603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 xml:space="preserve"> 5. Підготовка матеріалів та надання пропозицій міському голові щодо заохочення та нагородження працівників.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рішення Луцької міської ради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від 22.12.2021 № 24/119 “Про затвердження Програми розвитку </w:t>
      </w:r>
      <w:r>
        <w:rPr>
          <w:rFonts w:ascii="Times New Roman" w:hAnsi="Times New Roman" w:cs="Times New Roman"/>
          <w:sz w:val="28"/>
          <w:szCs w:val="28"/>
          <w:lang w:bidi="ar-SA"/>
        </w:rPr>
        <w:t>культури Луцької міської територіальної громади на 2022-2025 роки”</w:t>
      </w:r>
      <w:r>
        <w:rPr>
          <w:rFonts w:ascii="Times New Roman" w:hAnsi="Times New Roman" w:cs="Times New Roman"/>
          <w:sz w:val="28"/>
          <w:szCs w:val="28"/>
        </w:rPr>
        <w:t xml:space="preserve"> та Положення про відзнаки міського голови, затвердженого  розпорядженням  міського  голови  від  01.06.2021 №111-ра, </w:t>
      </w:r>
      <w:r>
        <w:rPr>
          <w:rFonts w:ascii="Times New Roman" w:hAnsi="Times New Roman" w:cs="Times New Roman"/>
          <w:color w:val="000000"/>
          <w:sz w:val="28"/>
          <w:szCs w:val="28"/>
        </w:rPr>
        <w:t>за бездоганну працю, високі трудові досягнення, професійну майстерність,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успіхи в реалізації програм економічного та соціального розвитку Луцької міської територіальної громади, активну благодійну, громадську та політичну діяльність, роботу з виховання підростаючого покоління, значний внесок у розвиток культури, мистецтва, нау</w:t>
      </w:r>
      <w:r>
        <w:rPr>
          <w:rFonts w:ascii="Times New Roman" w:hAnsi="Times New Roman" w:cs="Times New Roman"/>
          <w:color w:val="000000"/>
          <w:sz w:val="28"/>
          <w:szCs w:val="28"/>
        </w:rPr>
        <w:t>ки, освіти, спорту та охорони здоров’я, місцевого самоврядування,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міжнародного співробітництва, за мужність і відвагу, виявлені при порятунку людей та матеріальних цінностей, забезпечення законності, прав і свобод громадян, розвиток Луцької міської територ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іальної громади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протягом звітного періоду управлінням підготовлено 121 нагородний матеріал, для відзначення осіб та колективів підприємств і організацій громади різних форм власності. 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саме: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 Подяк міського голови особам та колективам;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Вітальний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адрес.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Окрім того, відповідно до Положення про відзнаки міського голови за природоохоронну діяльність, затвердженого розпорядженням міського голови від 24.04.2013 № 193, управління персоналу спільно з  відділом екології здійснили підготовку відзначення з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агоди Всесвітнього дня навколишнього середовища, підготовлено 28 відзнак.</w:t>
      </w:r>
    </w:p>
    <w:p w:rsidR="0094371A" w:rsidRDefault="005B4603">
      <w:pPr>
        <w:ind w:firstLine="540"/>
        <w:jc w:val="both"/>
      </w:pPr>
      <w:r>
        <w:rPr>
          <w:color w:val="000000"/>
          <w:szCs w:val="28"/>
          <w:highlight w:val="white"/>
        </w:rPr>
        <w:t>Інформація про вручені відзнаки з нагоди ювілейних, пам’ятних, професійних та інших дат висвітлюється на офіційному сайті Луцької міської ради в рубриці «Шана і вдячність мешканцям Л</w:t>
      </w:r>
      <w:r>
        <w:rPr>
          <w:color w:val="000000"/>
          <w:szCs w:val="28"/>
          <w:highlight w:val="white"/>
        </w:rPr>
        <w:t>уцької міської територіальної громади».</w:t>
      </w:r>
    </w:p>
    <w:p w:rsidR="0094371A" w:rsidRDefault="0094371A">
      <w:pPr>
        <w:ind w:firstLine="540"/>
        <w:jc w:val="both"/>
        <w:rPr>
          <w:color w:val="000000"/>
          <w:szCs w:val="28"/>
          <w:shd w:val="clear" w:color="auto" w:fill="FFFFFF"/>
        </w:rPr>
      </w:pPr>
    </w:p>
    <w:p w:rsidR="0094371A" w:rsidRDefault="005B4603">
      <w:pPr>
        <w:tabs>
          <w:tab w:val="left" w:pos="630"/>
          <w:tab w:val="left" w:pos="8850"/>
        </w:tabs>
        <w:ind w:right="-170"/>
        <w:jc w:val="both"/>
      </w:pPr>
      <w:r>
        <w:rPr>
          <w:b/>
          <w:color w:val="000000"/>
          <w:szCs w:val="28"/>
          <w:shd w:val="clear" w:color="auto" w:fill="FFFFFF"/>
        </w:rPr>
        <w:tab/>
        <w:t>6. Робота з питань запобігання та виявлення корупції</w:t>
      </w:r>
    </w:p>
    <w:p w:rsidR="0094371A" w:rsidRDefault="005B4603">
      <w:pPr>
        <w:ind w:firstLine="737"/>
        <w:jc w:val="both"/>
      </w:pPr>
      <w:r>
        <w:rPr>
          <w:bCs w:val="0"/>
          <w:color w:val="000000"/>
          <w:szCs w:val="28"/>
        </w:rPr>
        <w:t xml:space="preserve">Працівником відділу з питань запобігання та виявлення корупції </w:t>
      </w:r>
      <w:r>
        <w:rPr>
          <w:bCs w:val="0"/>
          <w:szCs w:val="28"/>
        </w:rPr>
        <w:t>управління персоналу</w:t>
      </w:r>
      <w:r>
        <w:rPr>
          <w:bCs w:val="0"/>
          <w:color w:val="000000"/>
          <w:szCs w:val="28"/>
        </w:rPr>
        <w:t xml:space="preserve"> Луцької міської ради </w:t>
      </w:r>
      <w:r>
        <w:rPr>
          <w:bCs w:val="0"/>
          <w:szCs w:val="28"/>
        </w:rPr>
        <w:t>надавались</w:t>
      </w:r>
      <w:r>
        <w:rPr>
          <w:bCs w:val="0"/>
          <w:color w:val="000000"/>
          <w:szCs w:val="28"/>
        </w:rPr>
        <w:t xml:space="preserve"> усні та письмові консультації щодо застосування антикорупційного законодавства </w:t>
      </w:r>
      <w:bookmarkStart w:id="0" w:name="__DdeLink__3230_1907269227"/>
      <w:r>
        <w:rPr>
          <w:bCs w:val="0"/>
          <w:color w:val="000000"/>
          <w:szCs w:val="28"/>
        </w:rPr>
        <w:t>працівникам виконавчих органів міської ради, депутатам міської ради, посадовим особам підприємств, організацій (установ, закладів), що належать до комунальної власності міської</w:t>
      </w:r>
      <w:r>
        <w:rPr>
          <w:bCs w:val="0"/>
          <w:color w:val="000000"/>
          <w:szCs w:val="28"/>
        </w:rPr>
        <w:t xml:space="preserve"> територіальної громади</w:t>
      </w:r>
      <w:bookmarkEnd w:id="0"/>
      <w:r>
        <w:rPr>
          <w:bCs w:val="0"/>
          <w:color w:val="000000"/>
          <w:szCs w:val="28"/>
        </w:rPr>
        <w:t>.</w:t>
      </w:r>
    </w:p>
    <w:p w:rsidR="0094371A" w:rsidRDefault="005B4603">
      <w:pPr>
        <w:pStyle w:val="af7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Вживались заходи щодо виявлення конфлікту інтересів та сприяння його усуненню, здійснювався контроль за дотриманням вимог законодавства щодо врегулювання конфлікту інтересів.</w:t>
      </w:r>
    </w:p>
    <w:p w:rsidR="0094371A" w:rsidRDefault="005B4603">
      <w:pPr>
        <w:pStyle w:val="af7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У зв'язку з введенням воєнного стану та відповідно до  З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акону України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від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03.03.2022 № 2115-ІХ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“Про захист інтересів суб’єктів подання звітності та інших документів у період дії воєнного стану або стану війни”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працівникам виконавчих органів міської ради, депутатам міської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посадовим особам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підприємств, ор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ганізацій (установ, закладів), що належать до комунальної власності міської територіальної громади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надано роз'яснення щодо подання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декларації особи, уповноваженої на виконання функцій держави або місцевого самоврядування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4371A" w:rsidRDefault="0094371A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371A" w:rsidRDefault="005B4603">
      <w:pPr>
        <w:pStyle w:val="af7"/>
        <w:ind w:firstLine="709"/>
        <w:jc w:val="both"/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7. Робота організаційно-технічног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о та документального забезпечення </w:t>
      </w:r>
      <w:proofErr w:type="spellStart"/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старостинських</w:t>
      </w:r>
      <w:proofErr w:type="spellEnd"/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округів  та </w:t>
      </w:r>
      <w:proofErr w:type="spellStart"/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погосподарського</w:t>
      </w:r>
      <w:proofErr w:type="spellEnd"/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обліку  за І півріччя 2023 року.</w:t>
      </w:r>
    </w:p>
    <w:p w:rsidR="0094371A" w:rsidRDefault="005B4603">
      <w:pPr>
        <w:ind w:firstLine="574"/>
        <w:jc w:val="both"/>
      </w:pPr>
      <w:r>
        <w:rPr>
          <w:rStyle w:val="a8"/>
          <w:rFonts w:ascii="Times New Roman" w:hAnsi="Times New Roman" w:cs="Times New Roman"/>
          <w:b w:val="0"/>
          <w:i w:val="0"/>
          <w:iCs w:val="0"/>
          <w:szCs w:val="28"/>
        </w:rPr>
        <w:t xml:space="preserve">Відділом документального забезпечення управління персоналу </w:t>
      </w:r>
      <w:r>
        <w:rPr>
          <w:rStyle w:val="a8"/>
          <w:rFonts w:cs="Times New Roman"/>
          <w:b w:val="0"/>
          <w:i w:val="0"/>
          <w:iCs w:val="0"/>
          <w:szCs w:val="28"/>
        </w:rPr>
        <w:t>з</w:t>
      </w:r>
      <w:r>
        <w:rPr>
          <w:szCs w:val="28"/>
        </w:rPr>
        <w:t xml:space="preserve">абезпечується додержання єдиного порядку документування, відбору, обліку,  використання, зберігання документації, роботи з документами, що створюються під час діяльності </w:t>
      </w:r>
      <w:proofErr w:type="spellStart"/>
      <w:r>
        <w:rPr>
          <w:szCs w:val="28"/>
        </w:rPr>
        <w:t>старост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округів. </w:t>
      </w:r>
    </w:p>
    <w:p w:rsidR="0094371A" w:rsidRDefault="005B4603">
      <w:pPr>
        <w:tabs>
          <w:tab w:val="left" w:pos="540"/>
        </w:tabs>
        <w:ind w:firstLine="574"/>
        <w:jc w:val="both"/>
      </w:pPr>
      <w:r>
        <w:rPr>
          <w:bCs w:val="0"/>
          <w:szCs w:val="28"/>
        </w:rPr>
        <w:t xml:space="preserve">Упродовж звітного  періоду до старостатів звернулось </w:t>
      </w:r>
      <w:r>
        <w:rPr>
          <w:bCs w:val="0"/>
          <w:szCs w:val="28"/>
        </w:rPr>
        <w:t xml:space="preserve">833 громадян, з них 468 на особисті прийоми </w:t>
      </w:r>
      <w:proofErr w:type="spellStart"/>
      <w:r>
        <w:rPr>
          <w:bCs w:val="0"/>
          <w:szCs w:val="28"/>
        </w:rPr>
        <w:t>старост</w:t>
      </w:r>
      <w:proofErr w:type="spellEnd"/>
      <w:r>
        <w:rPr>
          <w:bCs w:val="0"/>
          <w:szCs w:val="28"/>
        </w:rPr>
        <w:t>. Усі звернення громадян розглянуто та за результатами проведеної роботи видано 293 довідки, проведено 424 акти різного виду, вчинено 94 нотаріальних та прирівняних до них дій, опрацьовано  1271 документ з</w:t>
      </w:r>
      <w:r>
        <w:rPr>
          <w:bCs w:val="0"/>
          <w:szCs w:val="28"/>
        </w:rPr>
        <w:t xml:space="preserve"> основної діяльності, 5 адвокатських запитів та 13 листів від органів нотаріату.</w:t>
      </w:r>
    </w:p>
    <w:p w:rsidR="0094371A" w:rsidRDefault="005B4603">
      <w:pPr>
        <w:pStyle w:val="af6"/>
        <w:tabs>
          <w:tab w:val="left" w:pos="337"/>
          <w:tab w:val="left" w:pos="1139"/>
        </w:tabs>
        <w:ind w:left="0" w:right="113" w:firstLine="0"/>
        <w:jc w:val="both"/>
      </w:pPr>
      <w:r>
        <w:t xml:space="preserve"> </w:t>
      </w:r>
      <w:r>
        <w:tab/>
        <w:t xml:space="preserve"> </w:t>
      </w:r>
      <w:r>
        <w:rPr>
          <w:szCs w:val="28"/>
        </w:rPr>
        <w:t>Працівниками відділу проводилась підготовка інформації щодо статистичної звітності; надавалась інформація до департаменту містобудування  земельних ресурсів та реклами щодо</w:t>
      </w:r>
      <w:r>
        <w:rPr>
          <w:szCs w:val="28"/>
        </w:rPr>
        <w:t xml:space="preserve"> присвоєнь поштових адрес; надавалась </w:t>
      </w:r>
      <w:r>
        <w:rPr>
          <w:szCs w:val="28"/>
        </w:rPr>
        <w:t>допомога Луцькому об'єднаному міському військовому комісаріату в організації оповіщення військовозобов’язаних (</w:t>
      </w:r>
      <w:r>
        <w:rPr>
          <w:szCs w:val="28"/>
        </w:rPr>
        <w:t>за потреби); проводилась роз'яснювальна робота із жителями щодо порядку реєстрації в Державному аграрному р</w:t>
      </w:r>
      <w:r>
        <w:rPr>
          <w:szCs w:val="28"/>
        </w:rPr>
        <w:t>еєстрі допомагали із реєстрацією; проводилась роз'яснювальна роботу та збір документів з подальшою реєстрацією власниками тварин для отримання дотацій на вирощування молодняку великої рогатої худоби та власниками особистих селянських господарств, які утрим</w:t>
      </w:r>
      <w:r>
        <w:rPr>
          <w:szCs w:val="28"/>
        </w:rPr>
        <w:t xml:space="preserve">ують корів. Вели відповідні реєстри.  </w:t>
      </w:r>
    </w:p>
    <w:p w:rsidR="0094371A" w:rsidRDefault="005B4603">
      <w:pPr>
        <w:jc w:val="both"/>
      </w:pPr>
      <w:r>
        <w:rPr>
          <w:szCs w:val="28"/>
        </w:rPr>
        <w:tab/>
        <w:t xml:space="preserve">За дорученням департаменту фінансів, бюджету та аудиту Луцької міської ради забезпечується інформування жителів громади щодо розміру та сплати податку на нерухоме майно (з врученням за місцем проживання), податку на </w:t>
      </w:r>
      <w:r>
        <w:rPr>
          <w:szCs w:val="28"/>
        </w:rPr>
        <w:t>землю та орендної плати (шляхом вручення  жителям виписаних повідомлень про сплату).</w:t>
      </w:r>
    </w:p>
    <w:p w:rsidR="0094371A" w:rsidRDefault="005B4603">
      <w:pPr>
        <w:jc w:val="both"/>
      </w:pPr>
      <w:r>
        <w:rPr>
          <w:szCs w:val="28"/>
        </w:rPr>
        <w:tab/>
        <w:t>Окрім того, працівниками було забезпечено роботу щодо ведення книги телефонограм. Їх зміст, а також інша актуальна інформація, доводилась до місцевих жителів через офіцій</w:t>
      </w:r>
      <w:r>
        <w:rPr>
          <w:szCs w:val="28"/>
        </w:rPr>
        <w:t xml:space="preserve">ні сторінки у </w:t>
      </w:r>
      <w:proofErr w:type="spellStart"/>
      <w:r>
        <w:rPr>
          <w:szCs w:val="28"/>
        </w:rPr>
        <w:t>фейсбуці</w:t>
      </w:r>
      <w:proofErr w:type="spellEnd"/>
      <w:r>
        <w:rPr>
          <w:szCs w:val="28"/>
        </w:rPr>
        <w:t xml:space="preserve">, через </w:t>
      </w:r>
      <w:proofErr w:type="spellStart"/>
      <w:r>
        <w:rPr>
          <w:szCs w:val="28"/>
        </w:rPr>
        <w:t>вайбер</w:t>
      </w:r>
      <w:proofErr w:type="spellEnd"/>
      <w:r>
        <w:rPr>
          <w:szCs w:val="28"/>
        </w:rPr>
        <w:t xml:space="preserve"> групи,  на сторінці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округів та на інформаційних стендах (дошках оголошень).</w:t>
      </w:r>
    </w:p>
    <w:p w:rsidR="0094371A" w:rsidRDefault="005B4603">
      <w:pPr>
        <w:widowControl w:val="0"/>
        <w:ind w:firstLine="567"/>
        <w:jc w:val="both"/>
      </w:pPr>
      <w:r>
        <w:rPr>
          <w:rStyle w:val="a5"/>
          <w:b w:val="0"/>
          <w:color w:val="000000"/>
          <w:szCs w:val="28"/>
        </w:rPr>
        <w:t xml:space="preserve">На виконання рішення виконавчого комітету Луцької міської ради від 17.11.2021 №931-1 “Про </w:t>
      </w:r>
      <w:proofErr w:type="spellStart"/>
      <w:r>
        <w:rPr>
          <w:rStyle w:val="a5"/>
          <w:b w:val="0"/>
          <w:color w:val="000000"/>
          <w:szCs w:val="28"/>
        </w:rPr>
        <w:t>погосподарський</w:t>
      </w:r>
      <w:proofErr w:type="spellEnd"/>
      <w:r>
        <w:rPr>
          <w:rStyle w:val="a5"/>
          <w:b w:val="0"/>
          <w:color w:val="000000"/>
          <w:szCs w:val="28"/>
        </w:rPr>
        <w:t xml:space="preserve"> облік” працівниками ві</w:t>
      </w:r>
      <w:r>
        <w:rPr>
          <w:rStyle w:val="a5"/>
          <w:b w:val="0"/>
          <w:color w:val="000000"/>
          <w:szCs w:val="28"/>
        </w:rPr>
        <w:t xml:space="preserve">дділу документального забезпечення управління персоналу здійснюється робота щодо ведення </w:t>
      </w:r>
      <w:proofErr w:type="spellStart"/>
      <w:r>
        <w:rPr>
          <w:rStyle w:val="a5"/>
          <w:b w:val="0"/>
          <w:color w:val="000000"/>
          <w:szCs w:val="28"/>
        </w:rPr>
        <w:t>погосподарського</w:t>
      </w:r>
      <w:proofErr w:type="spellEnd"/>
      <w:r>
        <w:rPr>
          <w:rStyle w:val="a5"/>
          <w:b w:val="0"/>
          <w:color w:val="000000"/>
          <w:szCs w:val="28"/>
        </w:rPr>
        <w:t xml:space="preserve"> обліку на території сільських населених пунктів шляхом проведення обходу, </w:t>
      </w:r>
      <w:proofErr w:type="spellStart"/>
      <w:r>
        <w:rPr>
          <w:rStyle w:val="a5"/>
          <w:b w:val="0"/>
          <w:color w:val="000000"/>
          <w:szCs w:val="28"/>
        </w:rPr>
        <w:t>перезакладання</w:t>
      </w:r>
      <w:proofErr w:type="spellEnd"/>
      <w:r>
        <w:rPr>
          <w:rStyle w:val="a5"/>
          <w:b w:val="0"/>
          <w:color w:val="000000"/>
          <w:szCs w:val="28"/>
        </w:rPr>
        <w:t xml:space="preserve"> книг </w:t>
      </w:r>
      <w:proofErr w:type="spellStart"/>
      <w:r>
        <w:rPr>
          <w:rStyle w:val="a5"/>
          <w:b w:val="0"/>
          <w:color w:val="000000"/>
          <w:szCs w:val="28"/>
        </w:rPr>
        <w:t>погосподарського</w:t>
      </w:r>
      <w:proofErr w:type="spellEnd"/>
      <w:r>
        <w:rPr>
          <w:rStyle w:val="a5"/>
          <w:b w:val="0"/>
          <w:color w:val="000000"/>
          <w:szCs w:val="28"/>
        </w:rPr>
        <w:t xml:space="preserve"> обліку та наповнення відомостями нової </w:t>
      </w:r>
      <w:r>
        <w:rPr>
          <w:rStyle w:val="a5"/>
          <w:b w:val="0"/>
          <w:color w:val="000000"/>
          <w:szCs w:val="28"/>
        </w:rPr>
        <w:t xml:space="preserve">програми “Місцевий облік об'єктів </w:t>
      </w:r>
      <w:proofErr w:type="spellStart"/>
      <w:r>
        <w:rPr>
          <w:rStyle w:val="a5"/>
          <w:b w:val="0"/>
          <w:color w:val="000000"/>
          <w:szCs w:val="28"/>
        </w:rPr>
        <w:t>погосподарського</w:t>
      </w:r>
      <w:proofErr w:type="spellEnd"/>
      <w:r>
        <w:rPr>
          <w:rStyle w:val="a5"/>
          <w:b w:val="0"/>
          <w:color w:val="000000"/>
          <w:szCs w:val="28"/>
        </w:rPr>
        <w:t xml:space="preserve"> обліку” (далі — Програма).</w:t>
      </w:r>
    </w:p>
    <w:p w:rsidR="0094371A" w:rsidRDefault="005B4603">
      <w:pPr>
        <w:pStyle w:val="Standard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 Боголюбському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окрузі було наявно усього 1516 домогосподарств. Станом на 30.06.2023 значиться 1605 об’єктів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обліку. У програму “Місцевий облік включено 1605 об'єктів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обліку. За звітний період по 524 об'єкт</w:t>
      </w:r>
      <w:r>
        <w:rPr>
          <w:rFonts w:ascii="Times New Roman" w:hAnsi="Times New Roman" w:cs="Times New Roman"/>
          <w:sz w:val="28"/>
          <w:szCs w:val="28"/>
        </w:rPr>
        <w:t xml:space="preserve">ах інформацію до Програми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повністю, а до  книг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 — 274. Під час обстеження додатково виявлено 35 об'єктів. Окрім того, проведено коригування даних щодо об'єктів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обліку, інформація по яких внесена була раніше,</w:t>
      </w:r>
      <w:r>
        <w:rPr>
          <w:rFonts w:ascii="Times New Roman" w:hAnsi="Times New Roman" w:cs="Times New Roman"/>
          <w:sz w:val="28"/>
          <w:szCs w:val="28"/>
        </w:rPr>
        <w:t xml:space="preserve"> а саме: щодо 8 об'єктів у випадку зміни власника нерухомого майна; щодо 116 об'єктів — зміна членів домогосподарства. </w:t>
      </w:r>
    </w:p>
    <w:p w:rsidR="0094371A" w:rsidRDefault="005B4603">
      <w:pPr>
        <w:pStyle w:val="Standard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окрузі було наявно усього 2012 домогосподарств, з яких до Програми у І півріччі 2023 року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інфор</w:t>
      </w:r>
      <w:r>
        <w:rPr>
          <w:rFonts w:ascii="Times New Roman" w:hAnsi="Times New Roman" w:cs="Times New Roman"/>
          <w:sz w:val="28"/>
          <w:szCs w:val="28"/>
        </w:rPr>
        <w:t xml:space="preserve">мацію щодо 661 об'єкту (в частині зареєстрованих членів домогосподарств), з яких повністю наповнено інформацією 114 об'єктів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обліку. До книг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інформацію щодо 249 об’єктів, з яких повністю наповнено відомостям</w:t>
      </w:r>
      <w:r>
        <w:rPr>
          <w:rFonts w:ascii="Times New Roman" w:hAnsi="Times New Roman" w:cs="Times New Roman"/>
          <w:sz w:val="28"/>
          <w:szCs w:val="28"/>
        </w:rPr>
        <w:t>и 65      об'єктів.</w:t>
      </w:r>
      <w:r w:rsidRPr="005B4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ході обстеження виявлено додатково 65 об'єктів (домогосподарства та землеволодіння).  По 11 об'єктах проведено коригування інформації щодо власників нерухомого майна та членів домогосподарств.</w:t>
      </w:r>
    </w:p>
    <w:p w:rsidR="0094371A" w:rsidRDefault="005B4603">
      <w:pPr>
        <w:pStyle w:val="Standard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окрузі на</w:t>
      </w:r>
      <w:r>
        <w:rPr>
          <w:rFonts w:ascii="Times New Roman" w:hAnsi="Times New Roman" w:cs="Times New Roman"/>
          <w:sz w:val="28"/>
          <w:szCs w:val="28"/>
        </w:rPr>
        <w:t xml:space="preserve"> початок роботи було наявно усього 1915 домогосподарств. У звітному періоді під час обстеження додатково виявлено 31 об'єкт.  До Програми було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інформацію щодо 760 об'єктів (щодо членів домогосподарств), з яких інформацію по 131 об'єкту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повн</w:t>
      </w:r>
      <w:r>
        <w:rPr>
          <w:rFonts w:ascii="Times New Roman" w:hAnsi="Times New Roman" w:cs="Times New Roman"/>
          <w:sz w:val="28"/>
          <w:szCs w:val="28"/>
        </w:rPr>
        <w:t xml:space="preserve">істю. До книг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 —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581 об'єкт, з яких повністю наповнено відомостями 65 об'єктів.</w:t>
      </w:r>
      <w:r>
        <w:rPr>
          <w:rFonts w:ascii="Times New Roman" w:hAnsi="Times New Roman" w:cs="Times New Roman"/>
          <w:sz w:val="28"/>
          <w:szCs w:val="28"/>
        </w:rPr>
        <w:t xml:space="preserve"> Окрім того, проведено коригування  інформації щодо 109 об'єктів (щодо членів домогосподарств та власників об'єктів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обліку), яка</w:t>
      </w:r>
      <w:r>
        <w:rPr>
          <w:rFonts w:ascii="Times New Roman" w:hAnsi="Times New Roman" w:cs="Times New Roman"/>
          <w:sz w:val="28"/>
          <w:szCs w:val="28"/>
        </w:rPr>
        <w:t xml:space="preserve"> була внесена раніше.</w:t>
      </w:r>
    </w:p>
    <w:p w:rsidR="0094371A" w:rsidRDefault="005B4603">
      <w:pPr>
        <w:pStyle w:val="Standard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окрузі було наявно 2833 об'єкти. За перше півріччя до  Програми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інформацію щодо 948 об'єктів (щодо членів домогосподарства), з яких по 238 об'єктах інформацію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повністю. До  книг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</w:t>
      </w:r>
      <w:r>
        <w:rPr>
          <w:rFonts w:ascii="Times New Roman" w:hAnsi="Times New Roman" w:cs="Times New Roman"/>
          <w:sz w:val="28"/>
          <w:szCs w:val="28"/>
        </w:rPr>
        <w:t>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888 об'єктів (238-повністю). В ході обстеження виявлено  додатково 132 об'єкти. Коригування проведено щодо 15 об'єктів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обліку, інформацію про які було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ще у 2022 році.</w:t>
      </w:r>
    </w:p>
    <w:p w:rsidR="0094371A" w:rsidRDefault="005B4603">
      <w:pPr>
        <w:pStyle w:val="Standard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Станом на 31.10.2019 року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</w:t>
      </w:r>
      <w:r>
        <w:rPr>
          <w:rFonts w:ascii="Times New Roman" w:hAnsi="Times New Roman" w:cs="Times New Roman"/>
          <w:sz w:val="28"/>
          <w:szCs w:val="28"/>
        </w:rPr>
        <w:t>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 не вівся) у Прилуцькому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окрузі було наявно 1794 об'єкти, з яких у першому півріччі 2023 року до Програми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інформацію щодо                                          234 об'єктів (по 152 - повністю), а до  книг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 — 328                  (по 225 - повністю) . В ході обстеження виявлено  додатково 56 об'єктів. Окрім того, проведено коригування </w:t>
      </w:r>
      <w:r>
        <w:rPr>
          <w:rFonts w:ascii="Times New Roman" w:hAnsi="Times New Roman" w:cs="Times New Roman"/>
          <w:sz w:val="28"/>
          <w:szCs w:val="28"/>
        </w:rPr>
        <w:t xml:space="preserve">інформації </w:t>
      </w:r>
      <w:r>
        <w:rPr>
          <w:rFonts w:ascii="Times New Roman" w:hAnsi="Times New Roman" w:cs="Times New Roman"/>
          <w:sz w:val="28"/>
          <w:szCs w:val="28"/>
        </w:rPr>
        <w:t>відносно 11 об’єктів, інформація щодо яких була внесена раніше.</w:t>
      </w:r>
    </w:p>
    <w:p w:rsidR="0094371A" w:rsidRDefault="005B4603">
      <w:pPr>
        <w:pStyle w:val="Standard"/>
        <w:ind w:firstLine="567"/>
        <w:jc w:val="both"/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Під час проведення обходів  працівниками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відділу документального забезпечення управління персоналу виявлено багато об'єктів 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погосподарського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обліку, право власності на які документально не оформлено. Проводиться роз'яснювальна робота із жителями 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старостинських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округів щодо необхідності виготовле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ння правовстановлюючих документів на об'єкти нерухомого майна, надається консультативна допомога щодо порядку здачі в експлуатацію житлових будинків, порядку присвоєння поштових адрес, оформлення спадкових прав. </w:t>
      </w:r>
    </w:p>
    <w:p w:rsidR="0094371A" w:rsidRDefault="005B4603">
      <w:pPr>
        <w:pStyle w:val="Standard"/>
        <w:ind w:firstLine="567"/>
        <w:jc w:val="both"/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Окрім того, щомісяця проводиться  звірка ін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формації та уточнення даних щодо зареєстрованих осіб (членів домогосподарств). </w:t>
      </w:r>
    </w:p>
    <w:p w:rsidR="0094371A" w:rsidRDefault="0094371A">
      <w:pPr>
        <w:ind w:firstLine="574"/>
        <w:jc w:val="both"/>
        <w:rPr>
          <w:szCs w:val="28"/>
        </w:rPr>
      </w:pPr>
    </w:p>
    <w:p w:rsidR="0094371A" w:rsidRDefault="0094371A">
      <w:pPr>
        <w:rPr>
          <w:sz w:val="24"/>
          <w:szCs w:val="21"/>
        </w:rPr>
      </w:pPr>
      <w:bookmarkStart w:id="1" w:name="_GoBack"/>
      <w:bookmarkEnd w:id="1"/>
    </w:p>
    <w:sectPr w:rsidR="0094371A">
      <w:headerReference w:type="default" r:id="rId6"/>
      <w:footerReference w:type="default" r:id="rId7"/>
      <w:pgSz w:w="11906" w:h="16838"/>
      <w:pgMar w:top="851" w:right="580" w:bottom="1418" w:left="1797" w:header="539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4603">
      <w:r>
        <w:separator/>
      </w:r>
    </w:p>
  </w:endnote>
  <w:endnote w:type="continuationSeparator" w:id="0">
    <w:p w:rsidR="00000000" w:rsidRDefault="005B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1A" w:rsidRDefault="0094371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B4603">
      <w:r>
        <w:separator/>
      </w:r>
    </w:p>
  </w:footnote>
  <w:footnote w:type="continuationSeparator" w:id="0">
    <w:p w:rsidR="00000000" w:rsidRDefault="005B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1A" w:rsidRDefault="0094371A">
    <w:pPr>
      <w:pStyle w:val="af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1A"/>
    <w:rsid w:val="005B4603"/>
    <w:rsid w:val="0094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A6082E0-8046-459B-B126-1C0C3D56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a3">
    <w:name w:val="Основной шрифт абзаца"/>
    <w:qFormat/>
  </w:style>
  <w:style w:type="character" w:customStyle="1" w:styleId="1">
    <w:name w:val="Шрифт абзацу за промовчанням1"/>
    <w:qFormat/>
  </w:style>
  <w:style w:type="character" w:customStyle="1" w:styleId="apple-converted-space">
    <w:name w:val="apple-converted-space"/>
    <w:basedOn w:val="1"/>
    <w:qFormat/>
  </w:style>
  <w:style w:type="character" w:customStyle="1" w:styleId="a4">
    <w:name w:val="Текст у виносці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Виділення жирним"/>
    <w:qFormat/>
    <w:rPr>
      <w:b/>
      <w:bCs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Відвідане гіперпосилання"/>
    <w:rPr>
      <w:color w:val="800000"/>
      <w:u w:val="single"/>
    </w:rPr>
  </w:style>
  <w:style w:type="character" w:styleId="a8">
    <w:name w:val="Emphasis"/>
    <w:basedOn w:val="a3"/>
    <w:qFormat/>
    <w:rPr>
      <w:rFonts w:ascii="Calibri;Century Gothic" w:hAnsi="Calibri;Century Gothic" w:cs="Calibri;Century Gothic"/>
      <w:b/>
      <w:i/>
      <w:iCs/>
    </w:rPr>
  </w:style>
  <w:style w:type="character" w:customStyle="1" w:styleId="a9">
    <w:name w:val="Символ нумерації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suppressLineNumbers/>
      <w:tabs>
        <w:tab w:val="center" w:pos="4650"/>
        <w:tab w:val="right" w:pos="9300"/>
      </w:tabs>
    </w:pPr>
  </w:style>
  <w:style w:type="paragraph" w:styleId="af4">
    <w:name w:val="header"/>
    <w:basedOn w:val="a"/>
    <w:pPr>
      <w:suppressLineNumbers/>
      <w:tabs>
        <w:tab w:val="center" w:pos="4650"/>
        <w:tab w:val="right" w:pos="9300"/>
      </w:tabs>
    </w:pPr>
  </w:style>
  <w:style w:type="paragraph" w:styleId="af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qFormat/>
    <w:pPr>
      <w:ind w:left="291" w:right="123" w:firstLine="599"/>
    </w:pPr>
    <w:rPr>
      <w:lang w:eastAsia="en-US"/>
    </w:rPr>
  </w:style>
  <w:style w:type="paragraph" w:styleId="af7">
    <w:name w:val="No Spacing"/>
    <w:qFormat/>
    <w:pPr>
      <w:widowControl w:val="0"/>
    </w:pPr>
    <w:rPr>
      <w:rFonts w:ascii="Arial" w:eastAsia="Tahoma" w:hAnsi="Arial" w:cs="Mangal"/>
      <w:color w:val="00000A"/>
      <w:sz w:val="36"/>
    </w:rPr>
  </w:style>
  <w:style w:type="paragraph" w:customStyle="1" w:styleId="western">
    <w:name w:val="western"/>
    <w:basedOn w:val="a"/>
    <w:qFormat/>
    <w:pPr>
      <w:spacing w:before="280" w:after="119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Calibri" w:eastAsia="Calibri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10</Pages>
  <Words>16412</Words>
  <Characters>9356</Characters>
  <Application>Microsoft Office Word</Application>
  <DocSecurity>0</DocSecurity>
  <Lines>77</Lines>
  <Paragraphs>51</Paragraphs>
  <ScaleCrop>false</ScaleCrop>
  <Company/>
  <LinksUpToDate>false</LinksUpToDate>
  <CharactersWithSpaces>25717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Kostjuk</dc:creator>
  <dc:description/>
  <cp:lastModifiedBy>Тетяна Тирилюк</cp:lastModifiedBy>
  <cp:revision>77</cp:revision>
  <cp:lastPrinted>2023-07-13T12:05:00Z</cp:lastPrinted>
  <dcterms:created xsi:type="dcterms:W3CDTF">2021-07-21T11:23:00Z</dcterms:created>
  <dcterms:modified xsi:type="dcterms:W3CDTF">2025-05-15T12:09:00Z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