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C0DF8" w:rsidRDefault="009D4C3E">
      <w:pPr>
        <w:pStyle w:val="ab"/>
        <w:ind w:firstLine="850"/>
        <w:jc w:val="center"/>
      </w:pPr>
      <w:r>
        <w:rPr>
          <w:b/>
          <w:color w:val="222222"/>
          <w:szCs w:val="28"/>
        </w:rPr>
        <w:t>Про роботу управління персоналу Луцької міської ради                                        за ІІ квартал 2025 року</w:t>
      </w:r>
    </w:p>
    <w:p w:rsidR="00FC0DF8" w:rsidRDefault="009D4C3E">
      <w:pPr>
        <w:pStyle w:val="af7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Упродовж ІІ кварталу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2025 року управлінням персоналу Луцької міської ради здійснювалася робота щодо кадрового менеджменту у виконавчих органах міської ради, організації та контролю за проведенням заходів з питань запобігання корупційним правопорушенням та правопорушенням, пов'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язаним з корупцією; забезпечення документаційного та організаційно-технічного обслуговування діяльності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старост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округів.</w:t>
      </w:r>
    </w:p>
    <w:p w:rsidR="00FC0DF8" w:rsidRDefault="009D4C3E">
      <w:pPr>
        <w:pStyle w:val="af7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1.Робота відділу кадрової роботи.</w:t>
      </w:r>
    </w:p>
    <w:p w:rsidR="00FC0DF8" w:rsidRDefault="009D4C3E">
      <w:pPr>
        <w:pStyle w:val="af9"/>
        <w:tabs>
          <w:tab w:val="left" w:pos="567"/>
        </w:tabs>
        <w:spacing w:after="120" w:line="240" w:lineRule="atLeast"/>
        <w:ind w:left="0" w:firstLine="567"/>
        <w:jc w:val="both"/>
      </w:pPr>
      <w:r>
        <w:rPr>
          <w:rFonts w:ascii="Times New Roman" w:hAnsi="Times New Roman"/>
          <w:bCs w:val="0"/>
          <w:sz w:val="28"/>
          <w:szCs w:val="28"/>
          <w:shd w:val="clear" w:color="auto" w:fill="FFFFFF"/>
        </w:rPr>
        <w:t>Формування особового складу виконавчих органів міської ради                     здійсн</w:t>
      </w:r>
      <w:r>
        <w:rPr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юється у відповідності до норм трудового законодавства з                       урахуванням вимог  </w:t>
      </w:r>
      <w:r>
        <w:rPr>
          <w:rFonts w:ascii="Times New Roman" w:hAnsi="Times New Roman"/>
          <w:bCs w:val="0"/>
          <w:iCs/>
          <w:sz w:val="28"/>
          <w:szCs w:val="28"/>
          <w:shd w:val="clear" w:color="auto" w:fill="FFFFFF"/>
        </w:rPr>
        <w:t>Закону України «</w:t>
      </w:r>
      <w:r>
        <w:rPr>
          <w:rStyle w:val="a5"/>
          <w:rFonts w:ascii="Times New Roman" w:hAnsi="Times New Roman"/>
          <w:b w:val="0"/>
          <w:iCs/>
          <w:sz w:val="28"/>
          <w:szCs w:val="28"/>
          <w:shd w:val="clear" w:color="auto" w:fill="FFFFFF"/>
        </w:rPr>
        <w:t>Про правовий режим воєнного стану»</w:t>
      </w:r>
      <w:r>
        <w:rPr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, а також  Закону України «Про службу в органах місцевого самоврядування», інших нормативних документів, що </w:t>
      </w:r>
      <w:r>
        <w:rPr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регулюють порядок призначення на посади в органи місцевого самоврядування. </w:t>
      </w:r>
    </w:p>
    <w:tbl>
      <w:tblPr>
        <w:tblW w:w="9888" w:type="dxa"/>
        <w:tblInd w:w="-236" w:type="dxa"/>
        <w:tblLayout w:type="fixed"/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56"/>
        <w:gridCol w:w="1140"/>
        <w:gridCol w:w="1047"/>
        <w:gridCol w:w="1163"/>
        <w:gridCol w:w="1387"/>
        <w:gridCol w:w="1306"/>
        <w:gridCol w:w="1363"/>
        <w:gridCol w:w="1126"/>
      </w:tblGrid>
      <w:tr w:rsidR="00FC0DF8">
        <w:trPr>
          <w:trHeight w:val="582"/>
        </w:trPr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Призначено/прийнято: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*по переводу з  органів місцевого самоврядування, органів виконавчої влади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*за загальним трудовим законодавством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widowControl w:val="0"/>
              <w:jc w:val="center"/>
            </w:pPr>
            <w:r>
              <w:rPr>
                <w:sz w:val="21"/>
                <w:szCs w:val="21"/>
              </w:rPr>
              <w:t>*</w:t>
            </w:r>
            <w:r>
              <w:rPr>
                <w:iCs/>
                <w:color w:val="000000"/>
                <w:sz w:val="21"/>
                <w:szCs w:val="21"/>
                <w:shd w:val="clear" w:color="auto" w:fill="FFFFFF"/>
              </w:rPr>
              <w:t xml:space="preserve">відповідно до вимог статей 9, 10 Закону України </w:t>
            </w:r>
            <w:r>
              <w:rPr>
                <w:rStyle w:val="a5"/>
                <w:b w:val="0"/>
                <w:iCs/>
                <w:color w:val="000000"/>
                <w:sz w:val="21"/>
                <w:szCs w:val="21"/>
                <w:shd w:val="clear" w:color="auto" w:fill="FFFFFF"/>
              </w:rPr>
              <w:t>“Про правовий режим воєнного стану”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Переведено в межах виконавчих органів міської ради: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*на вищі посади</w:t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посади в межах категорії посад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DF8" w:rsidRDefault="009D4C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нижчі посади</w:t>
            </w:r>
          </w:p>
          <w:p w:rsidR="00FC0DF8" w:rsidRDefault="009D4C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(за згодою)</w:t>
            </w:r>
          </w:p>
        </w:tc>
      </w:tr>
      <w:tr w:rsidR="00FC0DF8">
        <w:trPr>
          <w:trHeight w:val="308"/>
        </w:trPr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b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Всього: </w:t>
            </w: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28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DF8" w:rsidRDefault="009D4C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C0DF8"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Звільнено: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угодою сторін</w:t>
            </w:r>
          </w:p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ст.36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власним бажанням</w:t>
            </w:r>
          </w:p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ст.38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переведенням в іншу установу, організацію</w:t>
            </w:r>
          </w:p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п.5 ст.36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скороченням штату</w:t>
            </w:r>
          </w:p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ст.40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у зв'язку із закінченням строкового трудового договору</w:t>
            </w:r>
          </w:p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 ст.36</w:t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*інша підстава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Увільнено у </w:t>
            </w:r>
            <w:r>
              <w:rPr>
                <w:b/>
                <w:sz w:val="20"/>
                <w:szCs w:val="20"/>
              </w:rPr>
              <w:t>зв'язку з призовом на військову службу</w:t>
            </w:r>
          </w:p>
        </w:tc>
      </w:tr>
      <w:tr w:rsidR="00FC0DF8"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b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Всього: </w:t>
            </w:r>
            <w:r>
              <w:rPr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0</w:t>
            </w:r>
          </w:p>
        </w:tc>
      </w:tr>
      <w:tr w:rsidR="00FC0DF8"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Стажування пройшли: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 межах кадрового резерву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 подальшим переведенням на посаду</w:t>
            </w:r>
          </w:p>
        </w:tc>
        <w:tc>
          <w:tcPr>
            <w:tcW w:w="2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інше</w:t>
            </w:r>
          </w:p>
        </w:tc>
        <w:tc>
          <w:tcPr>
            <w:tcW w:w="3795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Проведено</w:t>
            </w:r>
          </w:p>
          <w:p w:rsidR="00FC0DF8" w:rsidRDefault="009D4C3E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адаптацію новопризначених працівників</w:t>
            </w:r>
          </w:p>
          <w:p w:rsidR="00FC0DF8" w:rsidRDefault="009D4C3E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8</w:t>
            </w:r>
          </w:p>
        </w:tc>
      </w:tr>
      <w:tr w:rsidR="00FC0DF8"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 29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95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DF8" w:rsidRDefault="00FC0DF8">
            <w:pPr>
              <w:widowControl w:val="0"/>
            </w:pPr>
          </w:p>
        </w:tc>
      </w:tr>
      <w:tr w:rsidR="00FC0DF8"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Встановлено надбавки за вислугу років: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 роки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5 років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*10 років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*15 років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*20 років</w:t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*25 років і більше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Присвоєно рангів:</w:t>
            </w:r>
          </w:p>
        </w:tc>
      </w:tr>
      <w:tr w:rsidR="00FC0DF8"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22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0DF8" w:rsidRDefault="009D4C3E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9</w:t>
            </w:r>
          </w:p>
        </w:tc>
      </w:tr>
    </w:tbl>
    <w:p w:rsidR="00FC0DF8" w:rsidRDefault="009D4C3E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FC0DF8" w:rsidRDefault="009D4C3E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 xml:space="preserve">Відповідно до рішення Луцької міської ради від 28.04.2021 №10/69 «Про затвердження структури виконавчих органів міської ради, загальної чисельності апарату міської ради та її виконавчих органів», зі змінами, загальна чисельність апарату міської ради та її </w:t>
      </w:r>
      <w:r>
        <w:rPr>
          <w:color w:val="000000"/>
          <w:szCs w:val="28"/>
        </w:rPr>
        <w:t>виконавчих органів станом на 01.07.2025 становить 712,5 штатних одиниць. Упродовж звітного періоду штатну чисельність збільшено на 15 одиниць. З них, 10 штатних одиниць передбачено для реалізації управлінням соціальних служб для сім'ї, дітей та молоді місь</w:t>
      </w:r>
      <w:r>
        <w:rPr>
          <w:color w:val="000000"/>
          <w:szCs w:val="28"/>
        </w:rPr>
        <w:t xml:space="preserve">кої ради пілотного </w:t>
      </w:r>
      <w:proofErr w:type="spellStart"/>
      <w:r>
        <w:rPr>
          <w:color w:val="000000"/>
          <w:szCs w:val="28"/>
        </w:rPr>
        <w:t>проєкту</w:t>
      </w:r>
      <w:proofErr w:type="spellEnd"/>
      <w:r>
        <w:rPr>
          <w:color w:val="000000"/>
          <w:szCs w:val="28"/>
        </w:rPr>
        <w:t xml:space="preserve"> «Підвищення потенціалу громади для забезпечення інтегрованих соціальних послуг вразливим дітям у Львівській, Волинській та Закарпатській областях» за фінансової підтримки Представництва Дитячого фонду ООН (ЮНІСЕФ) в Україні. Тако</w:t>
      </w:r>
      <w:r>
        <w:rPr>
          <w:color w:val="000000"/>
          <w:szCs w:val="28"/>
        </w:rPr>
        <w:t>ж на 5 одиниць збільшено штатну чисельність департаменту «Центр надання адміністративних послуг у місті Луцьку», це пов'язано зі створенням «єдиного вікна» для обслуговування ветеранів/-</w:t>
      </w:r>
      <w:proofErr w:type="spellStart"/>
      <w:r>
        <w:rPr>
          <w:color w:val="000000"/>
          <w:szCs w:val="28"/>
        </w:rPr>
        <w:t>ок</w:t>
      </w:r>
      <w:proofErr w:type="spellEnd"/>
      <w:r>
        <w:rPr>
          <w:color w:val="000000"/>
          <w:szCs w:val="28"/>
        </w:rPr>
        <w:t xml:space="preserve"> та членів їх сімей, а також зростанням кількості звернень та розшир</w:t>
      </w:r>
      <w:r>
        <w:rPr>
          <w:color w:val="000000"/>
          <w:szCs w:val="28"/>
        </w:rPr>
        <w:t xml:space="preserve">енням функціоналу. </w:t>
      </w:r>
    </w:p>
    <w:p w:rsidR="00FC0DF8" w:rsidRDefault="009D4C3E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З метою удосконалення роботи виконавчих органів міської ради здійснювалася робота щодо внесення змін до штатних розписів управління капітального будівництва, юридичного департаменту, департаменту з питань ветеранської політики, </w:t>
      </w:r>
      <w:r>
        <w:rPr>
          <w:color w:val="000000"/>
          <w:szCs w:val="28"/>
        </w:rPr>
        <w:t>департаменту економічної політики.</w:t>
      </w:r>
    </w:p>
    <w:p w:rsidR="00FC0DF8" w:rsidRDefault="009D4C3E">
      <w:pPr>
        <w:ind w:firstLine="567"/>
        <w:jc w:val="both"/>
        <w:rPr>
          <w:szCs w:val="28"/>
        </w:rPr>
      </w:pPr>
      <w:r>
        <w:rPr>
          <w:szCs w:val="28"/>
        </w:rPr>
        <w:t xml:space="preserve">Крім цього, відповідно до наказу управління персоналу від 09.01.2025 №2/3-5 </w:t>
      </w:r>
      <w:r>
        <w:rPr>
          <w:color w:val="000000"/>
          <w:szCs w:val="28"/>
        </w:rPr>
        <w:t>«</w:t>
      </w:r>
      <w:r>
        <w:rPr>
          <w:szCs w:val="28"/>
        </w:rPr>
        <w:t>Про упорядкування особових справ працівників виконавчих органів Луцької міської ради</w:t>
      </w:r>
      <w:r>
        <w:rPr>
          <w:color w:val="000000"/>
          <w:szCs w:val="28"/>
        </w:rPr>
        <w:t>»</w:t>
      </w:r>
      <w:r>
        <w:rPr>
          <w:szCs w:val="28"/>
        </w:rPr>
        <w:t xml:space="preserve"> із внесеними змінами згідно з наказом від 08.05.2025 №9/3-</w:t>
      </w:r>
      <w:r>
        <w:rPr>
          <w:szCs w:val="28"/>
        </w:rPr>
        <w:t xml:space="preserve">5 Про внесення змін до наказу від 09.01.2025 №2/3-5 </w:t>
      </w:r>
      <w:r>
        <w:rPr>
          <w:color w:val="000000"/>
          <w:szCs w:val="28"/>
        </w:rPr>
        <w:t>«</w:t>
      </w:r>
      <w:r>
        <w:rPr>
          <w:szCs w:val="28"/>
        </w:rPr>
        <w:t>Про упорядкування особових справ працівників виконавчих органів Луцької міської ради</w:t>
      </w:r>
      <w:r>
        <w:rPr>
          <w:color w:val="000000"/>
          <w:szCs w:val="28"/>
        </w:rPr>
        <w:t>»</w:t>
      </w:r>
      <w:r>
        <w:rPr>
          <w:szCs w:val="28"/>
        </w:rPr>
        <w:t xml:space="preserve"> у відділі кадрової роботи пров</w:t>
      </w:r>
      <w:r>
        <w:rPr>
          <w:rFonts w:eastAsia="NSimSun" w:cs="Lucida Sans"/>
          <w:color w:val="auto"/>
          <w:kern w:val="2"/>
          <w:szCs w:val="28"/>
          <w:lang w:bidi="hi-IN"/>
        </w:rPr>
        <w:t>одиться</w:t>
      </w:r>
      <w:r>
        <w:rPr>
          <w:szCs w:val="28"/>
        </w:rPr>
        <w:t xml:space="preserve"> перевірка формування та ведення особових справ працівників виконавчих органів Луцької міської ради у паперовому та електронному вигляді працівниками відділу кадрової роботи управління персоналу Луцької міської ради </w:t>
      </w:r>
      <w:r>
        <w:rPr>
          <w:rFonts w:eastAsia="NSimSun" w:cs="Lucida Sans"/>
          <w:color w:val="auto"/>
          <w:kern w:val="2"/>
          <w:szCs w:val="28"/>
          <w:lang w:bidi="hi-IN"/>
        </w:rPr>
        <w:t>у затверджені терміни. У звітному період</w:t>
      </w:r>
      <w:r>
        <w:rPr>
          <w:rFonts w:eastAsia="NSimSun" w:cs="Lucida Sans"/>
          <w:color w:val="auto"/>
          <w:kern w:val="2"/>
          <w:szCs w:val="28"/>
          <w:lang w:bidi="hi-IN"/>
        </w:rPr>
        <w:t>і таку перевірку здійснено щодо 2 головних спеціалістів відділу (269 особових справ).</w:t>
      </w:r>
      <w:r>
        <w:rPr>
          <w:szCs w:val="28"/>
        </w:rPr>
        <w:t xml:space="preserve"> </w:t>
      </w:r>
    </w:p>
    <w:p w:rsidR="00FC0DF8" w:rsidRDefault="009D4C3E">
      <w:pPr>
        <w:pStyle w:val="af7"/>
        <w:ind w:firstLine="567"/>
        <w:jc w:val="both"/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Здійснюється робота щодо ведення військового обліку. </w:t>
      </w:r>
      <w:r>
        <w:rPr>
          <w:rFonts w:ascii="Times New Roman" w:hAnsi="Times New Roman"/>
          <w:sz w:val="28"/>
          <w:szCs w:val="28"/>
        </w:rPr>
        <w:t>Відповідно до розпорядження міського голови від 29.01.2025  № 4-рг «Про стан військового обліку за 2024 рік та завда</w:t>
      </w:r>
      <w:r>
        <w:rPr>
          <w:rFonts w:ascii="Times New Roman" w:hAnsi="Times New Roman"/>
          <w:sz w:val="28"/>
          <w:szCs w:val="28"/>
        </w:rPr>
        <w:t xml:space="preserve">ння з військового обліку на 2025 рік у </w:t>
      </w:r>
      <w:proofErr w:type="spellStart"/>
      <w:r>
        <w:rPr>
          <w:rFonts w:ascii="Times New Roman" w:hAnsi="Times New Roman"/>
          <w:sz w:val="28"/>
          <w:szCs w:val="28"/>
        </w:rPr>
        <w:t>апараті</w:t>
      </w:r>
      <w:proofErr w:type="spellEnd"/>
      <w:r>
        <w:rPr>
          <w:rFonts w:ascii="Times New Roman" w:hAnsi="Times New Roman"/>
          <w:sz w:val="28"/>
          <w:szCs w:val="28"/>
        </w:rPr>
        <w:t xml:space="preserve"> виконавчого комітету та виконавчих органах Луцької міської ради» визначено завдання для реалізації норм чинного законодавства в частині ведення </w:t>
      </w:r>
      <w:r>
        <w:rPr>
          <w:rFonts w:ascii="Times New Roman" w:hAnsi="Times New Roman"/>
          <w:sz w:val="28"/>
          <w:szCs w:val="28"/>
        </w:rPr>
        <w:lastRenderedPageBreak/>
        <w:t>військового обліку на 2025 рік та активно ведеться робота щодо ви</w:t>
      </w:r>
      <w:r>
        <w:rPr>
          <w:rFonts w:ascii="Times New Roman" w:hAnsi="Times New Roman"/>
          <w:sz w:val="28"/>
          <w:szCs w:val="28"/>
        </w:rPr>
        <w:t>конання завдань зазначених у вищевказаному розпорядженні.</w:t>
      </w:r>
    </w:p>
    <w:p w:rsidR="00FC0DF8" w:rsidRDefault="009D4C3E">
      <w:pPr>
        <w:ind w:firstLine="708"/>
        <w:jc w:val="both"/>
        <w:rPr>
          <w:szCs w:val="28"/>
        </w:rPr>
      </w:pPr>
      <w:r>
        <w:rPr>
          <w:szCs w:val="28"/>
        </w:rPr>
        <w:t>Упродовж ІІ кварталу 2025 року:</w:t>
      </w:r>
    </w:p>
    <w:p w:rsidR="00FC0DF8" w:rsidRDefault="009D4C3E">
      <w:pPr>
        <w:ind w:firstLine="708"/>
        <w:jc w:val="both"/>
        <w:rPr>
          <w:szCs w:val="28"/>
        </w:rPr>
      </w:pPr>
      <w:r>
        <w:rPr>
          <w:szCs w:val="28"/>
        </w:rPr>
        <w:t xml:space="preserve">підготовлено </w:t>
      </w:r>
      <w:r>
        <w:rPr>
          <w:bCs w:val="0"/>
          <w:szCs w:val="28"/>
        </w:rPr>
        <w:t>22</w:t>
      </w:r>
      <w:r>
        <w:rPr>
          <w:szCs w:val="28"/>
        </w:rPr>
        <w:t xml:space="preserve"> повідомлення про зміну облікових даних (призначення, переведення, звільнення) та вносились у відповідні таблиці реквізити повідомлень про вищевказані </w:t>
      </w:r>
      <w:r>
        <w:rPr>
          <w:szCs w:val="28"/>
        </w:rPr>
        <w:t>зміни;</w:t>
      </w:r>
    </w:p>
    <w:p w:rsidR="00FC0DF8" w:rsidRDefault="009D4C3E">
      <w:pPr>
        <w:ind w:firstLine="708"/>
        <w:jc w:val="both"/>
        <w:rPr>
          <w:szCs w:val="28"/>
        </w:rPr>
      </w:pPr>
      <w:r>
        <w:rPr>
          <w:szCs w:val="28"/>
        </w:rPr>
        <w:t xml:space="preserve">здійснювалась перевірка </w:t>
      </w:r>
      <w:proofErr w:type="spellStart"/>
      <w:r>
        <w:rPr>
          <w:szCs w:val="28"/>
        </w:rPr>
        <w:t>військовооблікових</w:t>
      </w:r>
      <w:proofErr w:type="spellEnd"/>
      <w:r>
        <w:rPr>
          <w:szCs w:val="28"/>
        </w:rPr>
        <w:t xml:space="preserve"> даних при прийнятті на посаду, а також забезпечувалось ознайомлення з Правилами військового обліку;</w:t>
      </w:r>
    </w:p>
    <w:p w:rsidR="00FC0DF8" w:rsidRDefault="009D4C3E">
      <w:pPr>
        <w:ind w:firstLine="708"/>
        <w:jc w:val="both"/>
        <w:rPr>
          <w:szCs w:val="28"/>
        </w:rPr>
      </w:pPr>
      <w:r>
        <w:rPr>
          <w:szCs w:val="28"/>
        </w:rPr>
        <w:t>проводився контроль за військовозобов’язаними, які досягли граничного віку перебування на військовому облі</w:t>
      </w:r>
      <w:r>
        <w:rPr>
          <w:szCs w:val="28"/>
        </w:rPr>
        <w:t xml:space="preserve">ку; </w:t>
      </w:r>
    </w:p>
    <w:p w:rsidR="00FC0DF8" w:rsidRDefault="009D4C3E">
      <w:pPr>
        <w:ind w:firstLine="708"/>
        <w:jc w:val="both"/>
        <w:rPr>
          <w:szCs w:val="28"/>
        </w:rPr>
      </w:pPr>
      <w:r>
        <w:rPr>
          <w:szCs w:val="28"/>
        </w:rPr>
        <w:t xml:space="preserve">вносились дані до списку персонального військового обліку військовозобов'язаних (резервістів) рядового, сержантського та старшинського складу;  </w:t>
      </w:r>
    </w:p>
    <w:p w:rsidR="00FC0DF8" w:rsidRDefault="009D4C3E">
      <w:pPr>
        <w:ind w:firstLine="709"/>
        <w:jc w:val="both"/>
        <w:rPr>
          <w:szCs w:val="28"/>
        </w:rPr>
      </w:pPr>
      <w:r>
        <w:rPr>
          <w:szCs w:val="28"/>
        </w:rPr>
        <w:t>вносились дані до списку персонального військового обліку призовників;</w:t>
      </w:r>
    </w:p>
    <w:p w:rsidR="00FC0DF8" w:rsidRDefault="009D4C3E">
      <w:pPr>
        <w:ind w:firstLine="709"/>
        <w:jc w:val="both"/>
        <w:rPr>
          <w:szCs w:val="28"/>
          <w:lang w:eastAsia="uk-UA"/>
        </w:rPr>
      </w:pPr>
      <w:r>
        <w:rPr>
          <w:szCs w:val="28"/>
        </w:rPr>
        <w:t>вносились дані до списку персональн</w:t>
      </w:r>
      <w:r>
        <w:rPr>
          <w:szCs w:val="28"/>
        </w:rPr>
        <w:t xml:space="preserve">ого військового обліку військовозобов'язаних </w:t>
      </w:r>
      <w:r>
        <w:rPr>
          <w:szCs w:val="28"/>
          <w:lang w:eastAsia="uk-UA"/>
        </w:rPr>
        <w:t>(резервістів) офіцерського складу виконавчого комітету Луцької міської ради;</w:t>
      </w:r>
    </w:p>
    <w:p w:rsidR="00FC0DF8" w:rsidRDefault="009D4C3E">
      <w:pPr>
        <w:ind w:firstLine="709"/>
        <w:jc w:val="both"/>
        <w:rPr>
          <w:szCs w:val="28"/>
        </w:rPr>
      </w:pPr>
      <w:r>
        <w:rPr>
          <w:szCs w:val="28"/>
        </w:rPr>
        <w:t>вносились дані до списку персонального військового обліку військовозобов'язаних (резервістів) з числа жінок.</w:t>
      </w:r>
    </w:p>
    <w:p w:rsidR="00FC0DF8" w:rsidRDefault="009D4C3E">
      <w:pPr>
        <w:ind w:firstLine="708"/>
        <w:jc w:val="both"/>
        <w:rPr>
          <w:szCs w:val="28"/>
        </w:rPr>
      </w:pPr>
      <w:r>
        <w:rPr>
          <w:szCs w:val="28"/>
        </w:rPr>
        <w:t>Окрім цього, відповідно д</w:t>
      </w:r>
      <w:r>
        <w:rPr>
          <w:szCs w:val="28"/>
        </w:rPr>
        <w:t>о розпорядження міського голови від 24.02.2025 №10-рг «Про затвердження графіка звіряння даних списків персонального військового обліку із записами у військово-облікових документах працівників апарату  виконавчого комітету та виконавчих органів Луцької міс</w:t>
      </w:r>
      <w:r>
        <w:rPr>
          <w:szCs w:val="28"/>
        </w:rPr>
        <w:t>ької ради у 2025 році»  здійснюється звіряння облікових даних списків персонального військового обліку з військово-обліковими документами та іншими документами військовозобов’язаних працівників апарату виконавчого комітету та виконавчих органах Луцької міс</w:t>
      </w:r>
      <w:r>
        <w:rPr>
          <w:szCs w:val="28"/>
        </w:rPr>
        <w:t>ької ради та уточн</w:t>
      </w:r>
      <w:r>
        <w:rPr>
          <w:szCs w:val="28"/>
        </w:rPr>
        <w:t>ення</w:t>
      </w:r>
      <w:r>
        <w:rPr>
          <w:szCs w:val="28"/>
        </w:rPr>
        <w:t xml:space="preserve"> списків персонального військового обліку для звіряння з обліковими даними документів районних (міських) територіальних центрів комплектування та соціальної підтримки, де перебувають на обліку військовозобов’язані та резервісти. </w:t>
      </w:r>
    </w:p>
    <w:p w:rsidR="00FC0DF8" w:rsidRDefault="009D4C3E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</w:rPr>
      </w:pPr>
      <w:r>
        <w:rPr>
          <w:szCs w:val="28"/>
        </w:rPr>
        <w:t>Стан</w:t>
      </w:r>
      <w:r>
        <w:rPr>
          <w:szCs w:val="28"/>
        </w:rPr>
        <w:t xml:space="preserve">ом на 30 червня 2025 року звіряння пройшли </w:t>
      </w:r>
      <w:r>
        <w:rPr>
          <w:bCs w:val="0"/>
          <w:szCs w:val="28"/>
        </w:rPr>
        <w:t>66</w:t>
      </w:r>
      <w:r>
        <w:rPr>
          <w:szCs w:val="28"/>
        </w:rPr>
        <w:t xml:space="preserve">  військовозобов'язаних працівників.</w:t>
      </w:r>
    </w:p>
    <w:p w:rsidR="00FC0DF8" w:rsidRDefault="009D4C3E">
      <w:pPr>
        <w:tabs>
          <w:tab w:val="left" w:pos="567"/>
        </w:tabs>
        <w:ind w:firstLine="540"/>
        <w:jc w:val="both"/>
        <w:rPr>
          <w:bCs w:val="0"/>
        </w:rPr>
      </w:pPr>
      <w:r>
        <w:rPr>
          <w:bCs w:val="0"/>
          <w:color w:val="000000"/>
          <w:szCs w:val="28"/>
          <w:shd w:val="clear" w:color="auto" w:fill="FFFFFF"/>
        </w:rPr>
        <w:t>Здійснювалася робота щодо розгляду пропозицій, заяв, скарг громадян, надання роз’яснень з питань, що належать до компетенції управління.  Ведення особових справ працівників.</w:t>
      </w:r>
    </w:p>
    <w:p w:rsidR="00FC0DF8" w:rsidRDefault="009D4C3E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szCs w:val="28"/>
        </w:rPr>
        <w:tab/>
        <w:t>Управлінням персоналу</w:t>
      </w:r>
      <w:r>
        <w:rPr>
          <w:szCs w:val="28"/>
          <w:shd w:val="clear" w:color="auto" w:fill="FFFFFF"/>
        </w:rPr>
        <w:t xml:space="preserve">  розглянуто 1613 заяв щодо прийому на роботу, переведення, звільнення працівників, надання їм відпусток та матеріальних допомог. Підготовлено 971 розпорядження міського голови з кадрових питань, з них: </w:t>
      </w:r>
      <w:r>
        <w:rPr>
          <w:color w:val="191919"/>
          <w:szCs w:val="28"/>
          <w:shd w:val="clear" w:color="auto" w:fill="FFFFFF"/>
        </w:rPr>
        <w:t>18</w:t>
      </w:r>
      <w:r>
        <w:rPr>
          <w:color w:val="020202"/>
          <w:szCs w:val="28"/>
          <w:shd w:val="clear" w:color="auto" w:fill="FFFFFF"/>
        </w:rPr>
        <w:t xml:space="preserve"> щодо затвердження штатних ро</w:t>
      </w:r>
      <w:r>
        <w:rPr>
          <w:color w:val="020202"/>
          <w:szCs w:val="28"/>
          <w:shd w:val="clear" w:color="auto" w:fill="FFFFFF"/>
        </w:rPr>
        <w:t>зписів, положень, посадових інструкцій; 465</w:t>
      </w:r>
      <w:r>
        <w:rPr>
          <w:color w:val="020202"/>
          <w:szCs w:val="28"/>
        </w:rPr>
        <w:t xml:space="preserve"> – про прийняття, переведення, звільнення, стажування, заохочення (нагородження, преміювання), нарахування матеріальної допомоги, відпустки за власний рахунок; 472 – про щорічні оплачувані відпустки, короткостроко</w:t>
      </w:r>
      <w:r>
        <w:rPr>
          <w:color w:val="020202"/>
          <w:szCs w:val="28"/>
        </w:rPr>
        <w:t>ві відрядження в межах України та за кордон, 16 з адміністративно-господарських питань.</w:t>
      </w:r>
    </w:p>
    <w:p w:rsidR="00FC0DF8" w:rsidRDefault="009D4C3E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szCs w:val="28"/>
          <w:shd w:val="clear" w:color="auto" w:fill="FFFFFF"/>
        </w:rPr>
        <w:t xml:space="preserve">       </w:t>
      </w:r>
      <w:r>
        <w:rPr>
          <w:szCs w:val="28"/>
          <w:shd w:val="clear" w:color="auto" w:fill="FFFFFF"/>
        </w:rPr>
        <w:tab/>
      </w:r>
      <w:r>
        <w:rPr>
          <w:color w:val="000000"/>
          <w:szCs w:val="28"/>
          <w:shd w:val="clear" w:color="auto" w:fill="FFFFFF"/>
        </w:rPr>
        <w:t>Розглянуто 12 звернень громадян, 171 лист вхідної кореспонденції. Окрім того, протягом звітного періоду управлінням надано інформацію на 13 публічних запитів.</w:t>
      </w:r>
    </w:p>
    <w:p w:rsidR="00FC0DF8" w:rsidRDefault="009D4C3E">
      <w:pPr>
        <w:pStyle w:val="af7"/>
        <w:tabs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продовж ІІ кварталу 2025 року проведено 2 внутрішніх наради управління персоналу, підготовлено протоколи та 9 наказів управління персоналу з основної діяльності та кадрових питань.</w:t>
      </w:r>
    </w:p>
    <w:p w:rsidR="00FC0DF8" w:rsidRDefault="009D4C3E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Проводився моніторинг автоматизованої системи електронного обліку робочого </w:t>
      </w:r>
      <w:r>
        <w:rPr>
          <w:color w:val="000000"/>
          <w:szCs w:val="28"/>
          <w:shd w:val="clear" w:color="auto" w:fill="FFFFFF"/>
        </w:rPr>
        <w:t xml:space="preserve">часу щодо виявлення осіб, які вчинили порушення трудової дисципліни. </w:t>
      </w:r>
    </w:p>
    <w:p w:rsidR="00FC0DF8" w:rsidRDefault="009D4C3E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bCs w:val="0"/>
          <w:color w:val="C9211E"/>
          <w:szCs w:val="28"/>
          <w:shd w:val="clear" w:color="auto" w:fill="FFFFFF"/>
        </w:rPr>
        <w:tab/>
      </w:r>
      <w:r>
        <w:rPr>
          <w:szCs w:val="28"/>
        </w:rPr>
        <w:t>Працівники управління здійснювали роботу в обліковій системі «Кадри-</w:t>
      </w:r>
      <w:r>
        <w:rPr>
          <w:szCs w:val="28"/>
          <w:lang w:val="en-US"/>
        </w:rPr>
        <w:t>WEB</w:t>
      </w:r>
      <w:r>
        <w:rPr>
          <w:szCs w:val="28"/>
        </w:rPr>
        <w:t xml:space="preserve">» з метою її актуалізації. </w:t>
      </w:r>
    </w:p>
    <w:p w:rsidR="00FC0DF8" w:rsidRDefault="009D4C3E">
      <w:pPr>
        <w:tabs>
          <w:tab w:val="left" w:pos="567"/>
        </w:tabs>
        <w:ind w:firstLine="539"/>
        <w:jc w:val="both"/>
      </w:pPr>
      <w:r>
        <w:rPr>
          <w:rStyle w:val="a5"/>
          <w:b w:val="0"/>
          <w:color w:val="000000"/>
          <w:szCs w:val="28"/>
          <w:shd w:val="clear" w:color="auto" w:fill="FFFFFF"/>
        </w:rPr>
        <w:t xml:space="preserve">Готувалися довідки з місця роботи працівників, копії трудових книжок.  Окрім того, </w:t>
      </w:r>
      <w:r>
        <w:rPr>
          <w:rStyle w:val="a5"/>
          <w:b w:val="0"/>
          <w:color w:val="000000"/>
          <w:szCs w:val="28"/>
          <w:shd w:val="clear" w:color="auto" w:fill="FFFFFF"/>
        </w:rPr>
        <w:t>надавалися численні консультації та роз'яснення працівникам  виконавчих органів міської ради, керівникам підприємств,  організацій (установ, закладів), що належать до комунальної власності міської територіальної громади, з кадрових питань, з питань законод</w:t>
      </w:r>
      <w:r>
        <w:rPr>
          <w:rStyle w:val="a5"/>
          <w:b w:val="0"/>
          <w:color w:val="000000"/>
          <w:szCs w:val="28"/>
          <w:shd w:val="clear" w:color="auto" w:fill="FFFFFF"/>
        </w:rPr>
        <w:t>авства про працю та проходження служби в органах місцевого самоврядування.</w:t>
      </w:r>
    </w:p>
    <w:p w:rsidR="00FC0DF8" w:rsidRDefault="009D4C3E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b/>
          <w:color w:val="000000"/>
          <w:szCs w:val="28"/>
        </w:rPr>
        <w:t>2. Робота відділу розвитку персоналу.</w:t>
      </w:r>
    </w:p>
    <w:p w:rsidR="00FC0DF8" w:rsidRDefault="009D4C3E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Здійснювалася роботи щодо організації адаптації новопризначених працівників Луцької міської ради. Відповідно до Положення про організацію ада</w:t>
      </w:r>
      <w:r>
        <w:rPr>
          <w:color w:val="000000"/>
          <w:szCs w:val="28"/>
        </w:rPr>
        <w:t>птації новопризначених працівників Луцької міської ради, яке затверджено розпорядженням міського голови від  22.02.2023 №10-ра, упродовж звітного періоду здійснено адаптацію 8 новопризначених працівників департаментів з питань ветеранської політики, освіти</w:t>
      </w:r>
      <w:r>
        <w:rPr>
          <w:color w:val="000000"/>
          <w:szCs w:val="28"/>
        </w:rPr>
        <w:t>,</w:t>
      </w:r>
      <w:r>
        <w:rPr>
          <w:bCs w:val="0"/>
          <w:color w:val="000000"/>
          <w:szCs w:val="28"/>
        </w:rPr>
        <w:t xml:space="preserve"> житлово-комунального господарства, </w:t>
      </w:r>
      <w:r>
        <w:rPr>
          <w:color w:val="000000"/>
          <w:szCs w:val="28"/>
        </w:rPr>
        <w:t xml:space="preserve"> управлінь інформаційної роботи, персоналу, загального відділу.</w:t>
      </w:r>
    </w:p>
    <w:p w:rsidR="00FC0DF8" w:rsidRDefault="009D4C3E">
      <w:pPr>
        <w:pStyle w:val="af7"/>
        <w:tabs>
          <w:tab w:val="left" w:pos="56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Ведеться постійна робота щодо запровадження системності та безперервності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-освітньому процесі підвищення кваліфікації посадових осіб місцевого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самоврядування.</w:t>
      </w:r>
    </w:p>
    <w:p w:rsidR="00FC0DF8" w:rsidRDefault="009D4C3E">
      <w:pPr>
        <w:pStyle w:val="af7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плану внутрішнього навчання посадових осіб місцевого самоврядування виконавчих органів Луцької міської ради на 2025 рік упродовж звітного періоду було проведено  </w:t>
      </w:r>
      <w:r w:rsidRPr="009D4C3E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000000"/>
          <w:sz w:val="28"/>
          <w:szCs w:val="28"/>
        </w:rPr>
        <w:t>навчан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, у яких взяли участь 162 працівника виконавчих органі</w:t>
      </w:r>
      <w:r>
        <w:rPr>
          <w:rFonts w:ascii="Times New Roman" w:hAnsi="Times New Roman" w:cs="Times New Roman"/>
          <w:color w:val="000000"/>
          <w:sz w:val="28"/>
          <w:szCs w:val="28"/>
        </w:rPr>
        <w:t>в Луцької міської ради. Окрім того, поза  планом проведено внутрішнє навчання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Безбар’єрність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Етика взаємодії», яким охоплено 45 осіб, а також проведено навчання та перевірку знань з охорони праці для 25 працівників виконавчих органів міської ради. </w:t>
      </w:r>
    </w:p>
    <w:p w:rsidR="00FC0DF8" w:rsidRDefault="009D4C3E">
      <w:pPr>
        <w:pStyle w:val="af7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Згідн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планом-графіком підвищення кваліфікації державних службовців, посадових осіб місцевого самоврядування на 2025 рік відбулося 32 навчання за програмами постійно діючого та короткотермінового семінарів, у яких взяли участь та отримали свідоцтва про підвищ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ення кваліфікації 308 посадових осіб місцевого самоврядування.</w:t>
      </w:r>
    </w:p>
    <w:p w:rsidR="00FC0DF8" w:rsidRDefault="009D4C3E">
      <w:pPr>
        <w:pStyle w:val="af7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Під час  зовнішніх навчань посадові особи місцевого самоврядування Луцької міської ради працювали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програмами: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Командоутворення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командна робота», «Організація роботи фахівця із супроводу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ветеранів війни та демобілізованих осіб», «Європейська практика сталого розвитку міст і територій – можливості для України»,  «Публічні консультації: реалізація Закону України “Про публічні консультації” органами та посадовими особами місцевого самоврядува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ння», «Інструменти народовладдя та особливості їх запровадження», «Нові засади здійснення адміністративної процедури», «Усвідомлене застосування ресурсів та функціоналу кіберпростору»,                       «Е-демократія і комунікація», «Державна політика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сфері європейської та євроатлантичної інтеграції України», «Комунікації та взаємодія на публічній службі», «Дотримання прав людини та протидія дискримінації» тощо.</w:t>
      </w:r>
    </w:p>
    <w:p w:rsidR="00FC0DF8" w:rsidRDefault="009D4C3E">
      <w:pPr>
        <w:pStyle w:val="af7"/>
        <w:tabs>
          <w:tab w:val="left" w:pos="563"/>
        </w:tabs>
        <w:ind w:firstLine="567"/>
        <w:jc w:val="both"/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Окрім того, працівники виконавчих органів міської ради пройшли навчальні онлайн-курси «Пер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сональна 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кібергігієна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»,  «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Кібергігієна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 як захиститися від  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фішингу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», «Основи  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кібергігієни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», а також тестування «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Кіберграм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», «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Цифрограм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для державних службовців» на Єдиному державному </w:t>
      </w:r>
      <w:proofErr w:type="spellStart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вебпорталі</w:t>
      </w:r>
      <w:proofErr w:type="spellEnd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  цифрової  освіти  на платформі Дія «Освіта».</w:t>
      </w:r>
    </w:p>
    <w:p w:rsidR="00FC0DF8" w:rsidRDefault="009D4C3E">
      <w:pPr>
        <w:pStyle w:val="af8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29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працівників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виконавчих органів Луцької міської ради пройшли дистанційне навчання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за загальною професійною (сертифікатною) програмою підвищення кваліфікації посадових осіб місцевого самоврядування ІV-VІІ категорії посад (не рідше одного разу на три роки).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C0DF8" w:rsidRDefault="009D4C3E">
      <w:pPr>
        <w:tabs>
          <w:tab w:val="left" w:pos="570"/>
        </w:tabs>
        <w:jc w:val="both"/>
      </w:pPr>
      <w:r>
        <w:rPr>
          <w:rStyle w:val="a5"/>
          <w:b w:val="0"/>
          <w:color w:val="020202"/>
          <w:szCs w:val="28"/>
          <w:lang w:eastAsia="ru-RU"/>
        </w:rPr>
        <w:tab/>
      </w:r>
      <w:r>
        <w:rPr>
          <w:rStyle w:val="a5"/>
          <w:b w:val="0"/>
          <w:color w:val="020202"/>
          <w:szCs w:val="28"/>
          <w:lang w:eastAsia="ru-RU"/>
        </w:rPr>
        <w:t xml:space="preserve">Здійснювалася робота </w:t>
      </w:r>
      <w:r>
        <w:rPr>
          <w:rStyle w:val="a5"/>
          <w:b w:val="0"/>
          <w:color w:val="000000"/>
          <w:szCs w:val="28"/>
          <w:shd w:val="clear" w:color="auto" w:fill="FFFFFF"/>
          <w:lang w:eastAsia="ru-RU"/>
        </w:rPr>
        <w:t xml:space="preserve">щодо підготовки розпоряджень міського голови щодо службових </w:t>
      </w:r>
      <w:proofErr w:type="spellStart"/>
      <w:r>
        <w:rPr>
          <w:rStyle w:val="a5"/>
          <w:b w:val="0"/>
          <w:color w:val="000000"/>
          <w:szCs w:val="28"/>
          <w:shd w:val="clear" w:color="auto" w:fill="FFFFFF"/>
          <w:lang w:eastAsia="ru-RU"/>
        </w:rPr>
        <w:t>відряджень</w:t>
      </w:r>
      <w:proofErr w:type="spellEnd"/>
      <w:r>
        <w:rPr>
          <w:rStyle w:val="a5"/>
          <w:b w:val="0"/>
          <w:color w:val="000000"/>
          <w:szCs w:val="28"/>
          <w:shd w:val="clear" w:color="auto" w:fill="FFFFFF"/>
          <w:lang w:eastAsia="ru-RU"/>
        </w:rPr>
        <w:t xml:space="preserve">. </w:t>
      </w:r>
    </w:p>
    <w:p w:rsidR="00FC0DF8" w:rsidRDefault="009D4C3E">
      <w:pPr>
        <w:tabs>
          <w:tab w:val="left" w:pos="570"/>
        </w:tabs>
        <w:jc w:val="both"/>
      </w:pPr>
      <w:r>
        <w:rPr>
          <w:color w:val="000000"/>
          <w:szCs w:val="28"/>
        </w:rPr>
        <w:tab/>
        <w:t>Протягом звітного періоду підготовлено 69 розпоряджень міського голови про направлення працівників виконавчих органів міської ради у відрядження, з них 53 розпор</w:t>
      </w:r>
      <w:r>
        <w:rPr>
          <w:color w:val="000000"/>
          <w:szCs w:val="28"/>
        </w:rPr>
        <w:t xml:space="preserve">ядження про відрядження в межах України та 16 - за кордон. </w:t>
      </w:r>
    </w:p>
    <w:p w:rsidR="00FC0DF8" w:rsidRDefault="009D4C3E">
      <w:pPr>
        <w:pStyle w:val="af7"/>
        <w:tabs>
          <w:tab w:val="left" w:pos="630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 результатами службових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відряджень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працівники виконавчих органів міської ради взяли участь у Форумах зокрема: </w:t>
      </w:r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CDTO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Annual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Forum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Building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the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Government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of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Tomorrow</w:t>
      </w:r>
      <w:proofErr w:type="spellEnd"/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»;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 xml:space="preserve">третьому </w:t>
      </w:r>
      <w:proofErr w:type="spellStart"/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Lviv</w:t>
      </w:r>
      <w:proofErr w:type="spellEnd"/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urban</w:t>
      </w:r>
      <w:proofErr w:type="spellEnd"/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forum</w:t>
      </w:r>
      <w:proofErr w:type="spellEnd"/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;  Другому Міжнародному бізнес-форумі «</w:t>
      </w:r>
      <w:proofErr w:type="spellStart"/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Візія</w:t>
      </w:r>
      <w:proofErr w:type="spellEnd"/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 xml:space="preserve"> України 2030»;  національному форумі «Модернізація госпітальної мережі в Україні»;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Форумі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рекрутерів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 сил оборони України;  </w:t>
      </w:r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 xml:space="preserve"> Креативних Індустрій (</w:t>
      </w:r>
      <w:proofErr w:type="spellStart"/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Промприлад</w:t>
      </w:r>
      <w:proofErr w:type="spellEnd"/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. Реновація)  «Енергоефективність: шлях до енергетич</w:t>
      </w:r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 xml:space="preserve">ної безпеки та відновлення». Круглому столі «Впровадження </w:t>
      </w:r>
      <w:proofErr w:type="spellStart"/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учасницького</w:t>
      </w:r>
      <w:proofErr w:type="spellEnd"/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 xml:space="preserve"> моніторингу стратегічного планування відновлення і розвитку регіонів і територіальних громад», заході «MIRA.ART.PLATFORM», турнірі з </w:t>
      </w:r>
      <w:proofErr w:type="spellStart"/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ампфутболу</w:t>
      </w:r>
      <w:proofErr w:type="spellEnd"/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 xml:space="preserve"> серед аматорських команд «Весняний кубок </w:t>
      </w:r>
      <w:r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“Ліги Дужих” 2025 року»  тощо.</w:t>
      </w:r>
    </w:p>
    <w:p w:rsidR="00FC0DF8" w:rsidRDefault="009D4C3E">
      <w:pPr>
        <w:tabs>
          <w:tab w:val="left" w:pos="630"/>
        </w:tabs>
        <w:jc w:val="both"/>
        <w:rPr>
          <w:color w:val="050505"/>
          <w:szCs w:val="28"/>
          <w:shd w:val="clear" w:color="auto" w:fill="FFFFFF"/>
        </w:rPr>
      </w:pPr>
      <w:r>
        <w:rPr>
          <w:color w:val="050505"/>
          <w:szCs w:val="28"/>
          <w:shd w:val="clear" w:color="auto" w:fill="FFFFFF"/>
        </w:rPr>
        <w:tab/>
        <w:t xml:space="preserve">У межах закордонних </w:t>
      </w:r>
      <w:proofErr w:type="spellStart"/>
      <w:r>
        <w:rPr>
          <w:color w:val="050505"/>
          <w:szCs w:val="28"/>
          <w:shd w:val="clear" w:color="auto" w:fill="FFFFFF"/>
        </w:rPr>
        <w:t>відряджень</w:t>
      </w:r>
      <w:proofErr w:type="spellEnd"/>
      <w:r>
        <w:rPr>
          <w:color w:val="050505"/>
          <w:szCs w:val="28"/>
          <w:shd w:val="clear" w:color="auto" w:fill="FFFFFF"/>
        </w:rPr>
        <w:t xml:space="preserve"> працівники виконавчих органів міської ради долучилися до  Великоднього ярмарку в Етнографічному музеї                          м. Варшава (Республіка Польща),  третьої зустрічі Мережі демократи</w:t>
      </w:r>
      <w:r>
        <w:rPr>
          <w:color w:val="050505"/>
          <w:szCs w:val="28"/>
          <w:shd w:val="clear" w:color="auto" w:fill="FFFFFF"/>
        </w:rPr>
        <w:t>чної стійкості Шведського міжнародного центру місцевої демократії (ICLD) за підтримки Шведського Агентства з питань міжнародної співпраці та розвитку (SIDA). Взяли участь у навчальному візиті «Обмін знаннями та підвищення потенціалу досліджень навколишньог</w:t>
      </w:r>
      <w:r>
        <w:rPr>
          <w:color w:val="050505"/>
          <w:szCs w:val="28"/>
          <w:shd w:val="clear" w:color="auto" w:fill="FFFFFF"/>
        </w:rPr>
        <w:t xml:space="preserve">о середовища» до м. </w:t>
      </w:r>
      <w:proofErr w:type="spellStart"/>
      <w:r>
        <w:rPr>
          <w:color w:val="050505"/>
          <w:szCs w:val="28"/>
          <w:shd w:val="clear" w:color="auto" w:fill="FFFFFF"/>
        </w:rPr>
        <w:t>Регенсбурга</w:t>
      </w:r>
      <w:proofErr w:type="spellEnd"/>
      <w:r>
        <w:rPr>
          <w:color w:val="050505"/>
          <w:szCs w:val="28"/>
          <w:shd w:val="clear" w:color="auto" w:fill="FFFFFF"/>
        </w:rPr>
        <w:t xml:space="preserve"> (Федеративна Республіка Німеччина); щорічному заході Форуму YES та зустрічах робочої групи </w:t>
      </w:r>
      <w:proofErr w:type="spellStart"/>
      <w:r>
        <w:rPr>
          <w:color w:val="050505"/>
          <w:szCs w:val="28"/>
          <w:shd w:val="clear" w:color="auto" w:fill="FFFFFF"/>
        </w:rPr>
        <w:t>проєкту</w:t>
      </w:r>
      <w:proofErr w:type="spellEnd"/>
      <w:r>
        <w:rPr>
          <w:color w:val="050505"/>
          <w:szCs w:val="28"/>
          <w:shd w:val="clear" w:color="auto" w:fill="FFFFFF"/>
        </w:rPr>
        <w:t xml:space="preserve"> «Підвищення інтересу та впливу молоді на процес прийняття рішень у громаді» Шведського міжнародного центру місцевої демократі</w:t>
      </w:r>
      <w:r>
        <w:rPr>
          <w:color w:val="050505"/>
          <w:szCs w:val="28"/>
          <w:shd w:val="clear" w:color="auto" w:fill="FFFFFF"/>
        </w:rPr>
        <w:t xml:space="preserve">ї (ICLD) в м. </w:t>
      </w:r>
      <w:proofErr w:type="spellStart"/>
      <w:r>
        <w:rPr>
          <w:color w:val="050505"/>
          <w:szCs w:val="28"/>
          <w:shd w:val="clear" w:color="auto" w:fill="FFFFFF"/>
        </w:rPr>
        <w:t>Гронінген</w:t>
      </w:r>
      <w:proofErr w:type="spellEnd"/>
      <w:r>
        <w:rPr>
          <w:color w:val="050505"/>
          <w:szCs w:val="28"/>
          <w:shd w:val="clear" w:color="auto" w:fill="FFFFFF"/>
        </w:rPr>
        <w:t xml:space="preserve"> (Королівство Нідерланди);  7-ій Німецько-українській конференції муніципальних </w:t>
      </w:r>
      <w:proofErr w:type="spellStart"/>
      <w:r>
        <w:rPr>
          <w:color w:val="050505"/>
          <w:szCs w:val="28"/>
          <w:shd w:val="clear" w:color="auto" w:fill="FFFFFF"/>
        </w:rPr>
        <w:t>партнерств</w:t>
      </w:r>
      <w:proofErr w:type="spellEnd"/>
      <w:r>
        <w:rPr>
          <w:color w:val="050505"/>
          <w:szCs w:val="28"/>
          <w:shd w:val="clear" w:color="auto" w:fill="FFFFFF"/>
        </w:rPr>
        <w:t xml:space="preserve"> «Від солідарності до змін. Для України. Для Європи» в м. </w:t>
      </w:r>
      <w:proofErr w:type="spellStart"/>
      <w:r>
        <w:rPr>
          <w:color w:val="050505"/>
          <w:szCs w:val="28"/>
          <w:shd w:val="clear" w:color="auto" w:fill="FFFFFF"/>
        </w:rPr>
        <w:t>Мюнстер</w:t>
      </w:r>
      <w:proofErr w:type="spellEnd"/>
      <w:r>
        <w:rPr>
          <w:color w:val="050505"/>
          <w:szCs w:val="28"/>
          <w:shd w:val="clear" w:color="auto" w:fill="FFFFFF"/>
        </w:rPr>
        <w:t xml:space="preserve"> (ФРН). </w:t>
      </w:r>
    </w:p>
    <w:p w:rsidR="00FC0DF8" w:rsidRDefault="009D4C3E">
      <w:pPr>
        <w:tabs>
          <w:tab w:val="left" w:pos="630"/>
        </w:tabs>
        <w:jc w:val="both"/>
        <w:rPr>
          <w:color w:val="050505"/>
          <w:szCs w:val="28"/>
          <w:shd w:val="clear" w:color="auto" w:fill="FFFFFF"/>
        </w:rPr>
      </w:pPr>
      <w:r>
        <w:rPr>
          <w:color w:val="050505"/>
          <w:szCs w:val="28"/>
          <w:shd w:val="clear" w:color="auto" w:fill="FFFFFF"/>
        </w:rPr>
        <w:tab/>
        <w:t>Брали участь у заходах з нагоди дня міст іноземних партнерів, а саме</w:t>
      </w:r>
      <w:r>
        <w:rPr>
          <w:color w:val="050505"/>
          <w:szCs w:val="28"/>
          <w:shd w:val="clear" w:color="auto" w:fill="FFFFFF"/>
        </w:rPr>
        <w:t xml:space="preserve">: у фестивалі Моцарта в місті </w:t>
      </w:r>
      <w:proofErr w:type="spellStart"/>
      <w:r>
        <w:rPr>
          <w:color w:val="050505"/>
          <w:szCs w:val="28"/>
          <w:shd w:val="clear" w:color="auto" w:fill="FFFFFF"/>
        </w:rPr>
        <w:t>Вюрцбург</w:t>
      </w:r>
      <w:proofErr w:type="spellEnd"/>
      <w:r>
        <w:rPr>
          <w:color w:val="050505"/>
          <w:szCs w:val="28"/>
          <w:shd w:val="clear" w:color="auto" w:fill="FFFFFF"/>
        </w:rPr>
        <w:t xml:space="preserve"> (Німеччина), фестивалі «</w:t>
      </w:r>
      <w:proofErr w:type="spellStart"/>
      <w:r>
        <w:rPr>
          <w:color w:val="050505"/>
          <w:szCs w:val="28"/>
          <w:shd w:val="clear" w:color="auto" w:fill="FFFFFF"/>
        </w:rPr>
        <w:t>Тракайське</w:t>
      </w:r>
      <w:proofErr w:type="spellEnd"/>
      <w:r>
        <w:rPr>
          <w:color w:val="050505"/>
          <w:szCs w:val="28"/>
          <w:shd w:val="clear" w:color="auto" w:fill="FFFFFF"/>
        </w:rPr>
        <w:t xml:space="preserve"> літо 2025», «</w:t>
      </w:r>
      <w:proofErr w:type="spellStart"/>
      <w:r>
        <w:rPr>
          <w:color w:val="050505"/>
          <w:szCs w:val="28"/>
          <w:shd w:val="clear" w:color="auto" w:fill="FFFFFF"/>
        </w:rPr>
        <w:t>Tauro</w:t>
      </w:r>
      <w:proofErr w:type="spellEnd"/>
      <w:r>
        <w:rPr>
          <w:color w:val="050505"/>
          <w:szCs w:val="28"/>
          <w:shd w:val="clear" w:color="auto" w:fill="FFFFFF"/>
        </w:rPr>
        <w:t xml:space="preserve"> </w:t>
      </w:r>
      <w:proofErr w:type="spellStart"/>
      <w:r>
        <w:rPr>
          <w:color w:val="050505"/>
          <w:szCs w:val="28"/>
          <w:shd w:val="clear" w:color="auto" w:fill="FFFFFF"/>
        </w:rPr>
        <w:t>Ragas</w:t>
      </w:r>
      <w:proofErr w:type="spellEnd"/>
      <w:r>
        <w:rPr>
          <w:color w:val="050505"/>
          <w:szCs w:val="28"/>
          <w:shd w:val="clear" w:color="auto" w:fill="FFFFFF"/>
        </w:rPr>
        <w:t xml:space="preserve"> 2025» (Литовська Республіка).</w:t>
      </w:r>
    </w:p>
    <w:p w:rsidR="00FC0DF8" w:rsidRDefault="009D4C3E">
      <w:pPr>
        <w:tabs>
          <w:tab w:val="left" w:pos="630"/>
        </w:tabs>
        <w:jc w:val="both"/>
        <w:rPr>
          <w:color w:val="050505"/>
          <w:szCs w:val="28"/>
          <w:shd w:val="clear" w:color="auto" w:fill="FFFFFF"/>
        </w:rPr>
      </w:pPr>
      <w:r>
        <w:rPr>
          <w:color w:val="050505"/>
          <w:szCs w:val="28"/>
          <w:shd w:val="clear" w:color="auto" w:fill="FFFFFF"/>
        </w:rPr>
        <w:tab/>
        <w:t xml:space="preserve">У межах реалізації положень Угоди про побратимство між містами Луцьк і </w:t>
      </w:r>
      <w:proofErr w:type="spellStart"/>
      <w:r>
        <w:rPr>
          <w:color w:val="050505"/>
          <w:szCs w:val="28"/>
          <w:shd w:val="clear" w:color="auto" w:fill="FFFFFF"/>
        </w:rPr>
        <w:t>Вюрцбург</w:t>
      </w:r>
      <w:proofErr w:type="spellEnd"/>
      <w:r>
        <w:rPr>
          <w:color w:val="050505"/>
          <w:szCs w:val="28"/>
          <w:shd w:val="clear" w:color="auto" w:fill="FFFFFF"/>
        </w:rPr>
        <w:t xml:space="preserve"> (ФРН) забезпечено доставлення гуманітарної доп</w:t>
      </w:r>
      <w:r>
        <w:rPr>
          <w:color w:val="050505"/>
          <w:szCs w:val="28"/>
          <w:shd w:val="clear" w:color="auto" w:fill="FFFFFF"/>
        </w:rPr>
        <w:t>омоги у вигляді транспортного засобу.</w:t>
      </w:r>
    </w:p>
    <w:p w:rsidR="00FC0DF8" w:rsidRDefault="009D4C3E">
      <w:pPr>
        <w:tabs>
          <w:tab w:val="left" w:pos="630"/>
        </w:tabs>
        <w:jc w:val="both"/>
        <w:rPr>
          <w:color w:val="050505"/>
          <w:szCs w:val="28"/>
          <w:shd w:val="clear" w:color="auto" w:fill="FFFFFF"/>
        </w:rPr>
      </w:pPr>
      <w:r>
        <w:rPr>
          <w:color w:val="050505"/>
          <w:szCs w:val="28"/>
          <w:shd w:val="clear" w:color="auto" w:fill="FFFFFF"/>
        </w:rPr>
        <w:tab/>
        <w:t xml:space="preserve">Відбулося ряд службових </w:t>
      </w:r>
      <w:proofErr w:type="spellStart"/>
      <w:r>
        <w:rPr>
          <w:color w:val="050505"/>
          <w:szCs w:val="28"/>
          <w:shd w:val="clear" w:color="auto" w:fill="FFFFFF"/>
        </w:rPr>
        <w:t>відряджень</w:t>
      </w:r>
      <w:proofErr w:type="spellEnd"/>
      <w:r>
        <w:rPr>
          <w:color w:val="050505"/>
          <w:szCs w:val="28"/>
          <w:shd w:val="clear" w:color="auto" w:fill="FFFFFF"/>
        </w:rPr>
        <w:t xml:space="preserve"> спрямованих на обмін досвідом, зокрема:  щодо передових практик, які впроваджені у соціальній сфері, сфері надання адміністративних послуг, туристичній галузі,  реалізації ветеранськ</w:t>
      </w:r>
      <w:r>
        <w:rPr>
          <w:color w:val="050505"/>
          <w:szCs w:val="28"/>
          <w:shd w:val="clear" w:color="auto" w:fill="FFFFFF"/>
        </w:rPr>
        <w:t>ої політики.</w:t>
      </w:r>
    </w:p>
    <w:p w:rsidR="00FC0DF8" w:rsidRDefault="009D4C3E">
      <w:pPr>
        <w:tabs>
          <w:tab w:val="left" w:pos="630"/>
        </w:tabs>
        <w:jc w:val="both"/>
        <w:rPr>
          <w:color w:val="050505"/>
          <w:szCs w:val="28"/>
          <w:shd w:val="clear" w:color="auto" w:fill="FFFFFF"/>
        </w:rPr>
      </w:pPr>
      <w:r>
        <w:rPr>
          <w:color w:val="050505"/>
          <w:szCs w:val="28"/>
          <w:shd w:val="clear" w:color="auto" w:fill="FFFFFF"/>
        </w:rPr>
        <w:t xml:space="preserve"> </w:t>
      </w:r>
      <w:r>
        <w:rPr>
          <w:color w:val="050505"/>
          <w:szCs w:val="28"/>
          <w:shd w:val="clear" w:color="auto" w:fill="FFFFFF"/>
        </w:rPr>
        <w:tab/>
        <w:t xml:space="preserve">Окрім того, службові відрядження працівників були з метою участі  у навчальному семінарі щодо оптимізації роботи та нових можливостей в ЄІССС; Всеукраїнській сесії рішень: реформи транспорту, цифрові системи, нове законодавство; тренінгу </w:t>
      </w:r>
      <w:r>
        <w:rPr>
          <w:color w:val="050505"/>
          <w:szCs w:val="28"/>
          <w:shd w:val="clear" w:color="auto" w:fill="FFFFFF"/>
        </w:rPr>
        <w:t xml:space="preserve">«Закупівлі в </w:t>
      </w:r>
      <w:proofErr w:type="spellStart"/>
      <w:r>
        <w:rPr>
          <w:color w:val="050505"/>
          <w:szCs w:val="28"/>
          <w:shd w:val="clear" w:color="auto" w:fill="FFFFFF"/>
        </w:rPr>
        <w:t>проєктах</w:t>
      </w:r>
      <w:proofErr w:type="spellEnd"/>
      <w:r>
        <w:rPr>
          <w:color w:val="050505"/>
          <w:szCs w:val="28"/>
          <w:shd w:val="clear" w:color="auto" w:fill="FFFFFF"/>
        </w:rPr>
        <w:t>»; засіданні секції з питань освіти Асоціації міст України  тощо.</w:t>
      </w:r>
    </w:p>
    <w:p w:rsidR="00FC0DF8" w:rsidRDefault="009D4C3E">
      <w:pPr>
        <w:pStyle w:val="af7"/>
        <w:ind w:firstLine="709"/>
        <w:jc w:val="both"/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Також у межах службових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відряджень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рацівники виконавчих органів міської ради брали участь у судових засіданнях.</w:t>
      </w:r>
    </w:p>
    <w:p w:rsidR="00FC0DF8" w:rsidRDefault="009D4C3E">
      <w:pPr>
        <w:pStyle w:val="western"/>
        <w:spacing w:before="0" w:after="0" w:line="240" w:lineRule="auto"/>
        <w:ind w:firstLine="539"/>
        <w:jc w:val="both"/>
        <w:rPr>
          <w:bCs w:val="0"/>
        </w:rPr>
      </w:pPr>
      <w:r>
        <w:rPr>
          <w:rFonts w:ascii="Times New Roman" w:hAnsi="Times New Roman" w:cs="Times New Roman"/>
          <w:bCs w:val="0"/>
          <w:color w:val="050505"/>
          <w:sz w:val="28"/>
          <w:szCs w:val="28"/>
          <w:shd w:val="clear" w:color="auto" w:fill="FFFFFF"/>
        </w:rPr>
        <w:t xml:space="preserve">Здійснювалася робота з молоддю, що навчається або </w:t>
      </w:r>
      <w:r>
        <w:rPr>
          <w:rFonts w:ascii="Times New Roman" w:hAnsi="Times New Roman" w:cs="Times New Roman"/>
          <w:bCs w:val="0"/>
          <w:color w:val="050505"/>
          <w:sz w:val="28"/>
          <w:szCs w:val="28"/>
          <w:shd w:val="clear" w:color="auto" w:fill="FFFFFF"/>
        </w:rPr>
        <w:t>закінчує вищі навчальні заклади, для проходження стажування та практики у виконавчих органах міської ради.</w:t>
      </w:r>
    </w:p>
    <w:p w:rsidR="00FC0DF8" w:rsidRDefault="009D4C3E">
      <w:pPr>
        <w:pStyle w:val="af7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укладених договорів про проведення практики здобувачів вищої освіти на 2024-2025 навчальний рік проведено  практику для 23 здобувачів в</w:t>
      </w:r>
      <w:r>
        <w:rPr>
          <w:rFonts w:ascii="Times New Roman" w:hAnsi="Times New Roman" w:cs="Times New Roman"/>
          <w:sz w:val="28"/>
          <w:szCs w:val="28"/>
        </w:rPr>
        <w:t xml:space="preserve">ищої освіти Волинського національного університету імені Лесі Українки, Державного податкового університету, Луцького національного технічного університету. Практика відбувалася у юридичному департаменті, департаментах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надання адміністративних послу</w:t>
      </w:r>
      <w:r>
        <w:rPr>
          <w:rFonts w:ascii="Times New Roman" w:hAnsi="Times New Roman" w:cs="Times New Roman"/>
          <w:sz w:val="28"/>
          <w:szCs w:val="28"/>
        </w:rPr>
        <w:t>г у місті Луцьку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>,   житлово-комунального господарства, соціальної політики,  з питань ветеранської політики, управліннях соціальних служб для сім'ї, дітей та молоді, інформаційно-комунікаційних технологій,  міжнародного співробітництва та проектної діяльн</w:t>
      </w:r>
      <w:r>
        <w:rPr>
          <w:rFonts w:ascii="Times New Roman" w:hAnsi="Times New Roman" w:cs="Times New Roman"/>
          <w:sz w:val="28"/>
          <w:szCs w:val="28"/>
        </w:rPr>
        <w:t xml:space="preserve">ості міської ради. </w:t>
      </w:r>
    </w:p>
    <w:p w:rsidR="00FC0DF8" w:rsidRDefault="009D4C3E">
      <w:pPr>
        <w:pStyle w:val="af7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Загалом під час практики здобувачі вищої освіти ознайомилися із засадами управлінської діяльності, опрацьовували нормативно-правові акти, положення про виконавчі органи та посадові інструкції посадових осіб, Регламент роботи виконавчого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комітету та виконавчих органів Луцької міської ради тощо. Варто відзначити, що один здобувач вищої освіти Волинського національного  університету імені Лесі Українки був призначений на посаду головного спеціаліста департаменту житлово-комунального господа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рства.</w:t>
      </w:r>
    </w:p>
    <w:p w:rsidR="00FC0DF8" w:rsidRDefault="009D4C3E">
      <w:pPr>
        <w:pStyle w:val="af7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Окрім того, відповідно до укладеного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Договору про проходження стажування (підвищення кваліфікації) з  Луцьким національним технічним університетом 2 науково-педагогічних працівників цього університету пройшли  стажування (підвищення кваліфікації)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департаменті економічної політики та управлінні соціальних служб для сім'ї, дітей та молоді.</w:t>
      </w:r>
    </w:p>
    <w:p w:rsidR="00FC0DF8" w:rsidRDefault="009D4C3E">
      <w:pPr>
        <w:pStyle w:val="western"/>
        <w:spacing w:before="0" w:after="0" w:line="240" w:lineRule="auto"/>
        <w:ind w:firstLine="539"/>
        <w:jc w:val="both"/>
        <w:rPr>
          <w:bCs w:val="0"/>
        </w:rPr>
      </w:pPr>
      <w:r>
        <w:rPr>
          <w:rFonts w:ascii="Times New Roman" w:hAnsi="Times New Roman" w:cs="Times New Roman"/>
          <w:bCs w:val="0"/>
          <w:color w:val="050505"/>
          <w:sz w:val="28"/>
          <w:szCs w:val="28"/>
          <w:shd w:val="clear" w:color="auto" w:fill="FFFFFF"/>
        </w:rPr>
        <w:t>Здійснювалася підготовка матеріалів та надання пропозицій міському голові щодо заохочення та нагородження працівників.</w:t>
      </w:r>
    </w:p>
    <w:p w:rsidR="00FC0DF8" w:rsidRDefault="009D4C3E">
      <w:pPr>
        <w:pStyle w:val="af7"/>
        <w:tabs>
          <w:tab w:val="left" w:pos="563"/>
        </w:tabs>
        <w:jc w:val="both"/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рішення Луцької міської ради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від 22.12.2021 № 24/119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bidi="ar-SA"/>
        </w:rPr>
        <w:t>«</w:t>
      </w:r>
      <w:r>
        <w:rPr>
          <w:rFonts w:ascii="Times New Roman" w:hAnsi="Times New Roman" w:cs="Times New Roman"/>
          <w:sz w:val="28"/>
          <w:szCs w:val="28"/>
          <w:lang w:bidi="ar-SA"/>
        </w:rPr>
        <w:t>Про затвердження Програми розвитку культури Луцької міської територіальної громади на 2022-2025 роки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bidi="ar-SA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Положення про відзнаки міського голови, затвердженого  розпорядженням  міського  голови  від  01.06.2021 №111-ра, Положення про </w:t>
      </w:r>
      <w:r>
        <w:rPr>
          <w:rFonts w:ascii="Times New Roman" w:hAnsi="Times New Roman" w:cs="Times New Roman"/>
          <w:sz w:val="28"/>
          <w:szCs w:val="28"/>
        </w:rPr>
        <w:t xml:space="preserve">Почесну грамоту Луцької міської ради в новій редакції, затвердженого рішенням Луцької міської ради від 23.06.2021 №13/107,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протягом звітного періоду управлінням підготовлено 116 нагородних матеріалів, для відзначення осіб та колективів підприємств і органі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зацій громади різних форм власності.</w:t>
      </w:r>
    </w:p>
    <w:p w:rsidR="00FC0DF8" w:rsidRDefault="009D4C3E">
      <w:pPr>
        <w:pStyle w:val="af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А саме:</w:t>
      </w:r>
    </w:p>
    <w:p w:rsidR="00FC0DF8" w:rsidRDefault="009D4C3E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Почесних грамот Луцької міської ради;</w:t>
      </w:r>
    </w:p>
    <w:p w:rsidR="00FC0DF8" w:rsidRDefault="009D4C3E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89 Подяк міського голови особам та колективам;</w:t>
      </w:r>
    </w:p>
    <w:p w:rsidR="00FC0DF8" w:rsidRDefault="009D4C3E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 Почесних грамот міського голови;</w:t>
      </w:r>
    </w:p>
    <w:p w:rsidR="00FC0DF8" w:rsidRDefault="009D4C3E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Вітальних адреси.</w:t>
      </w:r>
    </w:p>
    <w:p w:rsidR="00FC0DF8" w:rsidRDefault="009D4C3E">
      <w:pPr>
        <w:pStyle w:val="western"/>
        <w:spacing w:before="0" w:after="0" w:line="240" w:lineRule="auto"/>
        <w:ind w:firstLine="539"/>
        <w:jc w:val="both"/>
        <w:rPr>
          <w:bCs w:val="0"/>
        </w:rPr>
      </w:pPr>
      <w:r>
        <w:rPr>
          <w:rFonts w:ascii="Times New Roman" w:hAnsi="Times New Roman" w:cs="Times New Roman"/>
          <w:bCs w:val="0"/>
          <w:color w:val="050505"/>
          <w:sz w:val="28"/>
          <w:szCs w:val="28"/>
          <w:shd w:val="clear" w:color="auto" w:fill="FFFFFF"/>
        </w:rPr>
        <w:t>Окрім того, з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метою відзначення осіб, які виявили 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героїзм, самовідданість, рішучі дії під час надзвичайної ситуації або захисту життя і безпеки інших </w:t>
      </w:r>
      <w:r>
        <w:rPr>
          <w:rFonts w:ascii="Times New Roman" w:hAnsi="Times New Roman" w:cs="Times New Roman"/>
          <w:bCs w:val="0"/>
          <w:color w:val="050505"/>
          <w:sz w:val="28"/>
          <w:szCs w:val="28"/>
          <w:shd w:val="clear" w:color="auto" w:fill="FFFFFF"/>
        </w:rPr>
        <w:t>розроблено Положення про матеріальну винагороду за мужність та відвагу (розпорядженням міського голови від 13.06.2025 № 67-ра), відповідно  до якого забезпе</w:t>
      </w:r>
      <w:r>
        <w:rPr>
          <w:rFonts w:ascii="Times New Roman" w:hAnsi="Times New Roman" w:cs="Times New Roman"/>
          <w:bCs w:val="0"/>
          <w:color w:val="050505"/>
          <w:sz w:val="28"/>
          <w:szCs w:val="28"/>
          <w:shd w:val="clear" w:color="auto" w:fill="FFFFFF"/>
        </w:rPr>
        <w:t>чено нагородження матеріальною винагородою за самовідданість, героїзм проявлений під час ліквідації наслідків руйнувань від ворожих обстрілів осіб з числа особового складу Головного управління ДСНС України у Волинській області, Луцького районного управлінн</w:t>
      </w:r>
      <w:r>
        <w:rPr>
          <w:rFonts w:ascii="Times New Roman" w:hAnsi="Times New Roman" w:cs="Times New Roman"/>
          <w:bCs w:val="0"/>
          <w:color w:val="050505"/>
          <w:sz w:val="28"/>
          <w:szCs w:val="28"/>
          <w:shd w:val="clear" w:color="auto" w:fill="FFFFFF"/>
        </w:rPr>
        <w:t>я поліції Головного управління Національної поліції у Волинській області, військової частини 1141 Національної гвардії України, працівників Комунального підприємства «Волинський обласний центр екстреної медичної допомоги та медицини катастроф» Волинської о</w:t>
      </w:r>
      <w:r>
        <w:rPr>
          <w:rFonts w:ascii="Times New Roman" w:hAnsi="Times New Roman" w:cs="Times New Roman"/>
          <w:bCs w:val="0"/>
          <w:color w:val="050505"/>
          <w:sz w:val="28"/>
          <w:szCs w:val="28"/>
          <w:shd w:val="clear" w:color="auto" w:fill="FFFFFF"/>
        </w:rPr>
        <w:t xml:space="preserve">бласної ради. </w:t>
      </w:r>
    </w:p>
    <w:p w:rsidR="00FC0DF8" w:rsidRDefault="009D4C3E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>Працівниками відділу розвитку персоналу здійснювалася робота щодо виготовлення посвідчення-ідентифікатора працівникам виконавчих органів міської ради, загалом видано 44 посвідчення: новопризначеним працівникам, а також оновлені посвідчення п</w:t>
      </w:r>
      <w:r>
        <w:rPr>
          <w:color w:val="000000"/>
          <w:szCs w:val="28"/>
          <w:shd w:val="clear" w:color="auto" w:fill="FFFFFF"/>
        </w:rPr>
        <w:t xml:space="preserve">рацівників департаменту «Центр надання адміністративних послуг міста Луцька», відповідно до нових штатних розписів. </w:t>
      </w:r>
    </w:p>
    <w:p w:rsidR="00FC0DF8" w:rsidRDefault="009D4C3E">
      <w:pPr>
        <w:tabs>
          <w:tab w:val="left" w:pos="630"/>
          <w:tab w:val="left" w:pos="8850"/>
        </w:tabs>
        <w:ind w:right="-170"/>
        <w:jc w:val="both"/>
      </w:pPr>
      <w:r>
        <w:rPr>
          <w:b/>
          <w:color w:val="000000"/>
          <w:szCs w:val="28"/>
          <w:shd w:val="clear" w:color="auto" w:fill="FFFFFF"/>
        </w:rPr>
        <w:tab/>
        <w:t>3. Робота відділу з питань запобігання та виявлення корупції.</w:t>
      </w:r>
    </w:p>
    <w:p w:rsidR="00FC0DF8" w:rsidRDefault="009D4C3E">
      <w:pPr>
        <w:tabs>
          <w:tab w:val="left" w:pos="625"/>
        </w:tabs>
        <w:ind w:firstLine="567"/>
        <w:jc w:val="both"/>
      </w:pPr>
      <w:r>
        <w:rPr>
          <w:bCs w:val="0"/>
          <w:color w:val="000000"/>
          <w:szCs w:val="28"/>
        </w:rPr>
        <w:t xml:space="preserve">Працівником відділу з питань запобігання та виявлення корупції </w:t>
      </w:r>
      <w:r>
        <w:rPr>
          <w:bCs w:val="0"/>
          <w:szCs w:val="28"/>
        </w:rPr>
        <w:t>управління пе</w:t>
      </w:r>
      <w:r>
        <w:rPr>
          <w:bCs w:val="0"/>
          <w:szCs w:val="28"/>
        </w:rPr>
        <w:t>рсоналу</w:t>
      </w:r>
      <w:r>
        <w:rPr>
          <w:bCs w:val="0"/>
          <w:color w:val="000000"/>
          <w:szCs w:val="28"/>
        </w:rPr>
        <w:t xml:space="preserve"> Луцької міської ради </w:t>
      </w:r>
      <w:r>
        <w:rPr>
          <w:bCs w:val="0"/>
          <w:szCs w:val="28"/>
        </w:rPr>
        <w:t>надавались</w:t>
      </w:r>
      <w:r>
        <w:rPr>
          <w:bCs w:val="0"/>
          <w:color w:val="000000"/>
          <w:szCs w:val="28"/>
        </w:rPr>
        <w:t xml:space="preserve"> усні та письмові консультації щодо застосування антикорупційного законодавства </w:t>
      </w:r>
      <w:bookmarkStart w:id="0" w:name="__DdeLink__3230_1907269227"/>
      <w:r>
        <w:rPr>
          <w:bCs w:val="0"/>
          <w:color w:val="000000"/>
          <w:szCs w:val="28"/>
        </w:rPr>
        <w:t>працівникам виконавчих органів міської ради, депутатам міської ради, посадовим особам підприємств, організацій (установ, закладів), що на</w:t>
      </w:r>
      <w:r>
        <w:rPr>
          <w:bCs w:val="0"/>
          <w:color w:val="000000"/>
          <w:szCs w:val="28"/>
        </w:rPr>
        <w:t>лежать до комунальної власності міської територіальної громади</w:t>
      </w:r>
      <w:bookmarkEnd w:id="0"/>
      <w:r>
        <w:rPr>
          <w:bCs w:val="0"/>
          <w:color w:val="000000"/>
          <w:szCs w:val="28"/>
        </w:rPr>
        <w:t>.</w:t>
      </w:r>
    </w:p>
    <w:p w:rsidR="00FC0DF8" w:rsidRDefault="009D4C3E">
      <w:pPr>
        <w:widowControl w:val="0"/>
        <w:ind w:firstLine="709"/>
        <w:jc w:val="both"/>
      </w:pPr>
      <w:r>
        <w:rPr>
          <w:rFonts w:eastAsia="Tahoma"/>
          <w:bCs w:val="0"/>
          <w:color w:val="auto"/>
          <w:szCs w:val="28"/>
          <w:lang w:bidi="hi-IN"/>
        </w:rPr>
        <w:t xml:space="preserve">Здійснювалась робота щодо реалізації Антикорупційної програми Луцької міської ради на 2024-2026 роки, яка затверджена рішенням Луцької міської ради від 20.12.2023 № 54/2. </w:t>
      </w:r>
    </w:p>
    <w:p w:rsidR="00FC0DF8" w:rsidRDefault="009D4C3E">
      <w:pPr>
        <w:widowControl w:val="0"/>
        <w:ind w:firstLine="709"/>
        <w:jc w:val="both"/>
      </w:pPr>
      <w:r>
        <w:rPr>
          <w:bCs w:val="0"/>
          <w:color w:val="auto"/>
          <w:szCs w:val="28"/>
        </w:rPr>
        <w:t xml:space="preserve">На виконання положень Закону України </w:t>
      </w:r>
      <w:r>
        <w:rPr>
          <w:bCs w:val="0"/>
          <w:color w:val="050505"/>
          <w:szCs w:val="28"/>
          <w:shd w:val="clear" w:color="auto" w:fill="FFFFFF"/>
        </w:rPr>
        <w:t>«</w:t>
      </w:r>
      <w:r>
        <w:rPr>
          <w:bCs w:val="0"/>
          <w:color w:val="auto"/>
          <w:szCs w:val="28"/>
        </w:rPr>
        <w:t>Про очищення влади</w:t>
      </w:r>
      <w:r>
        <w:rPr>
          <w:bCs w:val="0"/>
          <w:color w:val="050505"/>
          <w:szCs w:val="28"/>
          <w:shd w:val="clear" w:color="auto" w:fill="FFFFFF"/>
        </w:rPr>
        <w:t>»</w:t>
      </w:r>
      <w:r>
        <w:rPr>
          <w:bCs w:val="0"/>
          <w:color w:val="auto"/>
          <w:szCs w:val="28"/>
        </w:rPr>
        <w:t xml:space="preserve">  надіслано 7 запитів та повідомлень про початок проходження перевірки, передбаченої Законом України </w:t>
      </w:r>
      <w:r>
        <w:rPr>
          <w:bCs w:val="0"/>
          <w:color w:val="050505"/>
          <w:szCs w:val="28"/>
          <w:shd w:val="clear" w:color="auto" w:fill="FFFFFF"/>
        </w:rPr>
        <w:t>«</w:t>
      </w:r>
      <w:r>
        <w:rPr>
          <w:bCs w:val="0"/>
          <w:color w:val="auto"/>
          <w:szCs w:val="28"/>
        </w:rPr>
        <w:t>Про очищення влади</w:t>
      </w:r>
      <w:r>
        <w:rPr>
          <w:bCs w:val="0"/>
          <w:color w:val="050505"/>
          <w:szCs w:val="28"/>
          <w:shd w:val="clear" w:color="auto" w:fill="FFFFFF"/>
        </w:rPr>
        <w:t>»</w:t>
      </w:r>
      <w:r>
        <w:rPr>
          <w:bCs w:val="0"/>
          <w:color w:val="auto"/>
          <w:szCs w:val="28"/>
        </w:rPr>
        <w:t>, до Західного міжрегіонального управління Міністерства юстиції</w:t>
      </w:r>
      <w:r>
        <w:rPr>
          <w:rFonts w:ascii="Calibri;Century Gothic" w:hAnsi="Calibri;Century Gothic" w:cs="Calibri;Century Gothic"/>
          <w:bCs w:val="0"/>
          <w:iCs/>
          <w:color w:val="auto"/>
          <w:szCs w:val="28"/>
        </w:rPr>
        <w:t>.</w:t>
      </w:r>
      <w:r>
        <w:rPr>
          <w:bCs w:val="0"/>
          <w:color w:val="auto"/>
          <w:szCs w:val="28"/>
        </w:rPr>
        <w:t xml:space="preserve"> </w:t>
      </w:r>
    </w:p>
    <w:p w:rsidR="00FC0DF8" w:rsidRDefault="009D4C3E">
      <w:pPr>
        <w:pStyle w:val="af7"/>
        <w:ind w:firstLine="709"/>
        <w:jc w:val="both"/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4. Робота ві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дділу документального забезпечення.</w:t>
      </w:r>
    </w:p>
    <w:p w:rsidR="00FC0DF8" w:rsidRDefault="009D4C3E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Працівниками відділу документального забезпечення управління персоналу, які працюють на віддалених робочих місцях. </w:t>
      </w:r>
    </w:p>
    <w:p w:rsidR="00FC0DF8" w:rsidRDefault="009D4C3E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Організовано та забезпечено документаційне та організаційно-технічне обслуговування діяльності старости </w:t>
      </w:r>
      <w:r>
        <w:rPr>
          <w:rFonts w:ascii="Times New Roman" w:hAnsi="Times New Roman" w:cs="Times New Roman"/>
          <w:sz w:val="28"/>
          <w:szCs w:val="28"/>
        </w:rPr>
        <w:t xml:space="preserve">(забезпечено реєстрацію та попередній розгляд звернень громадян, на які підготовлено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відповідей, довідок, актів різного типу, характеристик, виписок,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довіреностей та документів для вчинення нотаріальних дій; проведено реєстрацію вхідної до</w:t>
      </w:r>
      <w:r>
        <w:rPr>
          <w:rFonts w:ascii="Times New Roman" w:hAnsi="Times New Roman" w:cs="Times New Roman"/>
          <w:sz w:val="28"/>
          <w:szCs w:val="28"/>
        </w:rPr>
        <w:t xml:space="preserve">кументації, на які підготовлено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листів), а також роботу щодо ведення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обліку. </w:t>
      </w:r>
    </w:p>
    <w:p w:rsidR="00FC0DF8" w:rsidRDefault="009D4C3E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інформаційно-консультаційну роботу серед власників тварин з питань отримання дотацій за вирощування молодняку великої рогатої худоби, а також в</w:t>
      </w:r>
      <w:r>
        <w:rPr>
          <w:rFonts w:ascii="Times New Roman" w:hAnsi="Times New Roman" w:cs="Times New Roman"/>
          <w:sz w:val="28"/>
          <w:szCs w:val="28"/>
        </w:rPr>
        <w:t xml:space="preserve">ласників особистих селянських господарств, які утримують корів. </w:t>
      </w:r>
    </w:p>
    <w:p w:rsidR="00FC0DF8" w:rsidRDefault="009D4C3E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Надавалася допомога департаменту містобудування, земельних ресурсів та реклами у присвоєнні адрес об'єктам будівництва та нерухомого майна, а також у наповненні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геопорталу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Луцької міської тер</w:t>
      </w:r>
      <w:r>
        <w:rPr>
          <w:rFonts w:ascii="Times New Roman" w:hAnsi="Times New Roman" w:cs="Times New Roman"/>
          <w:sz w:val="28"/>
          <w:szCs w:val="28"/>
        </w:rPr>
        <w:t xml:space="preserve">иторіальної громади. </w:t>
      </w:r>
    </w:p>
    <w:p w:rsidR="00FC0DF8" w:rsidRDefault="009D4C3E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уточнення даних для наповнення форм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 працівниками відділу постійно проводився збір та звірка наявної інформації з Державним реєстром речових прав та реєстром територіальної громади. </w:t>
      </w:r>
    </w:p>
    <w:p w:rsidR="00FC0DF8" w:rsidRDefault="009D4C3E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із зміною </w:t>
      </w:r>
      <w:r>
        <w:rPr>
          <w:rFonts w:ascii="Times New Roman" w:hAnsi="Times New Roman" w:cs="Times New Roman"/>
          <w:sz w:val="28"/>
          <w:szCs w:val="28"/>
        </w:rPr>
        <w:t>місця реєстрації проживання, смертю та народжуваністю проводилось коригування вже наявних відомостей у формах ПГО, зібраних в 2022-2024 роках, щодо місця реєстрації, а також постійно проводиться робота щодо коригування внесених відомостей при оформленні пр</w:t>
      </w:r>
      <w:r>
        <w:rPr>
          <w:rFonts w:ascii="Times New Roman" w:hAnsi="Times New Roman" w:cs="Times New Roman"/>
          <w:sz w:val="28"/>
          <w:szCs w:val="28"/>
        </w:rPr>
        <w:t>ава власності чи зміні власника об’єктів нерухомого майна.</w:t>
      </w:r>
    </w:p>
    <w:p w:rsidR="00FC0DF8" w:rsidRDefault="009D4C3E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Також, з метою наповнення адресного реєстру Луцької міської територіальної громади за дорученням департаменту містобудування, земельних ресурсів та реклами було опрацьовано картографічні матеріали </w:t>
      </w:r>
      <w:r>
        <w:rPr>
          <w:rFonts w:ascii="Times New Roman" w:hAnsi="Times New Roman" w:cs="Times New Roman"/>
          <w:sz w:val="28"/>
          <w:szCs w:val="28"/>
        </w:rPr>
        <w:t xml:space="preserve">з нанесенням на них поштових адрес по населених пунктах округів. </w:t>
      </w:r>
    </w:p>
    <w:p w:rsidR="00FC0DF8" w:rsidRDefault="009D4C3E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Окрім того, протягом кварталу працівники відділу інформували населення щодо необхідності сплати земельного податку та податку на нерухоме майно, відмінне від земельного податку, орендної пла</w:t>
      </w:r>
      <w:r>
        <w:rPr>
          <w:rFonts w:ascii="Times New Roman" w:hAnsi="Times New Roman" w:cs="Times New Roman"/>
          <w:sz w:val="28"/>
          <w:szCs w:val="28"/>
        </w:rPr>
        <w:t>ти за землю чи мінімального податкового зобов'язання, а також виписували відповідні повідомлення  про сплату.</w:t>
      </w:r>
    </w:p>
    <w:p w:rsidR="00FC0DF8" w:rsidRDefault="009D4C3E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Аналіз роботи працівників відділу документального забезпечення управління персоналу щодо документального забезпечення роботи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старост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та роботи з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п</w:t>
      </w:r>
      <w:r>
        <w:rPr>
          <w:rStyle w:val="a3"/>
          <w:rFonts w:ascii="Times New Roman" w:hAnsi="Times New Roman" w:cs="Times New Roman"/>
          <w:sz w:val="28"/>
          <w:szCs w:val="28"/>
        </w:rPr>
        <w:t>огосподарським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обліком по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округах за ІІ квартал 2025 рік відображено у додатках.</w:t>
      </w:r>
    </w:p>
    <w:p w:rsidR="00FC0DF8" w:rsidRDefault="00FC0DF8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FC0DF8" w:rsidRDefault="00FC0DF8"/>
    <w:p w:rsidR="009D4C3E" w:rsidRDefault="009D4C3E"/>
    <w:p w:rsidR="009D4C3E" w:rsidRDefault="009D4C3E"/>
    <w:p w:rsidR="00FC0DF8" w:rsidRDefault="00FC0DF8"/>
    <w:p w:rsidR="009D4C3E" w:rsidRDefault="009D4C3E">
      <w:pPr>
        <w:pStyle w:val="af0"/>
        <w:widowControl w:val="0"/>
        <w:rPr>
          <w:b/>
          <w:sz w:val="16"/>
          <w:szCs w:val="16"/>
        </w:rPr>
        <w:sectPr w:rsidR="009D4C3E" w:rsidSect="009D4C3E">
          <w:headerReference w:type="default" r:id="rId6"/>
          <w:footerReference w:type="default" r:id="rId7"/>
          <w:pgSz w:w="11906" w:h="16838"/>
          <w:pgMar w:top="851" w:right="595" w:bottom="1418" w:left="1797" w:header="539" w:footer="510" w:gutter="0"/>
          <w:cols w:space="720"/>
          <w:formProt w:val="0"/>
          <w:docGrid w:linePitch="360"/>
        </w:sectPr>
      </w:pPr>
    </w:p>
    <w:tbl>
      <w:tblPr>
        <w:tblW w:w="15703" w:type="dxa"/>
        <w:tblInd w:w="-5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7"/>
        <w:gridCol w:w="965"/>
        <w:gridCol w:w="760"/>
        <w:gridCol w:w="847"/>
        <w:gridCol w:w="981"/>
        <w:gridCol w:w="881"/>
        <w:gridCol w:w="869"/>
        <w:gridCol w:w="1290"/>
        <w:gridCol w:w="939"/>
        <w:gridCol w:w="1002"/>
        <w:gridCol w:w="952"/>
        <w:gridCol w:w="1005"/>
        <w:gridCol w:w="934"/>
        <w:gridCol w:w="1018"/>
        <w:gridCol w:w="906"/>
        <w:gridCol w:w="937"/>
      </w:tblGrid>
      <w:tr w:rsidR="00FC0DF8">
        <w:trPr>
          <w:trHeight w:val="426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Старостинський</w:t>
            </w:r>
            <w:proofErr w:type="spellEnd"/>
            <w:r>
              <w:rPr>
                <w:b/>
                <w:sz w:val="16"/>
                <w:szCs w:val="16"/>
              </w:rPr>
              <w:t xml:space="preserve"> округ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К-ть домогосподарств станом на 31.12.</w:t>
            </w:r>
          </w:p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9D4C3E">
            <w:pPr>
              <w:pStyle w:val="af0"/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Усі типи об’єктів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К-ть домогосподарств станом на</w:t>
            </w:r>
          </w:p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</w:t>
            </w:r>
          </w:p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К-ть землеволодінь власники яких проживають в інших населених пунктах  станом  на 31.12.2022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К-ть домогосподарств станом на</w:t>
            </w:r>
            <w:r>
              <w:rPr>
                <w:sz w:val="16"/>
                <w:szCs w:val="16"/>
              </w:rPr>
              <w:t xml:space="preserve"> 31.12.2023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К-ть землеволодінь власники яких проживають в інших населених пунктах  станом на 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домогосподарств станом на 31.12.</w:t>
            </w:r>
          </w:p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К-ть землеволодінь власники яких проживають в інших населених пунктах  станом на 31.12.2024</w:t>
            </w:r>
          </w:p>
          <w:p w:rsidR="00FC0DF8" w:rsidRDefault="00FC0DF8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І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2025 введено інформацію до програми</w:t>
            </w:r>
          </w:p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повністю/частково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І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2025</w:t>
            </w:r>
          </w:p>
          <w:p w:rsidR="00FC0DF8" w:rsidRDefault="009D4C3E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введено інформацію до книг</w:t>
            </w:r>
          </w:p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повністю/частково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К-ть домогосподарств станом на 31.03.2025</w:t>
            </w: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К-ть землеволодінь власники яких проживають в інших населених пунктах станом на 31.03.2025</w:t>
            </w: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</w:pPr>
            <w:r>
              <w:rPr>
                <w:sz w:val="16"/>
                <w:szCs w:val="16"/>
              </w:rPr>
              <w:t xml:space="preserve">За ІІ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2025 введено інформацію до програми</w:t>
            </w:r>
          </w:p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повністю/частково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ІІ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2025</w:t>
            </w:r>
          </w:p>
          <w:p w:rsidR="00FC0DF8" w:rsidRDefault="009D4C3E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введено інформацію до книг</w:t>
            </w:r>
          </w:p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повністю/частково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домогосподарств станом на 30.06.2025</w:t>
            </w: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К-ть землеволодінь власники яких проживають в інших населених </w:t>
            </w:r>
            <w:r>
              <w:rPr>
                <w:sz w:val="16"/>
                <w:szCs w:val="16"/>
              </w:rPr>
              <w:t>пунктах  станом на 30.06.2025</w:t>
            </w: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  <w:p w:rsidR="00FC0DF8" w:rsidRDefault="00FC0DF8">
            <w:pPr>
              <w:pStyle w:val="af0"/>
              <w:widowControl w:val="0"/>
              <w:rPr>
                <w:sz w:val="16"/>
                <w:szCs w:val="16"/>
              </w:rPr>
            </w:pPr>
          </w:p>
        </w:tc>
      </w:tr>
      <w:tr w:rsidR="00FC0DF8"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Боголюбський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</w:t>
            </w:r>
          </w:p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56/</w:t>
            </w:r>
          </w:p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43/86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43/86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</w:tr>
      <w:tr w:rsidR="00FC0DF8"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Заборольський</w:t>
            </w:r>
            <w:proofErr w:type="spellEnd"/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29</w:t>
            </w:r>
            <w:r>
              <w:rPr>
                <w:sz w:val="20"/>
                <w:szCs w:val="20"/>
              </w:rPr>
              <w:t>/0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8/0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2695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195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161/1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135/2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2701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217</w:t>
            </w:r>
          </w:p>
        </w:tc>
      </w:tr>
      <w:tr w:rsidR="00FC0DF8"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Жидичинський</w:t>
            </w:r>
            <w:proofErr w:type="spellEnd"/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108/78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108/</w:t>
            </w:r>
          </w:p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350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139/19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167/35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widowControl w:val="0"/>
              <w:spacing w:after="20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1744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DF8" w:rsidRDefault="009D4C3E">
            <w:pPr>
              <w:widowControl w:val="0"/>
              <w:spacing w:after="20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374</w:t>
            </w:r>
          </w:p>
        </w:tc>
      </w:tr>
      <w:tr w:rsidR="00FC0DF8"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bCs w:val="0"/>
                <w:sz w:val="16"/>
                <w:szCs w:val="16"/>
              </w:rPr>
            </w:pPr>
            <w:proofErr w:type="spellStart"/>
            <w:r>
              <w:rPr>
                <w:bCs w:val="0"/>
                <w:sz w:val="16"/>
                <w:szCs w:val="16"/>
              </w:rPr>
              <w:t>Княгининівський</w:t>
            </w:r>
            <w:proofErr w:type="spellEnd"/>
            <w:r>
              <w:rPr>
                <w:bCs w:val="0"/>
                <w:sz w:val="16"/>
                <w:szCs w:val="16"/>
              </w:rPr>
              <w:t>*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2833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2657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197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2650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590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2955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1121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201/107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201/</w:t>
            </w:r>
          </w:p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107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3035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1149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146/0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146/0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widowControl w:val="0"/>
              <w:spacing w:after="20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3037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DF8" w:rsidRDefault="009D4C3E">
            <w:pPr>
              <w:widowControl w:val="0"/>
              <w:spacing w:after="200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1148</w:t>
            </w:r>
          </w:p>
        </w:tc>
      </w:tr>
      <w:tr w:rsidR="00FC0DF8"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Прилуцький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80/9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49/4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102/0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102/0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DF8" w:rsidRDefault="009D4C3E">
            <w:pPr>
              <w:pStyle w:val="af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</w:tr>
    </w:tbl>
    <w:p w:rsidR="00FC0DF8" w:rsidRDefault="00FC0DF8"/>
    <w:p w:rsidR="00FC0DF8" w:rsidRDefault="009D4C3E">
      <w:pPr>
        <w:pStyle w:val="af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Домогосподарства – код 1, 2, 3, 5; Землеволодіння – код 4  </w:t>
      </w:r>
    </w:p>
    <w:p w:rsidR="00FC0DF8" w:rsidRDefault="00FC0DF8"/>
    <w:p w:rsidR="00FC0DF8" w:rsidRDefault="00FC0DF8"/>
    <w:p w:rsidR="00FC0DF8" w:rsidRDefault="00FC0DF8"/>
    <w:p w:rsidR="00FC0DF8" w:rsidRDefault="00FC0DF8"/>
    <w:p w:rsidR="00FC0DF8" w:rsidRDefault="00FC0DF8"/>
    <w:p w:rsidR="00FC0DF8" w:rsidRDefault="00FC0DF8"/>
    <w:tbl>
      <w:tblPr>
        <w:tblW w:w="14415" w:type="dxa"/>
        <w:tblLayout w:type="fixed"/>
        <w:tblLook w:val="04A0" w:firstRow="1" w:lastRow="0" w:firstColumn="1" w:lastColumn="0" w:noHBand="0" w:noVBand="1"/>
      </w:tblPr>
      <w:tblGrid>
        <w:gridCol w:w="5601"/>
        <w:gridCol w:w="1706"/>
        <w:gridCol w:w="1994"/>
        <w:gridCol w:w="1593"/>
        <w:gridCol w:w="1646"/>
        <w:gridCol w:w="1875"/>
      </w:tblGrid>
      <w:tr w:rsidR="00FC0DF8">
        <w:trPr>
          <w:cantSplit/>
          <w:trHeight w:val="853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Завдання та обов’язки,  які виконувались протягом  </w:t>
            </w:r>
          </w:p>
          <w:p w:rsidR="00FC0DF8" w:rsidRDefault="009D4C3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 кварталу 2025 року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FC0DF8">
            <w:pPr>
              <w:widowControl w:val="0"/>
              <w:ind w:left="113" w:right="113"/>
              <w:jc w:val="center"/>
            </w:pPr>
          </w:p>
          <w:p w:rsidR="00FC0DF8" w:rsidRDefault="009D4C3E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Попович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FC0DF8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  <w:p w:rsidR="00FC0DF8" w:rsidRDefault="009D4C3E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 </w:t>
            </w:r>
            <w:proofErr w:type="spellStart"/>
            <w:r>
              <w:rPr>
                <w:sz w:val="20"/>
                <w:szCs w:val="20"/>
              </w:rPr>
              <w:t>Стефанська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FC0DF8">
            <w:pPr>
              <w:widowControl w:val="0"/>
              <w:ind w:left="113" w:right="113"/>
              <w:jc w:val="center"/>
            </w:pPr>
          </w:p>
          <w:p w:rsidR="00FC0DF8" w:rsidRDefault="009D4C3E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Л.</w:t>
            </w:r>
            <w:bookmarkStart w:id="1" w:name="_GoBack"/>
            <w:bookmarkEnd w:id="1"/>
            <w:r>
              <w:rPr>
                <w:color w:val="000000"/>
                <w:sz w:val="20"/>
                <w:szCs w:val="20"/>
              </w:rPr>
              <w:t>Яцушек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FC0DF8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  <w:p w:rsidR="00FC0DF8" w:rsidRDefault="009D4C3E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Г.Шпак</w:t>
            </w:r>
            <w:proofErr w:type="spellEnd"/>
          </w:p>
          <w:p w:rsidR="00FC0DF8" w:rsidRDefault="00FC0DF8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FC0DF8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  <w:p w:rsidR="00FC0DF8" w:rsidRDefault="009D4C3E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О.Квока</w:t>
            </w:r>
            <w:proofErr w:type="spellEnd"/>
          </w:p>
        </w:tc>
      </w:tr>
      <w:tr w:rsidR="00FC0DF8"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населення станом на </w:t>
            </w:r>
            <w:r>
              <w:rPr>
                <w:sz w:val="20"/>
                <w:szCs w:val="20"/>
              </w:rPr>
              <w:t>01.07.2025 (з реєстрацією місяця проживання)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ind w:left="-108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4044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6176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9289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4536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3930</w:t>
            </w:r>
          </w:p>
        </w:tc>
      </w:tr>
      <w:tr w:rsidR="00FC0DF8">
        <w:tc>
          <w:tcPr>
            <w:tcW w:w="5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Опрацьовано документів, що надійшло до </w:t>
            </w:r>
            <w:proofErr w:type="spellStart"/>
            <w:r>
              <w:rPr>
                <w:sz w:val="20"/>
                <w:szCs w:val="20"/>
              </w:rPr>
              <w:t>старостинського</w:t>
            </w:r>
            <w:proofErr w:type="spellEnd"/>
            <w:r>
              <w:rPr>
                <w:sz w:val="20"/>
                <w:szCs w:val="20"/>
              </w:rPr>
              <w:t xml:space="preserve"> округу  (внутрішніх/вхідних)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ind w:left="-108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32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117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107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102</w:t>
            </w:r>
          </w:p>
        </w:tc>
      </w:tr>
      <w:tr w:rsidR="00FC0DF8">
        <w:tc>
          <w:tcPr>
            <w:tcW w:w="5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проектів внутрішніх чи вихідних листів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ind w:left="-108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30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30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19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17</w:t>
            </w:r>
          </w:p>
        </w:tc>
      </w:tr>
      <w:tr w:rsidR="00FC0DF8">
        <w:tc>
          <w:tcPr>
            <w:tcW w:w="5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Листування з </w:t>
            </w:r>
            <w:r>
              <w:rPr>
                <w:sz w:val="20"/>
                <w:szCs w:val="20"/>
              </w:rPr>
              <w:t>органами нотаріату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ind w:left="-108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</w:t>
            </w:r>
          </w:p>
        </w:tc>
      </w:tr>
      <w:tr w:rsidR="00FC0DF8">
        <w:tc>
          <w:tcPr>
            <w:tcW w:w="5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Зареєстровано через систему “АСКОД” звернень громадян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ind w:left="-108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18+</w:t>
            </w:r>
          </w:p>
          <w:p w:rsidR="00FC0DF8" w:rsidRDefault="009D4C3E">
            <w:pPr>
              <w:widowControl w:val="0"/>
              <w:ind w:left="-108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 через ЦНАП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39+</w:t>
            </w:r>
          </w:p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  <w:lang w:val="en-US"/>
              </w:rPr>
              <w:t xml:space="preserve">3  </w:t>
            </w:r>
            <w:r>
              <w:rPr>
                <w:bCs w:val="0"/>
                <w:sz w:val="20"/>
                <w:szCs w:val="20"/>
              </w:rPr>
              <w:t>через ЦНАП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68</w:t>
            </w:r>
            <w:r>
              <w:rPr>
                <w:bCs w:val="0"/>
                <w:sz w:val="20"/>
                <w:szCs w:val="20"/>
                <w:lang w:val="en-US"/>
              </w:rPr>
              <w:t>+</w:t>
            </w:r>
          </w:p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 через</w:t>
            </w:r>
          </w:p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ЦНАП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24+</w:t>
            </w:r>
          </w:p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 через ЦНАП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22+</w:t>
            </w:r>
          </w:p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  <w:lang w:val="en-US"/>
              </w:rPr>
              <w:t xml:space="preserve">3  </w:t>
            </w:r>
            <w:r>
              <w:rPr>
                <w:bCs w:val="0"/>
                <w:sz w:val="20"/>
                <w:szCs w:val="20"/>
              </w:rPr>
              <w:t>через ЦНАП</w:t>
            </w:r>
          </w:p>
        </w:tc>
      </w:tr>
      <w:tr w:rsidR="00FC0DF8">
        <w:tc>
          <w:tcPr>
            <w:tcW w:w="5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Надійшло усних звернень (</w:t>
            </w:r>
            <w:proofErr w:type="spellStart"/>
            <w:r>
              <w:rPr>
                <w:sz w:val="20"/>
                <w:szCs w:val="20"/>
              </w:rPr>
              <w:t>внесено</w:t>
            </w:r>
            <w:proofErr w:type="spellEnd"/>
            <w:r>
              <w:rPr>
                <w:sz w:val="20"/>
                <w:szCs w:val="20"/>
              </w:rPr>
              <w:t xml:space="preserve"> до журналу обліку особистого прийому) (надання </w:t>
            </w:r>
            <w:r>
              <w:rPr>
                <w:sz w:val="20"/>
                <w:szCs w:val="20"/>
              </w:rPr>
              <w:t>консультацій та роз’яснень жителям сіл щодня)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ind w:left="-108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17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14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42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33</w:t>
            </w:r>
          </w:p>
        </w:tc>
      </w:tr>
      <w:tr w:rsidR="00FC0DF8">
        <w:tc>
          <w:tcPr>
            <w:tcW w:w="5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актів різного типу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ind w:left="-108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15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10</w:t>
            </w:r>
          </w:p>
        </w:tc>
      </w:tr>
      <w:tr w:rsidR="00FC0DF8">
        <w:tc>
          <w:tcPr>
            <w:tcW w:w="5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Підготовка виписок з книг </w:t>
            </w:r>
            <w:proofErr w:type="spellStart"/>
            <w:r>
              <w:rPr>
                <w:sz w:val="20"/>
                <w:szCs w:val="20"/>
              </w:rPr>
              <w:t>погосподарського</w:t>
            </w:r>
            <w:proofErr w:type="spellEnd"/>
            <w:r>
              <w:rPr>
                <w:sz w:val="20"/>
                <w:szCs w:val="20"/>
              </w:rPr>
              <w:t xml:space="preserve"> обліку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ind w:left="-108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3</w:t>
            </w:r>
          </w:p>
        </w:tc>
      </w:tr>
      <w:tr w:rsidR="00FC0DF8"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Підготовка характеристик на жителів </w:t>
            </w:r>
            <w:proofErr w:type="spellStart"/>
            <w:r>
              <w:rPr>
                <w:sz w:val="20"/>
                <w:szCs w:val="20"/>
              </w:rPr>
              <w:t>старостинського</w:t>
            </w:r>
            <w:proofErr w:type="spellEnd"/>
            <w:r>
              <w:rPr>
                <w:sz w:val="20"/>
                <w:szCs w:val="20"/>
              </w:rPr>
              <w:t xml:space="preserve"> округу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ind w:left="-108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</w:t>
            </w:r>
          </w:p>
        </w:tc>
      </w:tr>
      <w:tr w:rsidR="00FC0DF8">
        <w:tc>
          <w:tcPr>
            <w:tcW w:w="5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довідок</w:t>
            </w:r>
            <w:r>
              <w:rPr>
                <w:sz w:val="20"/>
                <w:szCs w:val="20"/>
              </w:rPr>
              <w:t xml:space="preserve"> різного типу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ind w:left="-108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7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  <w:lang w:val="en-US"/>
              </w:rPr>
              <w:t>3</w:t>
            </w:r>
          </w:p>
        </w:tc>
      </w:tr>
      <w:tr w:rsidR="00FC0DF8"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проектів довіреностей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ind w:left="-108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  <w:lang w:val="en-US"/>
              </w:rPr>
              <w:t>4</w:t>
            </w:r>
          </w:p>
        </w:tc>
      </w:tr>
      <w:tr w:rsidR="00FC0DF8"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проектів документів для вчинення нотаріальних дій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ind w:left="-108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9</w:t>
            </w:r>
          </w:p>
        </w:tc>
      </w:tr>
      <w:tr w:rsidR="00FC0DF8">
        <w:trPr>
          <w:trHeight w:val="591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проектів архівних довідок про заробітну плату/</w:t>
            </w:r>
          </w:p>
          <w:p w:rsidR="00FC0DF8" w:rsidRDefault="009D4C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Видано сертифікатів на право на земельну частку (пай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ind w:left="-108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</w:t>
            </w:r>
          </w:p>
        </w:tc>
      </w:tr>
      <w:tr w:rsidR="00FC0DF8">
        <w:trPr>
          <w:trHeight w:val="435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Адвокатські запити/відповіді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ind w:left="-108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</w:t>
            </w:r>
          </w:p>
        </w:tc>
      </w:tr>
      <w:tr w:rsidR="00FC0DF8">
        <w:trPr>
          <w:trHeight w:val="609"/>
        </w:trPr>
        <w:tc>
          <w:tcPr>
            <w:tcW w:w="5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Прийняття документів на дотації щодо програм АПК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ind w:left="-108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</w:t>
            </w:r>
          </w:p>
          <w:p w:rsidR="00FC0DF8" w:rsidRDefault="00FC0DF8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</w:t>
            </w:r>
          </w:p>
          <w:p w:rsidR="00FC0DF8" w:rsidRDefault="00FC0DF8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F8" w:rsidRDefault="009D4C3E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</w:t>
            </w:r>
          </w:p>
        </w:tc>
      </w:tr>
    </w:tbl>
    <w:p w:rsidR="00FC0DF8" w:rsidRDefault="00FC0DF8"/>
    <w:sectPr w:rsidR="00FC0DF8" w:rsidSect="009D4C3E">
      <w:pgSz w:w="16838" w:h="11906" w:orient="landscape"/>
      <w:pgMar w:top="595" w:right="1418" w:bottom="1797" w:left="851" w:header="539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4C3E">
      <w:r>
        <w:separator/>
      </w:r>
    </w:p>
  </w:endnote>
  <w:endnote w:type="continuationSeparator" w:id="0">
    <w:p w:rsidR="00000000" w:rsidRDefault="009D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;Century Gothic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F8" w:rsidRDefault="00FC0DF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4C3E">
      <w:r>
        <w:separator/>
      </w:r>
    </w:p>
  </w:footnote>
  <w:footnote w:type="continuationSeparator" w:id="0">
    <w:p w:rsidR="00000000" w:rsidRDefault="009D4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F8" w:rsidRDefault="00FC0DF8">
    <w:pPr>
      <w:pStyle w:val="af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F8"/>
    <w:rsid w:val="009D4C3E"/>
    <w:rsid w:val="00FC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81C3F5"/>
  <w15:docId w15:val="{F256A381-2EA6-4F31-8290-56AC8207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a3">
    <w:name w:val="Основной шрифт абзаца"/>
    <w:qFormat/>
  </w:style>
  <w:style w:type="character" w:customStyle="1" w:styleId="1">
    <w:name w:val="Шрифт абзацу за промовчанням1"/>
    <w:qFormat/>
  </w:style>
  <w:style w:type="character" w:customStyle="1" w:styleId="apple-converted-space">
    <w:name w:val="apple-converted-space"/>
    <w:basedOn w:val="1"/>
    <w:qFormat/>
  </w:style>
  <w:style w:type="character" w:customStyle="1" w:styleId="a4">
    <w:name w:val="Текст у виносці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5">
    <w:name w:val="Виділення жирним"/>
    <w:qFormat/>
    <w:rPr>
      <w:b/>
      <w:bCs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Відвідане гіперпосилання"/>
    <w:rPr>
      <w:color w:val="800000"/>
      <w:u w:val="single"/>
    </w:rPr>
  </w:style>
  <w:style w:type="character" w:styleId="a8">
    <w:name w:val="Emphasis"/>
    <w:basedOn w:val="a3"/>
    <w:qFormat/>
    <w:rPr>
      <w:rFonts w:ascii="Calibri;Century Gothic" w:hAnsi="Calibri;Century Gothic" w:cs="Calibri;Century Gothic"/>
      <w:b/>
      <w:i/>
      <w:iCs/>
    </w:rPr>
  </w:style>
  <w:style w:type="character" w:customStyle="1" w:styleId="a9">
    <w:name w:val="Символ нумерації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suppressLineNumbers/>
      <w:tabs>
        <w:tab w:val="center" w:pos="4650"/>
        <w:tab w:val="right" w:pos="9300"/>
      </w:tabs>
    </w:pPr>
  </w:style>
  <w:style w:type="paragraph" w:styleId="af4">
    <w:name w:val="header"/>
    <w:basedOn w:val="a"/>
    <w:pPr>
      <w:suppressLineNumbers/>
      <w:tabs>
        <w:tab w:val="center" w:pos="4650"/>
        <w:tab w:val="right" w:pos="9300"/>
      </w:tabs>
    </w:pPr>
  </w:style>
  <w:style w:type="paragraph" w:styleId="af5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qFormat/>
    <w:pPr>
      <w:ind w:left="291" w:right="123" w:firstLine="599"/>
    </w:pPr>
    <w:rPr>
      <w:lang w:eastAsia="en-US"/>
    </w:rPr>
  </w:style>
  <w:style w:type="paragraph" w:styleId="af7">
    <w:name w:val="No Spacing"/>
    <w:qFormat/>
    <w:pPr>
      <w:widowControl w:val="0"/>
    </w:pPr>
    <w:rPr>
      <w:rFonts w:ascii="Arial" w:eastAsia="Tahoma" w:hAnsi="Arial" w:cs="Mangal"/>
      <w:color w:val="00000A"/>
      <w:sz w:val="36"/>
    </w:rPr>
  </w:style>
  <w:style w:type="paragraph" w:customStyle="1" w:styleId="western">
    <w:name w:val="western"/>
    <w:basedOn w:val="a"/>
    <w:qFormat/>
    <w:pPr>
      <w:spacing w:before="280" w:after="119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af8">
    <w:name w:val="Без интервала"/>
    <w:qFormat/>
    <w:pPr>
      <w:widowControl w:val="0"/>
      <w:overflowPunct w:val="0"/>
    </w:pPr>
    <w:rPr>
      <w:rFonts w:ascii="Arial" w:eastAsia="Tahoma" w:hAnsi="Arial" w:cs="Mangal"/>
      <w:color w:val="00000A"/>
      <w:sz w:val="36"/>
    </w:rPr>
  </w:style>
  <w:style w:type="paragraph" w:customStyle="1" w:styleId="af9">
    <w:name w:val="Абзац списка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10</Pages>
  <Words>15324</Words>
  <Characters>8736</Characters>
  <Application>Microsoft Office Word</Application>
  <DocSecurity>0</DocSecurity>
  <Lines>72</Lines>
  <Paragraphs>48</Paragraphs>
  <ScaleCrop>false</ScaleCrop>
  <Company/>
  <LinksUpToDate>false</LinksUpToDate>
  <CharactersWithSpaces>24012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Kostjuk</dc:creator>
  <dc:description/>
  <cp:lastModifiedBy>Тетяна Тирилюк</cp:lastModifiedBy>
  <cp:revision>104</cp:revision>
  <cp:lastPrinted>2025-07-10T12:24:00Z</cp:lastPrinted>
  <dcterms:created xsi:type="dcterms:W3CDTF">2021-07-21T11:23:00Z</dcterms:created>
  <dcterms:modified xsi:type="dcterms:W3CDTF">2025-07-21T06:55:00Z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