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ind w:left="0" w:right="0" w:hanging="0"/>
        <w:jc w:val="center"/>
        <w:rPr>
          <w:rFonts w:ascii="Times New Roman" w:hAnsi="Times New Roman" w:eastAsia="Times New Roman" w:cs="Times New Roman"/>
          <w:i w:val="false"/>
          <w:i w:val="false"/>
          <w:iCs w:val="false"/>
          <w:color w:val="auto"/>
          <w:kern w:val="0"/>
          <w:sz w:val="28"/>
          <w:szCs w:val="28"/>
          <w:lang w:val="uk-UA" w:eastAsia="ru-RU" w:bidi="ar-SA"/>
        </w:rPr>
      </w:pPr>
      <w:r>
        <w:rPr>
          <w:rFonts w:eastAsia="Times New Roman" w:cs="Times New Roman"/>
          <w:b/>
          <w:i w:val="false"/>
          <w:iCs w:val="false"/>
          <w:color w:val="auto"/>
          <w:kern w:val="0"/>
          <w:sz w:val="28"/>
          <w:szCs w:val="28"/>
          <w:lang w:val="uk-UA" w:eastAsia="ru-RU" w:bidi="ar-SA"/>
        </w:rPr>
        <w:t>Звіт про роботу відділу екології за 2023 рік</w:t>
      </w:r>
    </w:p>
    <w:p>
      <w:pPr>
        <w:pStyle w:val="Normal"/>
        <w:bidi w:val="0"/>
        <w:ind w:left="0" w:right="0" w:hanging="0"/>
        <w:jc w:val="center"/>
        <w:rPr>
          <w:rFonts w:ascii="Times New Roman" w:hAnsi="Times New Roman" w:eastAsia="Times New Roman" w:cs="Times New Roman"/>
          <w:i w:val="false"/>
          <w:i w:val="false"/>
          <w:iCs w:val="false"/>
          <w:color w:val="auto"/>
          <w:kern w:val="0"/>
          <w:sz w:val="28"/>
          <w:szCs w:val="28"/>
          <w:lang w:val="uk-UA" w:eastAsia="ru-RU" w:bidi="ar-SA"/>
        </w:rPr>
      </w:pPr>
      <w:r>
        <w:rPr>
          <w:rFonts w:eastAsia="Times New Roman" w:cs="Times New Roman"/>
          <w:b/>
          <w:i w:val="false"/>
          <w:iCs w:val="false"/>
          <w:color w:val="auto"/>
          <w:kern w:val="0"/>
          <w:sz w:val="28"/>
          <w:szCs w:val="28"/>
          <w:lang w:val="uk-UA" w:eastAsia="ru-RU" w:bidi="ar-SA"/>
        </w:rPr>
        <w:t>від 11.01.204 № 24-7/3</w:t>
      </w:r>
    </w:p>
    <w:p>
      <w:pPr>
        <w:pStyle w:val="Normal"/>
        <w:jc w:val="both"/>
        <w:rPr>
          <w:rFonts w:ascii="Times New Roman" w:hAnsi="Times New Roman" w:cs="Times New Roman"/>
          <w:b/>
          <w:b/>
          <w:i w:val="false"/>
          <w:i w:val="false"/>
          <w:iCs w:val="false"/>
          <w:color w:val="000000"/>
          <w:sz w:val="28"/>
          <w:szCs w:val="28"/>
        </w:rPr>
      </w:pPr>
      <w:r>
        <w:rPr>
          <w:rFonts w:cs="Times New Roman"/>
          <w:b/>
          <w:i w:val="false"/>
          <w:iCs w:val="false"/>
          <w:color w:val="000000"/>
          <w:sz w:val="28"/>
          <w:szCs w:val="28"/>
        </w:rPr>
      </w:r>
    </w:p>
    <w:p>
      <w:pPr>
        <w:pStyle w:val="Normal"/>
        <w:ind w:firstLine="680"/>
        <w:jc w:val="both"/>
        <w:rPr>
          <w:i w:val="false"/>
          <w:i w:val="false"/>
          <w:iCs w:val="false"/>
        </w:rPr>
      </w:pPr>
      <w:r>
        <w:rPr>
          <w:i w:val="false"/>
          <w:iCs w:val="false"/>
          <w:color w:val="000000"/>
          <w:sz w:val="28"/>
          <w:szCs w:val="28"/>
        </w:rPr>
        <w:t>У 202</w:t>
      </w:r>
      <w:r>
        <w:rPr>
          <w:i w:val="false"/>
          <w:iCs w:val="false"/>
          <w:color w:val="000000"/>
          <w:sz w:val="28"/>
          <w:szCs w:val="28"/>
          <w:lang w:val="en-US"/>
        </w:rPr>
        <w:t>3</w:t>
      </w:r>
      <w:r>
        <w:rPr>
          <w:i w:val="false"/>
          <w:iCs w:val="false"/>
          <w:color w:val="000000"/>
          <w:sz w:val="28"/>
          <w:szCs w:val="28"/>
        </w:rPr>
        <w:t xml:space="preserve"> році в галузі охорони довкілля проведено комплекс робіт </w:t>
      </w:r>
      <w:r>
        <w:rPr>
          <w:rFonts w:eastAsia="Times New Roman" w:cs="Times New Roman"/>
          <w:i w:val="false"/>
          <w:iCs w:val="false"/>
          <w:color w:val="000000"/>
          <w:sz w:val="28"/>
          <w:szCs w:val="28"/>
        </w:rPr>
        <w:t xml:space="preserve">на загальну суму </w:t>
      </w:r>
      <w:r>
        <w:rPr>
          <w:rFonts w:eastAsia="Times New Roman" w:cs="Times New Roman"/>
          <w:b w:val="false"/>
          <w:bCs w:val="false"/>
          <w:i w:val="false"/>
          <w:iCs w:val="false"/>
          <w:color w:val="000000"/>
          <w:sz w:val="28"/>
          <w:szCs w:val="28"/>
          <w:lang w:val="en-US"/>
        </w:rPr>
        <w:t>5</w:t>
      </w:r>
      <w:r>
        <w:rPr>
          <w:rFonts w:eastAsia="Times New Roman" w:cs="Times New Roman"/>
          <w:i w:val="false"/>
          <w:iCs w:val="false"/>
          <w:color w:val="000000"/>
          <w:sz w:val="28"/>
          <w:szCs w:val="28"/>
          <w:lang w:val="en-US"/>
        </w:rPr>
        <w:t xml:space="preserve"> </w:t>
      </w:r>
      <w:r>
        <w:rPr>
          <w:rFonts w:eastAsia="Times New Roman" w:cs="Times New Roman"/>
          <w:i w:val="false"/>
          <w:iCs w:val="false"/>
          <w:color w:val="000000"/>
          <w:sz w:val="28"/>
          <w:szCs w:val="28"/>
        </w:rPr>
        <w:t>мільйонів</w:t>
      </w:r>
      <w:r>
        <w:rPr>
          <w:rFonts w:eastAsia="Times New Roman" w:cs="Times New Roman"/>
          <w:i w:val="false"/>
          <w:iCs w:val="false"/>
          <w:color w:val="000000"/>
          <w:sz w:val="28"/>
          <w:szCs w:val="28"/>
          <w:lang w:val="en-US"/>
        </w:rPr>
        <w:t xml:space="preserve"> 851 </w:t>
      </w:r>
      <w:r>
        <w:rPr>
          <w:rFonts w:eastAsia="Times New Roman" w:cs="Times New Roman"/>
          <w:i w:val="false"/>
          <w:iCs w:val="false"/>
          <w:color w:val="000000"/>
          <w:sz w:val="28"/>
          <w:szCs w:val="28"/>
        </w:rPr>
        <w:t>тисяч</w:t>
      </w:r>
      <w:r>
        <w:rPr>
          <w:rFonts w:eastAsia="Times New Roman" w:cs="Times New Roman"/>
          <w:i w:val="false"/>
          <w:iCs w:val="false"/>
          <w:color w:val="000000"/>
          <w:sz w:val="28"/>
          <w:szCs w:val="28"/>
          <w:lang w:val="uk-UA"/>
        </w:rPr>
        <w:t>у</w:t>
      </w:r>
      <w:r>
        <w:rPr>
          <w:rFonts w:eastAsia="Times New Roman" w:cs="Times New Roman"/>
          <w:i w:val="false"/>
          <w:iCs w:val="false"/>
          <w:color w:val="000000"/>
          <w:sz w:val="28"/>
          <w:szCs w:val="28"/>
        </w:rPr>
        <w:t xml:space="preserve"> гривень.</w:t>
      </w:r>
    </w:p>
    <w:p>
      <w:pPr>
        <w:pStyle w:val="Normal"/>
        <w:ind w:firstLine="680"/>
        <w:jc w:val="both"/>
        <w:rPr/>
      </w:pPr>
      <w:r>
        <w:rPr>
          <w:color w:val="000000"/>
          <w:sz w:val="28"/>
          <w:szCs w:val="28"/>
        </w:rPr>
        <w:t>У сфері о</w:t>
      </w:r>
      <w:r>
        <w:rPr>
          <w:bCs/>
          <w:color w:val="000000"/>
          <w:sz w:val="28"/>
          <w:szCs w:val="28"/>
        </w:rPr>
        <w:t>хорони та збереження водних ресурсів завершено</w:t>
      </w:r>
      <w:r>
        <w:rPr>
          <w:color w:val="000000"/>
          <w:sz w:val="28"/>
          <w:szCs w:val="28"/>
        </w:rPr>
        <w:t xml:space="preserve"> роботи з  розмулення каналів в Центральному парку культури та відпочинку імені Лесі Українки протяжністю 1,7 км. Продовжувались роботи з впорядкування та  очищення від аварійних, самосійних дерев та чагарників, косіння бур’янів</w:t>
      </w:r>
      <w:r>
        <w:rPr>
          <w:color w:val="000000"/>
          <w:sz w:val="28"/>
          <w:szCs w:val="28"/>
          <w:lang w:val="uk-UA"/>
        </w:rPr>
        <w:t xml:space="preserve"> у </w:t>
      </w:r>
      <w:r>
        <w:rPr>
          <w:color w:val="000000"/>
          <w:sz w:val="28"/>
          <w:szCs w:val="28"/>
        </w:rPr>
        <w:t xml:space="preserve">прибережних смугах річок Сапалаївка та Жидувка. Розпочато виготовлено проектів  </w:t>
      </w:r>
      <w:r>
        <w:rPr>
          <w:color w:val="000000"/>
          <w:sz w:val="24"/>
          <w:szCs w:val="24"/>
        </w:rPr>
        <w:t xml:space="preserve"> </w:t>
      </w:r>
      <w:r>
        <w:rPr>
          <w:color w:val="000000"/>
          <w:sz w:val="28"/>
          <w:szCs w:val="28"/>
        </w:rPr>
        <w:t>землеустрою щодо організації та встановлення меж земель водного фонду та водоохоронної зони відповідно до вимог природоохоронного законодавства, зокрема виготовлено документацію для відрізку р.Стир від вул.Дубнівської до вул.Гнідавської. Організовано проведення щоквартального досліджень якості поверхневих вод малих річок Серна, Сапалаївка, Жидувка, Омеляник. Результати оприлюднено на офіційному сайті міської ради.</w:t>
      </w:r>
    </w:p>
    <w:p>
      <w:pPr>
        <w:pStyle w:val="Normal"/>
        <w:ind w:firstLine="680"/>
        <w:jc w:val="both"/>
        <w:rPr/>
      </w:pPr>
      <w:r>
        <w:rPr>
          <w:color w:val="000000"/>
          <w:sz w:val="28"/>
          <w:szCs w:val="28"/>
        </w:rPr>
        <w:t xml:space="preserve">Забезпечено збір від населення, вивезення та передачу на утилізацію  відходів 1 класу небезпеки: </w:t>
      </w:r>
      <w:r>
        <w:rPr>
          <w:b w:val="false"/>
          <w:bCs w:val="false"/>
          <w:color w:val="000000"/>
          <w:sz w:val="28"/>
          <w:szCs w:val="28"/>
        </w:rPr>
        <w:t>1669 шт. ртутних ламп, 120</w:t>
      </w:r>
      <w:r>
        <w:rPr>
          <w:b/>
          <w:bCs/>
          <w:color w:val="000000"/>
          <w:sz w:val="24"/>
          <w:szCs w:val="24"/>
        </w:rPr>
        <w:t xml:space="preserve"> </w:t>
      </w:r>
      <w:r>
        <w:rPr>
          <w:color w:val="000000"/>
          <w:sz w:val="28"/>
          <w:szCs w:val="28"/>
        </w:rPr>
        <w:t xml:space="preserve">термометрів, 960 кг відпрацьованих батарейок. Очищено території дошкільних навчальних закладів від використаних автомобільних шин, вивезено на утилізацію 2800 шт. автомобільних покришок, які використовувались на дитячих майданчиках в якості вуличних меблів чи огороджень, роками забруднюючи ґрунти внаслідок розпаду полімерних матеріалів. Реалізовано окремі проєкти щодо роздільного збору відходів, наприклад таких як організація збору блістерів від ліків та протермінованих ліків. Триває активна просвітницька робота щодо впровадження сортування відходів на базі підрозділу </w:t>
      </w:r>
      <w:r>
        <w:rPr>
          <w:color w:val="000000"/>
          <w:sz w:val="28"/>
          <w:szCs w:val="28"/>
        </w:rPr>
        <w:t>ЛСКАП</w:t>
      </w:r>
      <w:r>
        <w:rPr>
          <w:color w:val="000000"/>
          <w:sz w:val="28"/>
          <w:szCs w:val="28"/>
        </w:rPr>
        <w:t xml:space="preserve"> “Луцькспецкомунтранс” “Чистий Луцьк”, що розташований на вул.Трункіна,7. Основний акцент в роботі центру на здійснені просвіти в питаннях сортування відходів для дітей та учнівської молоді нашої громади.</w:t>
      </w:r>
    </w:p>
    <w:p>
      <w:pPr>
        <w:pStyle w:val="Normal"/>
        <w:ind w:firstLine="680"/>
        <w:jc w:val="both"/>
        <w:rPr/>
      </w:pPr>
      <w:r>
        <w:rPr>
          <w:color w:val="000000"/>
          <w:sz w:val="28"/>
          <w:szCs w:val="28"/>
        </w:rPr>
        <w:t xml:space="preserve">В місті активно впроваджуємо практики сортування побутових відходів, зокрема компостування органічних відходів у навчальних закладах міської громади. На кінець року в освітніх закладах встановлено 101 компостер різної ємності, об’ємом від 600 л у дитсадках і до 1600 л у школах. Проведено тренінги щодо їх використання та правил компостування. </w:t>
      </w:r>
      <w:r>
        <w:rPr>
          <w:color w:val="000000"/>
          <w:sz w:val="28"/>
          <w:szCs w:val="28"/>
          <w:lang w:val="uk-UA"/>
        </w:rPr>
        <w:t xml:space="preserve">Крім освітньої мети запровадження компостування органіки у громаді має і практичний природоохоронний аспект. Вже через 9-12 місяців близько 100 м куб. органічних відходів будуть перетворені на цінне органічне добриво — компост, на місці утворення, без витрат на перевезення та захоронення на полігоні в с.Брище. </w:t>
      </w:r>
    </w:p>
    <w:p>
      <w:pPr>
        <w:pStyle w:val="Normal"/>
        <w:ind w:firstLine="680"/>
        <w:jc w:val="both"/>
        <w:rPr/>
      </w:pPr>
      <w:r>
        <w:rPr>
          <w:color w:val="000000"/>
          <w:sz w:val="28"/>
          <w:szCs w:val="28"/>
        </w:rPr>
        <w:t xml:space="preserve">На території громади здійснюється постійний контроль за потенційними джерелами забруднення атмосферного повітря.  У співпраці з громадськими природоохоронними організаціями </w:t>
      </w:r>
      <w:r>
        <w:rPr>
          <w:color w:val="000000"/>
          <w:sz w:val="28"/>
          <w:szCs w:val="28"/>
          <w:lang w:val="en-US"/>
        </w:rPr>
        <w:t>Еcо City</w:t>
      </w:r>
      <w:r>
        <w:rPr>
          <w:color w:val="000000"/>
          <w:sz w:val="28"/>
          <w:szCs w:val="28"/>
        </w:rPr>
        <w:t xml:space="preserve">  </w:t>
      </w:r>
      <w:r>
        <w:rPr>
          <w:color w:val="000000"/>
          <w:sz w:val="28"/>
          <w:szCs w:val="28"/>
          <w:lang w:val="uk-UA"/>
        </w:rPr>
        <w:t xml:space="preserve">та </w:t>
      </w:r>
      <w:r>
        <w:rPr>
          <w:color w:val="000000"/>
          <w:sz w:val="28"/>
          <w:szCs w:val="28"/>
        </w:rPr>
        <w:t>ЛУН Місто</w:t>
      </w:r>
      <w:r>
        <w:rPr>
          <w:color w:val="000000"/>
          <w:sz w:val="28"/>
          <w:szCs w:val="28"/>
          <w:lang w:val="en-US"/>
        </w:rPr>
        <w:t xml:space="preserve"> Air,</w:t>
      </w:r>
      <w:r>
        <w:rPr>
          <w:color w:val="000000"/>
          <w:sz w:val="28"/>
          <w:szCs w:val="28"/>
        </w:rPr>
        <w:t xml:space="preserve"> організовано автоматизований моніторинг якості повітря. Доповнено перелік забруднювачів, що досліджуються аналітичною системою автоматичного онлайн-моніторингу якості повітря “Чисте повітря-Луцьк”.  Наразі дослідження якості повітря проводяться за такими забруднюючими речовинами: Р</w:t>
      </w:r>
      <w:r>
        <w:rPr>
          <w:color w:val="000000"/>
          <w:sz w:val="28"/>
          <w:szCs w:val="28"/>
          <w:lang w:val="en-US"/>
        </w:rPr>
        <w:t>m</w:t>
      </w:r>
      <w:r>
        <w:rPr>
          <w:color w:val="000000"/>
          <w:sz w:val="28"/>
          <w:szCs w:val="28"/>
        </w:rPr>
        <w:t xml:space="preserve"> 2,5, Р</w:t>
      </w:r>
      <w:r>
        <w:rPr>
          <w:color w:val="000000"/>
          <w:sz w:val="28"/>
          <w:szCs w:val="28"/>
          <w:lang w:val="en-US"/>
        </w:rPr>
        <w:t>m</w:t>
      </w:r>
      <w:r>
        <w:rPr>
          <w:color w:val="000000"/>
          <w:sz w:val="28"/>
          <w:szCs w:val="28"/>
        </w:rPr>
        <w:t>10, Р</w:t>
      </w:r>
      <w:r>
        <w:rPr>
          <w:color w:val="000000"/>
          <w:sz w:val="28"/>
          <w:szCs w:val="28"/>
          <w:lang w:val="en-US"/>
        </w:rPr>
        <w:t>m</w:t>
      </w:r>
      <w:r>
        <w:rPr>
          <w:color w:val="000000"/>
          <w:sz w:val="28"/>
          <w:szCs w:val="28"/>
        </w:rPr>
        <w:t>100, аміак, сірководень, формальдегід, озон, діоксид азоту, оксид вуглецю. Найчастіше спостерігається забруднення повітря найдрібнішими часточками пилу, формальдегідом та озоном, що пов’язано  з великою кількістю транспорту на основних магістральних шляхопроводах вул.Дубнівська, Рівненська, окружна дорога в районі с.Жидичин.</w:t>
      </w:r>
    </w:p>
    <w:p>
      <w:pPr>
        <w:pStyle w:val="Normal"/>
        <w:ind w:firstLine="680"/>
        <w:jc w:val="both"/>
        <w:rPr/>
      </w:pPr>
      <w:r>
        <w:rPr>
          <w:color w:val="000000"/>
          <w:sz w:val="28"/>
          <w:szCs w:val="28"/>
        </w:rPr>
        <w:t>З метою зменшення загрози травмування чи поширення захворювань людей, влітку проведено роботи з ліквідації інвазійних небезпечних бур’янів борщівника та амброзії полинолистої, а також обробку територій центральних парків та пляжів від кліщів та комарів. Здійснювався поточний догляд за насадженнями на територіях об’</w:t>
      </w:r>
      <w:r>
        <w:rPr>
          <w:color w:val="000000"/>
          <w:sz w:val="28"/>
          <w:szCs w:val="28"/>
          <w:lang w:val="uk-UA"/>
        </w:rPr>
        <w:t>єктів природно-заповідного фонду, виконано відновлюючі посадки зелених насаджень.</w:t>
      </w:r>
    </w:p>
    <w:p>
      <w:pPr>
        <w:pStyle w:val="Normal"/>
        <w:ind w:firstLine="680"/>
        <w:jc w:val="both"/>
        <w:rPr/>
      </w:pPr>
      <w:r>
        <w:rPr>
          <w:color w:val="000000"/>
          <w:sz w:val="28"/>
          <w:szCs w:val="28"/>
        </w:rPr>
        <w:t>Розпочато інвентаризацію та облік зелених насаджень на територіях комунальних підприємств освіти, культури, медицини. До автоматизованої системи обліку зелених насаджень “</w:t>
      </w:r>
      <w:r>
        <w:rPr>
          <w:color w:val="000000"/>
          <w:sz w:val="28"/>
          <w:szCs w:val="28"/>
          <w:lang w:val="en-US"/>
        </w:rPr>
        <w:t>Inspektree</w:t>
      </w:r>
      <w:r>
        <w:rPr>
          <w:color w:val="000000"/>
          <w:sz w:val="28"/>
          <w:szCs w:val="28"/>
        </w:rPr>
        <w:t>”, внесено дані про 11662 об’єкти. Виготовлено землевпорядну документацію із занесенням на публічну кадастрову карту інформації на об’єкти природо-заповідного фонду  “Гнідавське болото”, “Меморіал”, “Пташиний гай”, “Дубовий гай”. На замовлення виконавчого комітету проведено наукові дослідження щодо біорізноманіття,</w:t>
      </w:r>
      <w:r>
        <w:rPr>
          <w:b/>
          <w:bCs/>
          <w:color w:val="000000"/>
          <w:sz w:val="24"/>
          <w:szCs w:val="24"/>
        </w:rPr>
        <w:t xml:space="preserve"> </w:t>
      </w:r>
      <w:r>
        <w:rPr>
          <w:color w:val="000000"/>
          <w:sz w:val="28"/>
          <w:szCs w:val="28"/>
        </w:rPr>
        <w:t>планів організації та заходів щодо управління та оптимізації на територіях об’єктів  природо-заповідного фонду гідрологічний заказник “Рокинівський” та  загальнозоологічний заказник “Шепель”.</w:t>
      </w:r>
    </w:p>
    <w:p>
      <w:pPr>
        <w:pStyle w:val="Normal"/>
        <w:ind w:firstLine="680"/>
        <w:jc w:val="both"/>
        <w:rPr/>
      </w:pPr>
      <w:r>
        <w:rPr>
          <w:color w:val="000000"/>
          <w:sz w:val="28"/>
          <w:szCs w:val="28"/>
        </w:rPr>
        <w:t xml:space="preserve">Для потреб Луцького зоопарку придбано корми для утримання тварин, що внесені до Червоної книги та виготовлено інформаційні стенди про біорізноманіття тваринного світу. </w:t>
      </w:r>
    </w:p>
    <w:p>
      <w:pPr>
        <w:pStyle w:val="Normal"/>
        <w:ind w:firstLine="680"/>
        <w:jc w:val="both"/>
        <w:rPr/>
      </w:pPr>
      <w:r>
        <w:rPr>
          <w:color w:val="000000"/>
          <w:sz w:val="28"/>
          <w:szCs w:val="28"/>
        </w:rPr>
        <w:t>Традиційно навесні та восени у громаді проведено екологічні толоки, для впорядкування територій парків, пляжів, рекреаційних зон біля водних об’</w:t>
      </w:r>
      <w:r>
        <w:rPr>
          <w:color w:val="000000"/>
          <w:sz w:val="28"/>
          <w:szCs w:val="28"/>
          <w:lang w:val="uk-UA"/>
        </w:rPr>
        <w:t>єктів</w:t>
      </w:r>
      <w:r>
        <w:rPr>
          <w:color w:val="000000"/>
          <w:sz w:val="28"/>
          <w:szCs w:val="28"/>
        </w:rPr>
        <w:t xml:space="preserve"> в яких брали участь сотні волонтерів та активістів. Для дошкільнят та учнів міських навчальних закладів проведено ряд еколого-просвітницьких заходів. У закладах дошкільної освіти № 7, 8, 22 оформлено нові площі ландшафтних куточків, квітників та газонів з різнотрав’я. На території Міського молодіжного центу, що у Центральному парку культури та відпочинку ім.Лесі Українки закладено другий міський город з  використанням пермакультурних  принципів.</w:t>
      </w:r>
    </w:p>
    <w:p>
      <w:pPr>
        <w:pStyle w:val="Normal"/>
        <w:ind w:firstLine="680"/>
        <w:jc w:val="both"/>
        <w:rPr/>
      </w:pPr>
      <w:r>
        <w:rPr>
          <w:color w:val="000000"/>
          <w:sz w:val="28"/>
          <w:szCs w:val="28"/>
        </w:rPr>
        <w:t xml:space="preserve">До проведення загальноміських заходів були залучені особи з числа ВПО, які проживають у громаді. Працівники відділу перераховували одноденний заробіток, працювали у гуманітарних центрах відповідно до графіків. </w:t>
      </w:r>
    </w:p>
    <w:p>
      <w:pPr>
        <w:pStyle w:val="Normal"/>
        <w:ind w:left="0" w:right="0" w:firstLine="709"/>
        <w:jc w:val="center"/>
        <w:rPr>
          <w:rFonts w:ascii="Times New Roman" w:hAnsi="Times New Roman"/>
          <w:b/>
          <w:b/>
          <w:color w:val="000000"/>
          <w:sz w:val="28"/>
          <w:szCs w:val="28"/>
          <w:lang w:val="uk-UA" w:eastAsia="zh-CN" w:bidi="hi-IN"/>
        </w:rPr>
      </w:pPr>
      <w:r>
        <w:rPr>
          <w:b/>
          <w:color w:val="000000"/>
          <w:sz w:val="28"/>
          <w:szCs w:val="28"/>
          <w:lang w:val="uk-UA" w:eastAsia="zh-CN" w:bidi="hi-IN"/>
        </w:rPr>
        <w:t xml:space="preserve">Аналіз проблем галузі охорони довкілля: </w:t>
      </w:r>
    </w:p>
    <w:p>
      <w:pPr>
        <w:pStyle w:val="Normal"/>
        <w:ind w:left="0" w:right="0" w:firstLine="709"/>
        <w:jc w:val="both"/>
        <w:rPr/>
      </w:pPr>
      <w:r>
        <w:rPr>
          <w:b w:val="false"/>
          <w:bCs w:val="false"/>
          <w:i w:val="false"/>
          <w:iCs w:val="false"/>
          <w:color w:val="000000"/>
          <w:sz w:val="28"/>
          <w:szCs w:val="28"/>
          <w:lang w:val="uk-UA" w:eastAsia="zh-CN" w:bidi="hi-IN"/>
        </w:rPr>
        <w:t>1. Діяльність підприємств-забруднювачів (Гнідавський цукровий завод, БіоПЕК), яка призводить до  погіршення умов життєдіяльності населення   в  громаді, на які міська влада не має реальних важелів впливу.</w:t>
      </w:r>
    </w:p>
    <w:p>
      <w:pPr>
        <w:pStyle w:val="Normal"/>
        <w:ind w:left="0" w:right="0" w:firstLine="709"/>
        <w:jc w:val="both"/>
        <w:rPr>
          <w:rFonts w:ascii="Times New Roman" w:hAnsi="Times New Roman"/>
          <w:b w:val="false"/>
          <w:b w:val="false"/>
          <w:bCs w:val="false"/>
          <w:i w:val="false"/>
          <w:i w:val="false"/>
          <w:iCs w:val="false"/>
          <w:color w:val="000000"/>
          <w:sz w:val="28"/>
          <w:szCs w:val="28"/>
          <w:lang w:val="uk-UA" w:eastAsia="zh-CN" w:bidi="hi-IN"/>
        </w:rPr>
      </w:pPr>
      <w:r>
        <w:rPr>
          <w:b w:val="false"/>
          <w:bCs w:val="false"/>
          <w:i w:val="false"/>
          <w:iCs w:val="false"/>
          <w:color w:val="000000"/>
          <w:sz w:val="28"/>
          <w:szCs w:val="28"/>
          <w:lang w:val="uk-UA" w:eastAsia="zh-CN" w:bidi="hi-IN"/>
        </w:rPr>
        <w:t>2. Забруднення поверхневих вод через недосконале очищення стоків, як господарсько-побутових (застарілі очисні споруди), так і зливових (відсутні очисні споруди).</w:t>
      </w:r>
    </w:p>
    <w:p>
      <w:pPr>
        <w:pStyle w:val="Normal"/>
        <w:ind w:left="0" w:right="0" w:firstLine="708"/>
        <w:jc w:val="both"/>
        <w:rPr>
          <w:rFonts w:ascii="Times New Roman" w:hAnsi="Times New Roman"/>
          <w:b w:val="false"/>
          <w:b w:val="false"/>
          <w:bCs w:val="false"/>
          <w:i w:val="false"/>
          <w:i w:val="false"/>
          <w:iCs w:val="false"/>
          <w:color w:val="000000"/>
          <w:sz w:val="28"/>
          <w:szCs w:val="28"/>
          <w:lang w:val="uk-UA" w:eastAsia="zh-CN" w:bidi="hi-IN"/>
        </w:rPr>
      </w:pPr>
      <w:r>
        <w:rPr>
          <w:b w:val="false"/>
          <w:bCs w:val="false"/>
          <w:i w:val="false"/>
          <w:iCs w:val="false"/>
          <w:color w:val="000000"/>
          <w:sz w:val="28"/>
          <w:szCs w:val="28"/>
          <w:lang w:val="uk-UA" w:eastAsia="zh-CN" w:bidi="hi-IN"/>
        </w:rPr>
        <w:t xml:space="preserve">3. Забруднення атмосферного повітря викидами від автомобільного транспорту. </w:t>
      </w:r>
    </w:p>
    <w:p>
      <w:pPr>
        <w:pStyle w:val="Normal"/>
        <w:ind w:left="0" w:right="0" w:firstLine="709"/>
        <w:jc w:val="center"/>
        <w:rPr>
          <w:rFonts w:ascii="Times New Roman" w:hAnsi="Times New Roman"/>
          <w:b/>
          <w:b/>
          <w:bCs/>
          <w:i w:val="false"/>
          <w:i w:val="false"/>
          <w:iCs w:val="false"/>
          <w:color w:val="000000"/>
          <w:sz w:val="28"/>
          <w:szCs w:val="28"/>
          <w:lang w:val="uk-UA" w:eastAsia="zh-CN" w:bidi="hi-IN"/>
        </w:rPr>
      </w:pPr>
      <w:r>
        <w:rPr>
          <w:b/>
          <w:bCs/>
          <w:i w:val="false"/>
          <w:iCs w:val="false"/>
          <w:color w:val="000000"/>
          <w:sz w:val="28"/>
          <w:szCs w:val="28"/>
          <w:lang w:val="uk-UA" w:eastAsia="zh-CN" w:bidi="hi-IN"/>
        </w:rPr>
        <w:t xml:space="preserve"> </w:t>
      </w:r>
      <w:r>
        <w:rPr>
          <w:b/>
          <w:bCs/>
          <w:i w:val="false"/>
          <w:iCs w:val="false"/>
          <w:color w:val="000000"/>
          <w:sz w:val="28"/>
          <w:szCs w:val="28"/>
          <w:lang w:val="uk-UA" w:eastAsia="zh-CN" w:bidi="hi-IN"/>
        </w:rPr>
        <w:t>Поточні та перспективні плани роботи:</w:t>
      </w:r>
    </w:p>
    <w:p>
      <w:pPr>
        <w:pStyle w:val="Normal"/>
        <w:ind w:left="0" w:right="0" w:firstLine="709"/>
        <w:jc w:val="both"/>
        <w:rPr>
          <w:rFonts w:ascii="Times New Roman" w:hAnsi="Times New Roman"/>
          <w:b w:val="false"/>
          <w:b w:val="false"/>
          <w:bCs w:val="false"/>
          <w:i w:val="false"/>
          <w:i w:val="false"/>
          <w:iCs w:val="false"/>
          <w:color w:val="000000"/>
          <w:sz w:val="28"/>
          <w:szCs w:val="28"/>
          <w:u w:val="none"/>
          <w:lang w:val="uk-UA"/>
        </w:rPr>
      </w:pPr>
      <w:r>
        <w:rPr>
          <w:b w:val="false"/>
          <w:bCs w:val="false"/>
          <w:i w:val="false"/>
          <w:iCs w:val="false"/>
          <w:color w:val="000000"/>
          <w:sz w:val="28"/>
          <w:szCs w:val="28"/>
          <w:u w:val="none"/>
          <w:lang w:val="uk-UA"/>
        </w:rPr>
        <w:t>- активне запровадження сортування відходів та просвітницької роботи в даному напрямку;</w:t>
      </w:r>
    </w:p>
    <w:p>
      <w:pPr>
        <w:pStyle w:val="Normal"/>
        <w:ind w:left="0" w:right="0" w:firstLine="709"/>
        <w:jc w:val="both"/>
        <w:rPr>
          <w:rFonts w:ascii="Times New Roman" w:hAnsi="Times New Roman"/>
          <w:b w:val="false"/>
          <w:b w:val="false"/>
          <w:bCs w:val="false"/>
          <w:i w:val="false"/>
          <w:i w:val="false"/>
          <w:iCs w:val="false"/>
          <w:color w:val="000000"/>
          <w:sz w:val="28"/>
          <w:szCs w:val="28"/>
          <w:u w:val="none"/>
          <w:lang w:val="uk-UA"/>
        </w:rPr>
      </w:pPr>
      <w:r>
        <w:rPr>
          <w:b w:val="false"/>
          <w:bCs w:val="false"/>
          <w:i w:val="false"/>
          <w:iCs w:val="false"/>
          <w:color w:val="000000"/>
          <w:sz w:val="28"/>
          <w:szCs w:val="28"/>
          <w:u w:val="none"/>
          <w:lang w:val="uk-UA"/>
        </w:rPr>
        <w:t>- розробка та реалізація заходів для адаптації до кліматичних змін;</w:t>
      </w:r>
    </w:p>
    <w:p>
      <w:pPr>
        <w:pStyle w:val="Normal"/>
        <w:ind w:left="0" w:right="0" w:firstLine="709"/>
        <w:jc w:val="both"/>
        <w:rPr/>
      </w:pPr>
      <w:r>
        <w:rPr>
          <w:rFonts w:cs="Times New Roman"/>
          <w:b w:val="false"/>
          <w:bCs w:val="false"/>
          <w:i w:val="false"/>
          <w:iCs w:val="false"/>
          <w:color w:val="000000"/>
          <w:sz w:val="28"/>
          <w:szCs w:val="28"/>
          <w:u w:val="none"/>
        </w:rPr>
        <w:t xml:space="preserve">- </w:t>
      </w:r>
      <w:r>
        <w:rPr>
          <w:rFonts w:cs="Times New Roman"/>
          <w:b w:val="false"/>
          <w:bCs w:val="false"/>
          <w:i w:val="false"/>
          <w:iCs w:val="false"/>
          <w:color w:val="000000"/>
          <w:sz w:val="28"/>
          <w:szCs w:val="28"/>
          <w:u w:val="none"/>
          <w:lang w:val="uk-UA"/>
        </w:rPr>
        <w:t>розробка землевпорядної документації  для об’єктів природно-заповідного фонду та земель водного фонду;</w:t>
      </w:r>
    </w:p>
    <w:p>
      <w:pPr>
        <w:pStyle w:val="Normal"/>
        <w:ind w:left="0" w:right="0" w:firstLine="709"/>
        <w:jc w:val="both"/>
        <w:rPr/>
      </w:pPr>
      <w:r>
        <w:rPr>
          <w:rFonts w:cs="Times New Roman"/>
          <w:b w:val="false"/>
          <w:bCs w:val="false"/>
          <w:i w:val="false"/>
          <w:iCs w:val="false"/>
          <w:color w:val="000000"/>
          <w:sz w:val="28"/>
          <w:szCs w:val="28"/>
          <w:u w:val="none"/>
          <w:lang w:val="uk-UA"/>
        </w:rPr>
        <w:t xml:space="preserve">- розширення доступу громадськості до інформації про стан навколишнього середовища через удосконалення роботи та наповнення </w:t>
      </w:r>
      <w:r>
        <w:rPr>
          <w:rFonts w:cs="Times New Roman"/>
          <w:b w:val="false"/>
          <w:bCs w:val="false"/>
          <w:i w:val="false"/>
          <w:iCs w:val="false"/>
          <w:color w:val="000000"/>
          <w:sz w:val="28"/>
          <w:szCs w:val="28"/>
          <w:u w:val="none"/>
          <w:lang w:val="uk-UA" w:eastAsia="zh-CN" w:bidi="hi-IN"/>
        </w:rPr>
        <w:t>геоінформаційних систем та наборів відкритих даних.</w:t>
      </w:r>
    </w:p>
    <w:p>
      <w:pPr>
        <w:pStyle w:val="Normal"/>
        <w:ind w:left="0" w:right="0" w:firstLine="680"/>
        <w:jc w:val="both"/>
        <w:rPr>
          <w:rFonts w:ascii="Times New Roman" w:hAnsi="Times New Roman" w:cs="Times New Roman"/>
          <w:sz w:val="28"/>
          <w:szCs w:val="28"/>
        </w:rPr>
      </w:pPr>
      <w:r>
        <w:rPr>
          <w:rFonts w:cs="Times New Roman"/>
          <w:sz w:val="28"/>
          <w:szCs w:val="28"/>
        </w:rPr>
      </w:r>
    </w:p>
    <w:p>
      <w:pPr>
        <w:pStyle w:val="Normal"/>
        <w:ind w:left="0" w:right="0" w:hanging="0"/>
        <w:jc w:val="both"/>
        <w:rPr>
          <w:rFonts w:ascii="Times New Roman" w:hAnsi="Times New Roman" w:cs="Times New Roman"/>
          <w:sz w:val="28"/>
          <w:szCs w:val="28"/>
          <w:lang w:val="uk-UA" w:eastAsia="zh-CN" w:bidi="hi-IN"/>
        </w:rPr>
      </w:pPr>
      <w:r>
        <w:rPr>
          <w:rFonts w:cs="Times New Roman"/>
          <w:sz w:val="28"/>
          <w:szCs w:val="28"/>
          <w:lang w:val="uk-UA" w:eastAsia="zh-CN" w:bidi="hi-IN"/>
        </w:rPr>
        <w:t>Начальник відділу                                                                        Оксана ЛИСАК</w:t>
      </w:r>
    </w:p>
    <w:p>
      <w:pPr>
        <w:pStyle w:val="Normal"/>
        <w:ind w:left="0" w:right="0" w:hanging="0"/>
        <w:jc w:val="both"/>
        <w:rPr>
          <w:rFonts w:ascii="Times New Roman" w:hAnsi="Times New Roman" w:cs="Times New Roman"/>
          <w:sz w:val="28"/>
          <w:szCs w:val="28"/>
          <w:lang w:val="uk-UA" w:eastAsia="zh-CN" w:bidi="hi-IN"/>
        </w:rPr>
      </w:pPr>
      <w:r>
        <w:rPr>
          <w:rFonts w:cs="Times New Roman"/>
          <w:sz w:val="28"/>
          <w:szCs w:val="28"/>
          <w:lang w:val="uk-UA" w:eastAsia="zh-CN" w:bidi="hi-IN"/>
        </w:rPr>
      </w:r>
    </w:p>
    <w:p>
      <w:pPr>
        <w:pStyle w:val="Normal"/>
        <w:ind w:left="0" w:right="0" w:hanging="0"/>
        <w:jc w:val="both"/>
        <w:rPr>
          <w:rFonts w:ascii="Times New Roman" w:hAnsi="Times New Roman" w:eastAsia="Calibri" w:cs="Times New Roman"/>
          <w:sz w:val="28"/>
          <w:szCs w:val="28"/>
          <w:lang w:val="uk-UA" w:eastAsia="en-US"/>
        </w:rPr>
      </w:pPr>
      <w:r>
        <w:rPr>
          <w:rFonts w:eastAsia="Calibri" w:cs="Times New Roman"/>
          <w:sz w:val="28"/>
          <w:szCs w:val="28"/>
          <w:lang w:val="uk-UA" w:eastAsia="en-US"/>
        </w:rPr>
      </w:r>
    </w:p>
    <w:p>
      <w:pPr>
        <w:pStyle w:val="Normal"/>
        <w:ind w:left="0" w:right="0" w:firstLine="567"/>
        <w:jc w:val="both"/>
        <w:rPr>
          <w:b w:val="false"/>
          <w:b w:val="false"/>
          <w:i w:val="false"/>
          <w:i w:val="false"/>
          <w:caps w:val="false"/>
          <w:smallCaps w:val="false"/>
          <w:color w:val="212529"/>
          <w:spacing w:val="0"/>
        </w:rPr>
      </w:pPr>
      <w:r>
        <w:rPr>
          <w:b w:val="false"/>
          <w:i w:val="false"/>
          <w:caps w:val="false"/>
          <w:smallCaps w:val="false"/>
          <w:color w:val="212529"/>
          <w:spacing w:val="0"/>
        </w:rPr>
      </w:r>
    </w:p>
    <w:p>
      <w:pPr>
        <w:pStyle w:val="Normal"/>
        <w:ind w:left="0" w:right="0" w:firstLine="567"/>
        <w:jc w:val="both"/>
        <w:rPr>
          <w:rFonts w:ascii="Times New Roman" w:hAnsi="Times New Roman"/>
          <w:sz w:val="28"/>
          <w:szCs w:val="28"/>
          <w:lang w:val="uk-UA"/>
        </w:rPr>
      </w:pPr>
      <w:r>
        <w:rPr>
          <w:sz w:val="28"/>
          <w:szCs w:val="28"/>
          <w:lang w:val="uk-UA"/>
        </w:rPr>
      </w:r>
    </w:p>
    <w:p>
      <w:pPr>
        <w:pStyle w:val="Normal"/>
        <w:ind w:left="0" w:right="0" w:hanging="0"/>
        <w:jc w:val="both"/>
        <w:rPr>
          <w:sz w:val="28"/>
          <w:szCs w:val="28"/>
        </w:rPr>
      </w:pPr>
      <w:r>
        <w:rPr>
          <w:sz w:val="28"/>
          <w:szCs w:val="28"/>
        </w:rPr>
      </w:r>
    </w:p>
    <w:p>
      <w:pPr>
        <w:pStyle w:val="Normal"/>
        <w:ind w:left="0" w:right="0" w:hanging="0"/>
        <w:jc w:val="both"/>
        <w:rPr/>
      </w:pPr>
      <w:r>
        <w:rPr/>
      </w:r>
    </w:p>
    <w:sectPr>
      <w:type w:val="nextPage"/>
      <w:pgSz w:w="11906" w:h="16838"/>
      <w:pgMar w:left="1701"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useWord2013TrackBottomHyphenation" w:uri="http://schemas.microsoft.com/office/word" w:val="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uk-UA"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b5a01"/>
    <w:pPr>
      <w:widowControl/>
      <w:bidi w:val="0"/>
      <w:spacing w:lineRule="auto" w:line="240" w:before="0" w:after="0"/>
      <w:jc w:val="left"/>
    </w:pPr>
    <w:rPr>
      <w:rFonts w:ascii="Times New Roman" w:hAnsi="Times New Roman" w:eastAsia="Times New Roman" w:cs="Times New Roman"/>
      <w:color w:val="auto"/>
      <w:kern w:val="0"/>
      <w:sz w:val="24"/>
      <w:szCs w:val="24"/>
      <w:lang w:val="uk-UA" w:eastAsia="ru-RU" w:bidi="ar-SA"/>
    </w:rPr>
  </w:style>
  <w:style w:type="character" w:styleId="DefaultParagraphFont" w:default="1">
    <w:name w:val="Default Paragraph Font"/>
    <w:uiPriority w:val="1"/>
    <w:semiHidden/>
    <w:unhideWhenUsed/>
    <w:qFormat/>
    <w:rPr/>
  </w:style>
  <w:style w:type="character" w:styleId="Style14">
    <w:name w:val="Гіперпосилання"/>
    <w:rsid w:val="000b5a01"/>
    <w:rPr>
      <w:color w:val="0000FF"/>
      <w:u w:val="single"/>
    </w:rPr>
  </w:style>
  <w:style w:type="character" w:styleId="Style15">
    <w:name w:val="Символ нумерації"/>
    <w:qFormat/>
    <w:rPr/>
  </w:style>
  <w:style w:type="paragraph" w:styleId="Style16">
    <w:name w:val="Заголовок"/>
    <w:basedOn w:val="Normal"/>
    <w:next w:val="Style17"/>
    <w:qFormat/>
    <w:pPr>
      <w:keepNext w:val="true"/>
      <w:spacing w:before="240" w:after="120"/>
    </w:pPr>
    <w:rPr>
      <w:rFonts w:ascii="Liberation Sans" w:hAnsi="Liberation Sans" w:eastAsia="Microsoft YaHei" w:cs="Arial"/>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Покажчик"/>
    <w:basedOn w:val="Normal"/>
    <w:qFormat/>
    <w:pPr>
      <w:suppressLineNumbers/>
    </w:pPr>
    <w:rPr>
      <w:rFonts w:cs="Arial"/>
    </w:rPr>
  </w:style>
  <w:style w:type="paragraph" w:styleId="Style51" w:customStyle="1">
    <w:name w:val="Style5"/>
    <w:basedOn w:val="Normal"/>
    <w:qFormat/>
    <w:rsid w:val="000b5a01"/>
    <w:pPr>
      <w:widowControl w:val="false"/>
      <w:spacing w:lineRule="exact" w:line="312"/>
      <w:ind w:firstLine="550"/>
      <w:jc w:val="both"/>
    </w:pPr>
    <w:rPr/>
  </w:style>
  <w:style w:type="paragraph" w:styleId="Style21">
    <w:name w:val="Вміст таблиці"/>
    <w:basedOn w:val="Normal"/>
    <w:qFormat/>
    <w:pPr>
      <w:widowControl w:val="false"/>
      <w:suppressLineNumbers/>
    </w:pPr>
    <w:rPr/>
  </w:style>
  <w:style w:type="paragraph" w:styleId="Style22">
    <w:name w:val="Заголовок таблиці"/>
    <w:basedOn w:val="Style21"/>
    <w:qFormat/>
    <w:pPr>
      <w:suppressLineNumbers/>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421</TotalTime>
  <Application>LibreOffice/7.1.5.2$Windows_X86_64 LibreOffice_project/85f04e9f809797b8199d13c421bd8a2b025d52b5</Application>
  <AppVersion>15.0000</AppVersion>
  <DocSecurity>0</DocSecurity>
  <Pages>3</Pages>
  <Words>788</Words>
  <Characters>5602</Characters>
  <CharactersWithSpaces>6465</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2022-02-22T13:47:00Z</dcterms:created>
  <dc:creator>nkhmel</dc:creator>
  <dc:description/>
  <dc:language>uk-UA</dc:language>
  <cp:lastModifiedBy/>
  <dcterms:modified xsi:type="dcterms:W3CDTF">2024-02-13T11:19:35Z</dcterms:modified>
  <cp:revision>38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