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hanging="0" w:left="0" w:right="0"/>
        <w:jc w:val="center"/>
        <w:rPr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Звіт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про роботу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відділу екології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>в галузі</w:t>
      </w:r>
    </w:p>
    <w:p>
      <w:pPr>
        <w:pStyle w:val="Normal"/>
        <w:bidi w:val="0"/>
        <w:ind w:hanging="0" w:left="0" w:right="0"/>
        <w:jc w:val="center"/>
        <w:rPr>
          <w:b w:val="false"/>
          <w:bCs w:val="false"/>
          <w:i w:val="false"/>
          <w:i w:val="false"/>
          <w:iCs w:val="false"/>
        </w:rPr>
      </w:pP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охорони довкілля 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>за 2024 рік</w:t>
      </w:r>
    </w:p>
    <w:p>
      <w:pPr>
        <w:pStyle w:val="Normal"/>
        <w:jc w:val="center"/>
        <w:rPr>
          <w:rFonts w:ascii="Times New Roman" w:hAnsi="Times New Roman" w:cs="Times New Roman"/>
          <w:b w:val="false"/>
          <w:bCs w:val="false"/>
          <w:i w:val="false"/>
          <w:i w:val="false"/>
          <w:iCs w:val="false"/>
          <w:color w:val="000000"/>
          <w:sz w:val="28"/>
          <w:szCs w:val="28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z w:val="28"/>
          <w:szCs w:val="28"/>
        </w:rPr>
      </w:r>
    </w:p>
    <w:p>
      <w:pPr>
        <w:pStyle w:val="Normal"/>
        <w:jc w:val="both"/>
        <w:rPr>
          <w:rFonts w:cs="Times New Roman"/>
          <w:b/>
          <w:i/>
          <w:i/>
          <w:color w:val="000000"/>
          <w:sz w:val="28"/>
          <w:szCs w:val="28"/>
        </w:rPr>
      </w:pPr>
      <w:r>
        <w:rPr>
          <w:rFonts w:cs="Times New Roman"/>
          <w:b/>
          <w:i/>
          <w:color w:val="000000"/>
          <w:sz w:val="28"/>
          <w:szCs w:val="28"/>
        </w:rPr>
        <w:t>Природоохоронна  діяльність та екологія</w:t>
      </w:r>
    </w:p>
    <w:p>
      <w:pPr>
        <w:pStyle w:val="Normal"/>
        <w:ind w:firstLine="680" w:left="0" w:right="0"/>
        <w:jc w:val="both"/>
        <w:rPr>
          <w:i w:val="false"/>
          <w:i w:val="false"/>
          <w:iCs w:val="false"/>
        </w:rPr>
      </w:pPr>
      <w:r>
        <w:rPr>
          <w:rFonts w:cs="Times New Roman"/>
          <w:i w:val="false"/>
          <w:iCs w:val="false"/>
          <w:color w:val="000000"/>
          <w:sz w:val="28"/>
          <w:szCs w:val="28"/>
          <w:lang w:val="uk-UA" w:eastAsia="zh-CN" w:bidi="hi-IN"/>
        </w:rPr>
        <w:t>Основним документом, який визначає політику та стратегію діяльності міської ради в галузі охорони довкілля є “Комплексна програми охорони довкілля Луцької міської територіальної громади на 2022-2025 роки”. В рамках реалізації Програми п</w:t>
      </w:r>
      <w:r>
        <w:rPr>
          <w:i w:val="false"/>
          <w:iCs w:val="false"/>
          <w:color w:val="000000"/>
          <w:sz w:val="28"/>
          <w:szCs w:val="28"/>
          <w:lang w:val="uk-UA"/>
        </w:rPr>
        <w:t>роведено комплекс робіт та виконано природоохоронних заходів</w:t>
      </w:r>
      <w:r>
        <w:rPr>
          <w:i w:val="false"/>
          <w:iCs w:val="false"/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</w:rPr>
        <w:t xml:space="preserve">на загальну суму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en-US"/>
        </w:rPr>
        <w:t xml:space="preserve"> 5 606,4101 тис. 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</w:rPr>
        <w:t>гривень, з них 1 155,6 тис. грн за рахунок коштів міського бюджету.</w:t>
      </w:r>
    </w:p>
    <w:p>
      <w:pPr>
        <w:pStyle w:val="Normal"/>
        <w:ind w:firstLine="680" w:left="0" w:right="0"/>
        <w:jc w:val="both"/>
        <w:rPr/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 2024 році основна увага приділялась забезпеченню екологічної стабільності та безпеки населення </w:t>
      </w:r>
      <w:r>
        <w:rPr>
          <w:color w:val="000000"/>
          <w:sz w:val="28"/>
          <w:szCs w:val="28"/>
          <w:lang w:val="uk-UA"/>
        </w:rPr>
        <w:t>за такими напрямками:</w:t>
      </w:r>
    </w:p>
    <w:p>
      <w:pPr>
        <w:pStyle w:val="Normal"/>
        <w:ind w:firstLine="680" w:left="0" w:right="0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1. Охорона та збереження водних ресурсів.</w:t>
      </w:r>
    </w:p>
    <w:p>
      <w:pPr>
        <w:pStyle w:val="Normal"/>
        <w:ind w:firstLine="680" w:left="0" w:right="0"/>
        <w:jc w:val="both"/>
        <w:rPr/>
      </w:pPr>
      <w:r>
        <w:rPr>
          <w:color w:val="000000"/>
          <w:sz w:val="28"/>
          <w:szCs w:val="28"/>
        </w:rPr>
        <w:t>Проведено роботи з впорядкування та очищення від аварійних, самосійних дерев та чагарників, косіння бур’янів</w:t>
      </w:r>
      <w:r>
        <w:rPr>
          <w:color w:val="000000"/>
          <w:sz w:val="28"/>
          <w:szCs w:val="28"/>
          <w:lang w:val="uk-UA"/>
        </w:rPr>
        <w:t xml:space="preserve"> у </w:t>
      </w:r>
      <w:r>
        <w:rPr>
          <w:color w:val="000000"/>
          <w:sz w:val="28"/>
          <w:szCs w:val="28"/>
        </w:rPr>
        <w:t xml:space="preserve">прибережній смузі р.Сапалаївка, загальною вартістю виконаних робіт 304,97 тис. грн. </w:t>
      </w:r>
    </w:p>
    <w:p>
      <w:pPr>
        <w:pStyle w:val="Normal"/>
        <w:ind w:firstLine="680" w:left="0" w:righ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Розпочато розробку проектно-кошторисної документації з відновлення гідрологічного режиму і санітарного стану р. Омелянка. Виконання проєкту зменшить підтоплення земельних ділянок в районі приватної забудови в с.Великий Омеляник вул. Набережна та в районі вул. Володимирської в м.Луцьку.  </w:t>
      </w:r>
    </w:p>
    <w:p>
      <w:pPr>
        <w:pStyle w:val="Normal"/>
        <w:ind w:firstLine="680" w:left="0" w:right="0"/>
        <w:jc w:val="both"/>
        <w:rPr/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ТзОВ “Річтранс Луцьк” проведено роботи з розчищення русла та ліквідації заторів на р.Омелянка в с.Великий Омеляник з метою відновлення і підтримання сприятливого гідрологічного режиму та санітарного стану річки, зменшення підтоплення на суму 19,67 тис. грн. Проведено очищення водоохоронної зони і прибережної захисної смуги р. Стир на суму 98,7 тис. грн. </w:t>
      </w:r>
    </w:p>
    <w:p>
      <w:pPr>
        <w:pStyle w:val="Normal"/>
        <w:bidi w:val="0"/>
        <w:ind w:firstLine="680" w:left="0" w:right="0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2. Поводження з відходами</w:t>
      </w:r>
    </w:p>
    <w:p>
      <w:pPr>
        <w:pStyle w:val="Normal"/>
        <w:bidi w:val="0"/>
        <w:ind w:firstLine="680" w:left="0" w:right="0"/>
        <w:jc w:val="both"/>
        <w:rPr>
          <w:color w:val="000000"/>
        </w:rPr>
      </w:pPr>
      <w:r>
        <w:rPr>
          <w:b w:val="false"/>
          <w:bCs w:val="false"/>
          <w:color w:val="000000"/>
          <w:sz w:val="28"/>
          <w:szCs w:val="28"/>
          <w:lang w:val="uk-UA"/>
        </w:rPr>
        <w:t>У 2024 році</w:t>
      </w:r>
      <w:r>
        <w:rPr>
          <w:b w:val="false"/>
          <w:bCs w:val="false"/>
          <w:color w:val="000000"/>
          <w:sz w:val="28"/>
          <w:szCs w:val="28"/>
          <w:u w:val="none"/>
          <w:lang w:val="uk-UA"/>
        </w:rPr>
        <w:t xml:space="preserve"> м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uk-UA"/>
        </w:rPr>
        <w:t>істо стало учасником Програми Zero Waste Certified City –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 xml:space="preserve"> це міжнародна ініціатива, спрямована на сприяння переходу 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>громад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 xml:space="preserve"> до економіки замкненого циклу. Сертифікація підтверджуватиме досягнення 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>громади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 xml:space="preserve"> у сфері управління відходами та 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>її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 xml:space="preserve"> прагнення до створення сталого майбутнього та міжнародного проєкту “Міста нуль відходів в Україні”, спрямованого на покращення системи управління відходами для чотирьох українських міст, одним з яких є м.Луцьк. Участь у проєкті забезпечить можливість посилити інституційну спроможність муніципалітету в питаннях управління з відходами, провести поглиблений аудит існуючої системи управління, виконати довгострокове планування та впровадження сталого управління, реалізувати інфраструктурний проєкт по обраній фракції відходів.</w:t>
      </w:r>
    </w:p>
    <w:p>
      <w:pPr>
        <w:pStyle w:val="Normal"/>
        <w:bidi w:val="0"/>
        <w:ind w:firstLine="680" w:left="0" w:right="0"/>
        <w:jc w:val="both"/>
        <w:rPr>
          <w:color w:val="000000"/>
        </w:rPr>
      </w:pP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>У громаді</w:t>
      </w: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 xml:space="preserve"> активно впроваджуємо практики сортування побутових відходів через три Центри управління відходами, встановлення додаткового обладнання для сортування відходів. Для закладів дошкільної освіти у звітному році закуплено 57 кольорових контейнери для роздільного збору ПЕТ пляшки та скла, вартістю 98 тис. грн.,  до них розроблено спеціальні інформаційні наліпки.</w:t>
      </w:r>
    </w:p>
    <w:p>
      <w:pPr>
        <w:pStyle w:val="Normal"/>
        <w:bidi w:val="0"/>
        <w:ind w:firstLine="680" w:left="0" w:right="0"/>
        <w:jc w:val="both"/>
        <w:rPr>
          <w:color w:val="000000"/>
        </w:rPr>
      </w:pP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 xml:space="preserve">Триває реалізація окремих проєктів щодо роздільного збору відходів, наприклад таких, як організація збору блістерів від ліків, компостування органічних відходів, збір макулатури, батарейок та кришечок від ПЕТ пляшок. </w:t>
      </w:r>
    </w:p>
    <w:p>
      <w:pPr>
        <w:pStyle w:val="Normal"/>
        <w:bidi w:val="0"/>
        <w:ind w:firstLine="680" w:left="0" w:right="0"/>
        <w:jc w:val="both"/>
        <w:rPr>
          <w:color w:val="000000"/>
        </w:rPr>
      </w:pPr>
      <w:r>
        <w:rPr>
          <w:color w:val="000000"/>
          <w:sz w:val="28"/>
          <w:szCs w:val="28"/>
        </w:rPr>
        <w:t>Забезпечено збір від населення, вивезення та передачу на утилізацію  відходів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en-US"/>
        </w:rPr>
        <w:t>I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>класу небезпеки: 3000 кг відпрацьованих батарейок, вартість послуг становила 220 тис. грн.</w:t>
      </w:r>
    </w:p>
    <w:p>
      <w:pPr>
        <w:pStyle w:val="Normal"/>
        <w:ind w:firstLine="680" w:left="0" w:right="0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3. Охорона атмосферного повітря</w:t>
      </w:r>
    </w:p>
    <w:p>
      <w:pPr>
        <w:pStyle w:val="Normal"/>
        <w:ind w:firstLine="680" w:left="0" w:right="0"/>
        <w:jc w:val="both"/>
        <w:rPr>
          <w:color w:val="000000"/>
        </w:rPr>
      </w:pPr>
      <w:r>
        <w:rPr>
          <w:b w:val="false"/>
          <w:bCs w:val="false"/>
          <w:color w:val="000000"/>
          <w:sz w:val="28"/>
          <w:szCs w:val="28"/>
          <w:lang w:val="uk-UA"/>
        </w:rPr>
        <w:t>Здійснюється контроль за діяльністю місцевих підприємств щодо проведення</w:t>
      </w:r>
      <w:bookmarkStart w:id="0" w:name="__DdeLink__2816_6258866841"/>
      <w:r>
        <w:rPr>
          <w:rFonts w:cs="Times New Roman"/>
          <w:b w:val="false"/>
          <w:bCs w:val="false"/>
          <w:color w:val="000000"/>
          <w:sz w:val="28"/>
          <w:szCs w:val="28"/>
          <w:lang w:val="uk-UA" w:eastAsia="zh-CN" w:bidi="hi-IN"/>
        </w:rPr>
        <w:t xml:space="preserve"> режимно-налагоджувальних робіт на газоспалювальному обладнанні </w:t>
      </w:r>
      <w:bookmarkEnd w:id="0"/>
      <w:r>
        <w:rPr>
          <w:rFonts w:cs="Times New Roman"/>
          <w:b w:val="false"/>
          <w:bCs w:val="false"/>
          <w:color w:val="000000"/>
          <w:sz w:val="28"/>
          <w:szCs w:val="28"/>
          <w:lang w:val="uk-UA" w:eastAsia="zh-CN" w:bidi="hi-IN"/>
        </w:rPr>
        <w:t xml:space="preserve">та реконструкції пило-газоочисного устаткування, що сприяє зменшенню викидів забруднювальних речовин у атмосферне повітря. </w:t>
      </w:r>
    </w:p>
    <w:p>
      <w:pPr>
        <w:pStyle w:val="Normal"/>
        <w:bidi w:val="0"/>
        <w:ind w:firstLine="680" w:left="0" w:right="0"/>
        <w:jc w:val="both"/>
        <w:rPr>
          <w:color w:val="000000"/>
        </w:rPr>
      </w:pPr>
      <w:r>
        <w:rPr>
          <w:rFonts w:cs="Times New Roman"/>
          <w:b w:val="false"/>
          <w:bCs w:val="false"/>
          <w:color w:val="000000"/>
          <w:sz w:val="28"/>
          <w:szCs w:val="28"/>
          <w:lang w:val="uk-UA" w:eastAsia="zh-CN" w:bidi="hi-IN"/>
        </w:rPr>
        <w:t>Діє система автоматичного онлайн-моніторингу “Чисте повітря Луцьк”. Результати моніторингу оприлюднені та доступні населенню на офіційному сайті міської ради та порталі громадського моніторингу Есо-сі</w:t>
      </w:r>
      <w:r>
        <w:rPr>
          <w:rFonts w:cs="Times New Roman"/>
          <w:b w:val="false"/>
          <w:bCs w:val="false"/>
          <w:color w:val="000000"/>
          <w:sz w:val="28"/>
          <w:szCs w:val="28"/>
          <w:lang w:val="en-US" w:eastAsia="zh-CN" w:bidi="hi-IN"/>
        </w:rPr>
        <w:t xml:space="preserve">ty. </w:t>
      </w:r>
      <w:r>
        <w:rPr>
          <w:rFonts w:cs="Times New Roman"/>
          <w:b w:val="false"/>
          <w:bCs w:val="false"/>
          <w:color w:val="000000"/>
          <w:sz w:val="28"/>
          <w:szCs w:val="28"/>
          <w:lang w:val="uk-UA" w:eastAsia="zh-CN" w:bidi="hi-IN"/>
        </w:rPr>
        <w:t xml:space="preserve">Додатково у 2024 році </w:t>
      </w:r>
      <w:r>
        <w:rPr>
          <w:rFonts w:cs="Times New Roman"/>
          <w:b w:val="false"/>
          <w:bCs w:val="false"/>
          <w:color w:val="000000"/>
          <w:sz w:val="28"/>
          <w:szCs w:val="28"/>
          <w:lang w:val="en-US" w:eastAsia="zh-CN" w:bidi="hi-IN"/>
        </w:rPr>
        <w:t>встановлен</w:t>
      </w:r>
      <w:r>
        <w:rPr>
          <w:rFonts w:cs="Times New Roman"/>
          <w:b w:val="false"/>
          <w:bCs w:val="false"/>
          <w:color w:val="000000"/>
          <w:sz w:val="28"/>
          <w:szCs w:val="28"/>
          <w:lang w:val="uk-UA" w:eastAsia="zh-CN" w:bidi="hi-IN"/>
        </w:rPr>
        <w:t>ий</w:t>
      </w:r>
      <w:r>
        <w:rPr>
          <w:rFonts w:cs="Times New Roman"/>
          <w:b w:val="false"/>
          <w:bCs w:val="false"/>
          <w:color w:val="000000"/>
          <w:sz w:val="28"/>
          <w:szCs w:val="28"/>
          <w:lang w:val="en-US" w:eastAsia="zh-CN" w:bidi="hi-IN"/>
        </w:rPr>
        <w:t xml:space="preserve"> віджет-інформер</w:t>
      </w:r>
      <w:r>
        <w:rPr>
          <w:rFonts w:cs="Times New Roman"/>
          <w:b w:val="false"/>
          <w:bCs w:val="false"/>
          <w:color w:val="000000"/>
          <w:sz w:val="28"/>
          <w:szCs w:val="28"/>
          <w:lang w:val="uk-UA" w:eastAsia="zh-CN" w:bidi="hi-IN"/>
        </w:rPr>
        <w:t xml:space="preserve"> — інструмент інформування мешканців щодо стану показників складових довкілля у обласному центрі та розміщуються звіти оцінки впливу на довкілля планованої діяльності суб’єктів господарювання в межах громади для інформування населення про можливі впливи на довкілля. </w:t>
      </w:r>
    </w:p>
    <w:p>
      <w:pPr>
        <w:pStyle w:val="Normal"/>
        <w:bidi w:val="0"/>
        <w:ind w:firstLine="680" w:left="0" w:right="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 w:eastAsia="zh-CN" w:bidi="hi-IN"/>
        </w:rPr>
      </w:pPr>
      <w:r>
        <w:rPr>
          <w:rFonts w:cs="Times New Roman"/>
          <w:b/>
          <w:bCs/>
          <w:color w:val="000000"/>
          <w:sz w:val="28"/>
          <w:szCs w:val="28"/>
          <w:lang w:val="uk-UA" w:eastAsia="zh-CN" w:bidi="hi-IN"/>
        </w:rPr>
        <w:t>4.  Озеленення, охорона рослинного  та тваринного світу.</w:t>
      </w:r>
    </w:p>
    <w:p>
      <w:pPr>
        <w:pStyle w:val="Normal"/>
        <w:ind w:firstLine="680" w:left="0" w:right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З метою зменшення загрози травмування чи поширення захворювань людей, влітку проведено роботи з ліквідації інвазійних небезпечних бур’янів борщівника та амброзії полинолистої на суму 266,9 тис. грн, а також обробку територій центральних парків та пляжів від кліщів та комарів на суму 99,6 тис. грн. </w:t>
      </w:r>
    </w:p>
    <w:p>
      <w:pPr>
        <w:pStyle w:val="Normal"/>
        <w:ind w:firstLine="680" w:left="0" w:right="0"/>
        <w:jc w:val="both"/>
        <w:rPr>
          <w:color w:val="000000"/>
        </w:rPr>
      </w:pPr>
      <w:r>
        <w:rPr>
          <w:color w:val="000000"/>
          <w:sz w:val="28"/>
          <w:szCs w:val="28"/>
        </w:rPr>
        <w:t>Проведено обстеження та ідентифікацію 30 самозаліснених земельних ділянок площею понад 200 га з метою віднесення їх до земель лісового фонду та належного утримання спеціалізованою комунальною організацією. За зверненнями громадян, установ та організацій проведено обстеження понад 2 тис. дерев для прийняття рішення про їх утримання, догляд чи видалення.</w:t>
      </w:r>
    </w:p>
    <w:p>
      <w:pPr>
        <w:pStyle w:val="Normal"/>
        <w:ind w:firstLine="680" w:left="0" w:right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Навесні проведено відновлювальні посадки на території комунального лісу в с.Кульчин Жидичинського старостинського округу, висаджено понад 300 саджанців дуба черешчатого. Висаджено алею дубів Шевченка у гімназії №17 в м.Луцьку та оновлено насадження у сквері на вул.Данила Галицького спільно з вихованцями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Дитячого центру раннього естетично-інтелектуального розвитку</w:t>
      </w:r>
      <w:r>
        <w:rPr>
          <w:color w:val="000000"/>
          <w:sz w:val="28"/>
          <w:szCs w:val="28"/>
        </w:rPr>
        <w:t xml:space="preserve"> “Світлинка”. Продовжуємо практику міського городництва  з  використанням пермакультурних принципів на території Луцького національного технічного університету. До проведення заходів були залучені особи з числа ВПО, які проживають у громаді. До автоматизованої системи обліку зелених насаджень “</w:t>
      </w:r>
      <w:r>
        <w:rPr>
          <w:color w:val="000000"/>
          <w:sz w:val="28"/>
          <w:szCs w:val="28"/>
          <w:lang w:val="en-US"/>
        </w:rPr>
        <w:t>Inspektree</w:t>
      </w:r>
      <w:r>
        <w:rPr>
          <w:color w:val="000000"/>
          <w:sz w:val="28"/>
          <w:szCs w:val="28"/>
        </w:rPr>
        <w:t>” внесено дані про 11</w:t>
      </w:r>
      <w:r>
        <w:rPr>
          <w:color w:val="000000"/>
          <w:sz w:val="28"/>
          <w:szCs w:val="28"/>
          <w:lang w:val="en-US"/>
        </w:rPr>
        <w:t>720</w:t>
      </w:r>
      <w:r>
        <w:rPr>
          <w:color w:val="000000"/>
          <w:sz w:val="28"/>
          <w:szCs w:val="28"/>
        </w:rPr>
        <w:t xml:space="preserve"> дерев. </w:t>
      </w:r>
    </w:p>
    <w:p>
      <w:pPr>
        <w:pStyle w:val="Normal"/>
        <w:ind w:firstLine="680" w:left="0" w:right="0"/>
        <w:jc w:val="both"/>
        <w:rPr>
          <w:b/>
          <w:bCs/>
          <w:color w:val="C9211E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 Охорона та збереження об’єктів природно-заповідного фонду</w:t>
      </w:r>
    </w:p>
    <w:p>
      <w:pPr>
        <w:pStyle w:val="Normal"/>
        <w:ind w:firstLine="680" w:left="0" w:right="0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Здійснювався поточний догляд за насадженнями на територіях об’єктів природно-заповідного фонду (викошування бур’янів та порослі, вирізування омели, полив саджанців) на суму 216,6 тис. грн.</w:t>
      </w:r>
    </w:p>
    <w:p>
      <w:pPr>
        <w:pStyle w:val="Normal"/>
        <w:ind w:firstLine="680" w:left="0" w:right="0"/>
        <w:jc w:val="both"/>
        <w:rPr>
          <w:color w:val="000000"/>
        </w:rPr>
      </w:pPr>
      <w:r>
        <w:rPr>
          <w:color w:val="000000"/>
          <w:sz w:val="28"/>
          <w:szCs w:val="28"/>
          <w:lang w:val="uk-UA"/>
        </w:rPr>
        <w:t>Продовжили в</w:t>
      </w:r>
      <w:r>
        <w:rPr>
          <w:color w:val="000000"/>
          <w:sz w:val="28"/>
          <w:szCs w:val="28"/>
        </w:rPr>
        <w:t xml:space="preserve">иготовлення землевпорядної документації на об’єкти природно-заповідного фонду “Липа звичайна” віком 350 років, та “Липа звичайна” віком 250 років, “Дуб біля будинку Косачів”, “Дерево породи Платан західний”. </w:t>
      </w:r>
    </w:p>
    <w:p>
      <w:pPr>
        <w:pStyle w:val="Normal"/>
        <w:ind w:firstLine="680" w:left="0" w:right="0"/>
        <w:jc w:val="both"/>
        <w:rPr>
          <w:color w:val="C9211E"/>
          <w:sz w:val="28"/>
          <w:szCs w:val="28"/>
        </w:rPr>
      </w:pPr>
      <w:r>
        <w:rPr>
          <w:color w:val="000000"/>
          <w:sz w:val="28"/>
          <w:szCs w:val="28"/>
        </w:rPr>
        <w:t>Виготовлено та встановлено 30 шт. спеціальних знаків для встановлення меж територій та об’єктів природо-заповідного фонду.</w:t>
      </w:r>
    </w:p>
    <w:p>
      <w:pPr>
        <w:pStyle w:val="Normal"/>
        <w:ind w:firstLine="680" w:left="0" w:right="0"/>
        <w:jc w:val="both"/>
        <w:rPr>
          <w:color w:val="000000"/>
        </w:rPr>
      </w:pPr>
      <w:r>
        <w:rPr>
          <w:color w:val="000000"/>
          <w:sz w:val="28"/>
          <w:szCs w:val="28"/>
        </w:rPr>
        <w:t>Для утримання тварин, що внесені до Червоної книги України та перебувають на утриманні в Луцькому зоопарку, придбано корми на суму 40,0 тис. грн. та виготовлено інформаційні стенди про таких тварин на суму 23,7 тис. грн. Луцька громада взяла участь у проєкті</w:t>
      </w:r>
      <w:r>
        <w:rPr>
          <w:rFonts w:ascii="OpenSans NEW;sans-serif" w:hAnsi="OpenSans NEW;sans-serif"/>
          <w:b w:val="false"/>
          <w:i w:val="false"/>
          <w:caps w:val="false"/>
          <w:smallCaps w:val="false"/>
          <w:color w:val="000000"/>
          <w:spacing w:val="0"/>
          <w:sz w:val="21"/>
          <w:szCs w:val="28"/>
          <w:lang w:val="uk-UA"/>
        </w:rPr>
        <w:t xml:space="preserve">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“Сприяння збереженню гніздової популяції сови-сипухи в Україні” шляхом розміщення у громаді штучних гнізд для зникаючого виду птахів, занесених до Червоної книги України та популяризації інформації про проєкт серед зацікавлених верст населення. </w:t>
      </w:r>
    </w:p>
    <w:p>
      <w:pPr>
        <w:pStyle w:val="Normal"/>
        <w:bidi w:val="0"/>
        <w:ind w:firstLine="680" w:left="0" w:right="0"/>
        <w:jc w:val="both"/>
        <w:rPr>
          <w:color w:val="000000"/>
        </w:rPr>
      </w:pPr>
      <w:r>
        <w:rPr>
          <w:b/>
          <w:bCs/>
          <w:color w:val="000000"/>
          <w:sz w:val="28"/>
          <w:szCs w:val="28"/>
          <w:lang w:val="uk-UA"/>
        </w:rPr>
        <w:t>6. Екологічна просвіта</w:t>
      </w:r>
    </w:p>
    <w:p>
      <w:pPr>
        <w:pStyle w:val="Normal"/>
        <w:ind w:firstLine="680" w:left="0" w:right="0"/>
        <w:jc w:val="both"/>
        <w:rPr>
          <w:color w:val="000000"/>
        </w:rPr>
      </w:pPr>
      <w:r>
        <w:rPr>
          <w:color w:val="000000"/>
          <w:sz w:val="28"/>
          <w:szCs w:val="28"/>
        </w:rPr>
        <w:t>Традиційно навесні у громаді проведено екологічні толоки, для впорядкування територій парків, пляжів, рекреаційних зон біля водних об’</w:t>
      </w:r>
      <w:r>
        <w:rPr>
          <w:color w:val="000000"/>
          <w:sz w:val="28"/>
          <w:szCs w:val="28"/>
          <w:lang w:val="uk-UA"/>
        </w:rPr>
        <w:t>єктів,</w:t>
      </w:r>
      <w:r>
        <w:rPr>
          <w:color w:val="000000"/>
          <w:sz w:val="28"/>
          <w:szCs w:val="28"/>
        </w:rPr>
        <w:t xml:space="preserve"> в яких брали участь сотні волонтерів та активістів, очищено від засмічень понад  20 км прибережних смуг та водоохоронних зон водних об’єктів, висаджено 30 шт. саджанців клена гостролистого в районі Луцької дитячої залізниці. </w:t>
      </w:r>
    </w:p>
    <w:p>
      <w:pPr>
        <w:pStyle w:val="Normal"/>
        <w:ind w:firstLine="680" w:left="0" w:right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Для дошкільнят ЗДО № 7, 25, 26, учнів міських навчальних закладів №17, 22 проведено еколого-просвітницькі заходи присвячені темам збереження біорізноманіття, сортування відходів, ландшафтного дизайну, краєзнавства, оформлено нові площі ландшафтних куточків, квітників та газонів з різнотрав’я. </w:t>
      </w:r>
    </w:p>
    <w:p>
      <w:pPr>
        <w:pStyle w:val="Normal"/>
        <w:ind w:firstLine="680" w:left="0" w:right="0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Проведено загальноміський екологічний </w:t>
      </w:r>
      <w:r>
        <w:rPr>
          <w:color w:val="000000"/>
          <w:sz w:val="28"/>
          <w:szCs w:val="28"/>
        </w:rPr>
        <w:t>захід</w:t>
      </w:r>
      <w:r>
        <w:rPr>
          <w:color w:val="000000"/>
          <w:sz w:val="28"/>
          <w:szCs w:val="28"/>
        </w:rPr>
        <w:t xml:space="preserve"> з підведенням підсумків еколого-просвітницької діяльності учнівських колективів, відзначено кращі колективи Почесними зеленими грамотами. </w:t>
      </w:r>
    </w:p>
    <w:p>
      <w:pPr>
        <w:pStyle w:val="Normal"/>
        <w:ind w:firstLine="680" w:left="0" w:right="0"/>
        <w:jc w:val="both"/>
        <w:rPr>
          <w:color w:val="000000"/>
        </w:rPr>
      </w:pPr>
      <w:r>
        <w:rPr>
          <w:color w:val="000000"/>
          <w:sz w:val="28"/>
          <w:szCs w:val="28"/>
        </w:rPr>
        <w:t>На базі гімназії №17 проведено регіональну (не)конференцію для шкільних педагогів афілійований Міні-</w:t>
      </w:r>
      <w:r>
        <w:rPr>
          <w:color w:val="000000"/>
          <w:sz w:val="28"/>
          <w:szCs w:val="28"/>
          <w:lang w:val="en-US"/>
        </w:rPr>
        <w:t xml:space="preserve">EdCamp Lutsk Gymnasium 17 </w:t>
      </w:r>
      <w:r>
        <w:rPr>
          <w:color w:val="000000"/>
          <w:sz w:val="28"/>
          <w:szCs w:val="28"/>
          <w:lang w:val="uk-UA"/>
        </w:rPr>
        <w:t>на тему: “Формування екологічної компетентності учнівства в умовах євроінтеграції засобами міжнародної співпраці”.</w:t>
      </w:r>
    </w:p>
    <w:p>
      <w:pPr>
        <w:pStyle w:val="Normal"/>
        <w:ind w:firstLine="709" w:left="0" w:right="0"/>
        <w:jc w:val="center"/>
        <w:rPr>
          <w:b/>
          <w:color w:val="000000"/>
          <w:sz w:val="28"/>
          <w:szCs w:val="28"/>
          <w:lang w:val="uk-UA" w:eastAsia="zh-CN" w:bidi="hi-IN"/>
        </w:rPr>
      </w:pPr>
      <w:r>
        <w:rPr>
          <w:b/>
          <w:color w:val="000000"/>
          <w:sz w:val="28"/>
          <w:szCs w:val="28"/>
          <w:lang w:val="uk-UA" w:eastAsia="zh-CN" w:bidi="hi-IN"/>
        </w:rPr>
        <w:t xml:space="preserve">Аналіз проблем галузі охорони довкілля: </w:t>
      </w:r>
    </w:p>
    <w:p>
      <w:pPr>
        <w:pStyle w:val="Normal"/>
        <w:ind w:firstLine="709" w:left="0" w:right="0"/>
        <w:jc w:val="both"/>
        <w:rPr/>
      </w:pP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 w:eastAsia="zh-CN" w:bidi="hi-IN"/>
        </w:rPr>
        <w:t>1. Відсутність сучасних технологій переробки відходів, незначний ринок вторсировини, що гальмує розвиток сортування та переробки відходів.</w:t>
      </w:r>
    </w:p>
    <w:p>
      <w:pPr>
        <w:pStyle w:val="Normal"/>
        <w:ind w:firstLine="709" w:left="0" w:right="0"/>
        <w:jc w:val="both"/>
        <w:rPr>
          <w:b w:val="false"/>
          <w:bCs w:val="false"/>
          <w:i w:val="false"/>
          <w:i w:val="false"/>
          <w:iCs w:val="false"/>
          <w:color w:val="000000"/>
          <w:sz w:val="28"/>
          <w:szCs w:val="28"/>
          <w:lang w:val="uk-UA" w:eastAsia="zh-CN" w:bidi="hi-IN"/>
        </w:rPr>
      </w:pPr>
      <w:r>
        <w:rPr>
          <w:b w:val="false"/>
          <w:bCs w:val="false"/>
          <w:i w:val="false"/>
          <w:iCs w:val="false"/>
          <w:color w:val="000000"/>
          <w:sz w:val="28"/>
          <w:szCs w:val="28"/>
          <w:lang w:val="uk-UA" w:eastAsia="zh-CN" w:bidi="hi-IN"/>
        </w:rPr>
        <w:t>2. Забруднення поверхневих вод через недосконале очищення стоків, як господарсько-побутових (застарілі очисні споруди), так і зливових (відсутні очисні споруди).</w:t>
      </w:r>
    </w:p>
    <w:p>
      <w:pPr>
        <w:pStyle w:val="Normal"/>
        <w:ind w:firstLine="709" w:left="0" w:right="0"/>
        <w:jc w:val="center"/>
        <w:rPr>
          <w:color w:val="000000"/>
        </w:rPr>
      </w:pPr>
      <w:r>
        <w:rPr>
          <w:b/>
          <w:bCs/>
          <w:i w:val="false"/>
          <w:iCs w:val="false"/>
          <w:color w:val="000000"/>
          <w:sz w:val="28"/>
          <w:szCs w:val="28"/>
          <w:lang w:val="uk-UA" w:eastAsia="zh-CN" w:bidi="hi-IN"/>
        </w:rPr>
        <w:t xml:space="preserve"> </w:t>
      </w:r>
      <w:r>
        <w:rPr>
          <w:b/>
          <w:bCs/>
          <w:i w:val="false"/>
          <w:iCs w:val="false"/>
          <w:color w:val="000000"/>
          <w:sz w:val="28"/>
          <w:szCs w:val="28"/>
          <w:lang w:val="uk-UA" w:eastAsia="zh-CN" w:bidi="hi-IN"/>
        </w:rPr>
        <w:t>Поточні та перспективні плани роботи:</w:t>
      </w:r>
    </w:p>
    <w:p>
      <w:pPr>
        <w:pStyle w:val="Normal"/>
        <w:ind w:firstLine="709" w:left="0" w:right="0"/>
        <w:jc w:val="both"/>
        <w:rPr>
          <w:color w:val="000000"/>
        </w:rPr>
      </w:pPr>
      <w:r>
        <w:rPr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uk-UA"/>
        </w:rPr>
        <w:t xml:space="preserve">Активне запровадження сортування відходів та просвітницької роботи в даному напрямку, збільшення обсягів роздільно зібраних та перероблених відходів; 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uk-UA"/>
        </w:rPr>
        <w:t xml:space="preserve">розробка документації по встановленню меж територій природно-заповідного фонду; 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</w:rPr>
        <w:t>інвентаризація гідротехнічних споруд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uk-UA"/>
        </w:rPr>
        <w:t>; реалізація міжнародних проєктів в галузі охорони довкілля, збереження біорізноманіття,  зобов’язань в програмі “Міста нуль відходів”</w:t>
      </w:r>
      <w:r>
        <w:rPr>
          <w:rFonts w:cs="Times New Roman"/>
          <w:b w:val="false"/>
          <w:bCs w:val="false"/>
          <w:i w:val="false"/>
          <w:iCs w:val="false"/>
          <w:color w:val="000000"/>
          <w:sz w:val="28"/>
          <w:szCs w:val="28"/>
          <w:u w:val="none"/>
          <w:lang w:val="uk-UA" w:eastAsia="zh-CN" w:bidi="hi-IN"/>
        </w:rPr>
        <w:t>.</w:t>
      </w:r>
    </w:p>
    <w:p>
      <w:pPr>
        <w:pStyle w:val="Normal"/>
        <w:ind w:firstLine="680" w:left="0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hanging="0" w:left="0" w:right="0"/>
        <w:jc w:val="both"/>
        <w:rPr>
          <w:rFonts w:cs="Times New Roman"/>
          <w:sz w:val="28"/>
          <w:szCs w:val="28"/>
          <w:lang w:val="uk-UA" w:eastAsia="zh-CN" w:bidi="hi-IN"/>
        </w:rPr>
      </w:pPr>
      <w:r>
        <w:rPr>
          <w:rFonts w:cs="Times New Roman"/>
          <w:sz w:val="28"/>
          <w:szCs w:val="28"/>
          <w:lang w:val="uk-UA" w:eastAsia="zh-CN" w:bidi="hi-IN"/>
        </w:rPr>
        <w:t>Начальник відділу                                                                        Оксана ЛИСАК</w:t>
      </w:r>
    </w:p>
    <w:p>
      <w:pPr>
        <w:pStyle w:val="Normal"/>
        <w:ind w:hanging="0" w:left="0" w:right="0"/>
        <w:jc w:val="both"/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/>
          <w:sz w:val="28"/>
          <w:szCs w:val="28"/>
          <w:lang w:val="uk-UA" w:eastAsia="zh-CN" w:bidi="hi-IN"/>
        </w:rPr>
      </w:r>
    </w:p>
    <w:p>
      <w:pPr>
        <w:pStyle w:val="Normal"/>
        <w:ind w:hanging="0" w:left="0" w:right="0"/>
        <w:jc w:val="both"/>
        <w:rPr>
          <w:rFonts w:ascii="Times New Roman" w:hAnsi="Times New Roman" w:eastAsia="Calibri" w:cs="Times New Roman"/>
          <w:sz w:val="28"/>
          <w:szCs w:val="28"/>
          <w:lang w:val="uk-UA" w:eastAsia="en-US"/>
        </w:rPr>
      </w:pPr>
      <w:r>
        <w:rPr>
          <w:rFonts w:eastAsia="Calibri" w:cs="Times New Roman"/>
          <w:sz w:val="28"/>
          <w:szCs w:val="28"/>
          <w:lang w:val="uk-UA" w:eastAsia="en-US"/>
        </w:rPr>
      </w:r>
    </w:p>
    <w:p>
      <w:pPr>
        <w:pStyle w:val="Normal"/>
        <w:ind w:firstLine="567" w:left="0" w:right="0"/>
        <w:jc w:val="both"/>
        <w:rPr>
          <w:b w:val="false"/>
          <w:i w:val="false"/>
          <w:i w:val="false"/>
          <w:caps w:val="false"/>
          <w:smallCaps w:val="false"/>
          <w:color w:val="212529"/>
          <w:spacing w:val="0"/>
        </w:rPr>
      </w:pPr>
      <w:r>
        <w:rPr>
          <w:b w:val="false"/>
          <w:i w:val="false"/>
          <w:caps w:val="false"/>
          <w:smallCaps w:val="false"/>
          <w:color w:val="212529"/>
          <w:spacing w:val="0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left="0" w:right="0"/>
        <w:jc w:val="both"/>
        <w:rPr/>
      </w:pPr>
      <w:r>
        <w:rPr/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OpenSans NEW">
    <w:altName w:val="sans-serif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uk-UA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character" w:styleId="DefaultParagraphFont">
    <w:name w:val="Default Paragraph Font"/>
    <w:qFormat/>
    <w:rPr/>
  </w:style>
  <w:style w:type="character" w:styleId="Hyperlink">
    <w:name w:val="Hyperlink"/>
    <w:rPr>
      <w:color w:val="0000FF"/>
      <w:u w:val="single"/>
    </w:rPr>
  </w:style>
  <w:style w:type="character" w:styleId="Style14">
    <w:name w:val="Символ нумерації"/>
    <w:qFormat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51">
    <w:name w:val="Style5"/>
    <w:basedOn w:val="Normal"/>
    <w:qFormat/>
    <w:pPr>
      <w:widowControl w:val="false"/>
      <w:spacing w:lineRule="exact" w:line="312"/>
      <w:ind w:firstLine="550" w:left="0" w:right="0"/>
      <w:jc w:val="both"/>
    </w:pPr>
    <w:rPr/>
  </w:style>
  <w:style w:type="paragraph" w:styleId="Style17">
    <w:name w:val="Вміст таблиці"/>
    <w:basedOn w:val="Normal"/>
    <w:qFormat/>
    <w:pPr>
      <w:suppressLineNumbers/>
    </w:pPr>
    <w:rPr/>
  </w:style>
  <w:style w:type="paragraph" w:styleId="Style18">
    <w:name w:val="Заголовок таблиці"/>
    <w:basedOn w:val="Style17"/>
    <w:qFormat/>
    <w:pPr>
      <w:suppressLineNumbers/>
      <w:jc w:val="center"/>
    </w:pPr>
    <w:rPr>
      <w:b/>
      <w:b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Application>LibreOffice/7.6.4.1$Windows_X86_64 LibreOffice_project/e19e193f88cd6c0525a17fb7a176ed8e6a3e2aa1</Application>
  <AppVersion>15.0000</AppVersion>
  <Pages>4</Pages>
  <Words>1038</Words>
  <Characters>7260</Characters>
  <CharactersWithSpaces>8362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2022-02-22T13:47:00Z</dcterms:created>
  <dc:creator>nkhmel</dc:creator>
  <dc:description/>
  <dc:language>uk-UA</dc:language>
  <cp:lastModifiedBy/>
  <dcterms:modified xsi:type="dcterms:W3CDTF">2025-01-27T15:19:08Z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