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Style w:val="Strong"/>
        </w:rPr>
        <w:t xml:space="preserve">Звіт про роботу управління туризму та промоції Луцької міської ради за 2025 </w:t>
      </w:r>
    </w:p>
    <w:p>
      <w:pPr>
        <w:pStyle w:val="Normal"/>
        <w:spacing w:lineRule="auto" w:line="240" w:before="0" w:after="0"/>
        <w:jc w:val="both"/>
        <w:rPr>
          <w:rFonts w:ascii="Times New Roman" w:hAnsi="Times New Roman"/>
          <w:b w:val="false"/>
          <w:bCs w:val="false"/>
          <w:sz w:val="28"/>
          <w:szCs w:val="28"/>
          <w:lang w:val="uk-UA"/>
        </w:rPr>
      </w:pPr>
      <w:r>
        <w:rPr>
          <w:b w:val="false"/>
          <w:bCs w:val="false"/>
          <w:sz w:val="28"/>
          <w:szCs w:val="28"/>
          <w:lang w:val="uk-UA"/>
        </w:rPr>
      </w:r>
    </w:p>
    <w:p>
      <w:pPr>
        <w:pStyle w:val="Normal"/>
        <w:widowControl w:val="false"/>
        <w:bidi w:val="0"/>
        <w:spacing w:lineRule="auto" w:line="240" w:before="0" w:after="0"/>
        <w:jc w:val="both"/>
        <w:rPr/>
      </w:pPr>
      <w:r>
        <w:rPr>
          <w:rStyle w:val="Strong"/>
          <w:rFonts w:eastAsia="Times New Roman" w:cs="Times New Roman"/>
          <w:b/>
          <w:bCs/>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 xml:space="preserve">1.  </w:t>
      </w:r>
      <w:r>
        <w:rPr>
          <w:rStyle w:val="Strong"/>
          <w:rFonts w:cs="Times New Roman"/>
          <w:b/>
          <w:bCs/>
          <w:color w:val="000000"/>
          <w:spacing w:val="-4"/>
          <w:sz w:val="28"/>
          <w:szCs w:val="28"/>
          <w:highlight w:val="white"/>
          <w:lang w:val="uk-UA" w:eastAsia="zh-CN" w:bidi="ar-SA"/>
        </w:rPr>
        <w:t>Розвиток туристичної інфраструктури:</w:t>
      </w:r>
    </w:p>
    <w:p>
      <w:pPr>
        <w:pStyle w:val="Normal"/>
        <w:bidi w:val="0"/>
        <w:spacing w:lineRule="auto" w:line="240" w:before="0" w:after="0"/>
        <w:jc w:val="both"/>
        <w:rPr/>
      </w:pPr>
      <w:r>
        <w:rPr>
          <w:rStyle w:val="Strong"/>
          <w:rFonts w:cs="Times New Roman"/>
          <w:b w:val="false"/>
          <w:bCs w:val="false"/>
          <w:color w:val="000000"/>
          <w:spacing w:val="-4"/>
          <w:sz w:val="28"/>
          <w:szCs w:val="28"/>
          <w:highlight w:val="white"/>
          <w:lang w:val="uk-UA" w:eastAsia="zh-CN" w:bidi="ar-SA"/>
        </w:rPr>
        <w:tab/>
        <w:t>Для</w:t>
      </w:r>
      <w:r>
        <w:rPr>
          <w:rStyle w:val="Strong"/>
          <w:rFonts w:eastAsia="Times New Roman" w:cs="Times New Roman"/>
          <w:b w:val="false"/>
          <w:bCs w:val="false"/>
          <w:i w:val="false"/>
          <w:iCs w:val="false"/>
          <w:caps w:val="false"/>
          <w:smallCaps w:val="false"/>
          <w:strike w:val="false"/>
          <w:dstrike w:val="false"/>
          <w:outline w:val="false"/>
          <w:shadow w:val="false"/>
          <w:color w:val="050505"/>
          <w:spacing w:val="0"/>
          <w:kern w:val="0"/>
          <w:sz w:val="28"/>
          <w:szCs w:val="28"/>
          <w:highlight w:val="white"/>
          <w:u w:val="none"/>
          <w:em w:val="none"/>
          <w:lang w:val="uk-UA" w:eastAsia="ru-RU" w:bidi="zxx"/>
        </w:rPr>
        <w:t xml:space="preserve"> оновлення та збору актуальної інформації у</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правлінням вперше </w:t>
      </w:r>
      <w:r>
        <w:rPr>
          <w:rStyle w:val="Strong"/>
          <w:rFonts w:eastAsia="Times New Roman" w:cs="Times New Roman"/>
          <w:b w:val="false"/>
          <w:bCs w:val="false"/>
          <w:i w:val="false"/>
          <w:iCs w:val="false"/>
          <w:caps w:val="false"/>
          <w:smallCaps w:val="false"/>
          <w:strike w:val="false"/>
          <w:dstrike w:val="false"/>
          <w:outline w:val="false"/>
          <w:shadow w:val="false"/>
          <w:color w:val="050505"/>
          <w:spacing w:val="0"/>
          <w:kern w:val="0"/>
          <w:sz w:val="28"/>
          <w:szCs w:val="28"/>
          <w:highlight w:val="white"/>
          <w:u w:val="none"/>
          <w:em w:val="none"/>
          <w:lang w:val="uk-UA" w:eastAsia="ru-RU" w:bidi="zxx"/>
        </w:rPr>
        <w:t>було проведено аудит об’єктів туристичної сфери в населених пунктах Луцької міської територіальної громади, огляд їх стану та доступності для маломобільних груп населення. З</w:t>
      </w:r>
      <w:r>
        <w:rPr>
          <w:rStyle w:val="Strong"/>
          <w:rFonts w:cs="Times New Roman"/>
          <w:b w:val="false"/>
          <w:bCs w:val="false"/>
          <w:color w:val="000000"/>
          <w:spacing w:val="-4"/>
          <w:sz w:val="28"/>
          <w:szCs w:val="28"/>
          <w:highlight w:val="white"/>
          <w:lang w:val="uk-UA" w:eastAsia="zh-CN" w:bidi="ar-SA"/>
        </w:rPr>
        <w:t>а його результатами розроблено й видано туристичну карту Луцької МТГ накладом 3000 примірників.</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ab/>
        <w:t>З метою розвитку болотно-водних ландшафтів, зеленого туризму та популяризації екологічних туристичних маршрутів у місті була розроблена та презентована громадськості концепція рекреаційної зони «Гнідавське болото» Луцької міської територіальної громади. Також управлінням розпочато роботу із впровадження нового туристичного маршруту, який об’єднає Центральний парк, Старе місто та Гнідавське болото.</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ffect w:val="none"/>
          <w:em w:val="none"/>
          <w:lang w:val="uk-UA" w:eastAsia="ru-RU" w:bidi="ar-SA"/>
        </w:rPr>
        <w:tab/>
        <w:t>Спільно з департаментом ЖКГ Луцької міської ради на території загальнозоологічного заказника встановлено шлагбауми для обмеження руху автомобільного транспорту та інформаційні стенди, що розповідають про особливості заказника і правила поведінки на його території.</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ffect w:val="none"/>
          <w:em w:val="none"/>
          <w:lang w:val="uk-UA" w:eastAsia="ru-RU" w:bidi="ar-SA"/>
        </w:rPr>
        <w:tab/>
        <w:t>Спільно з ГО «місто.ребут» управління провело дослідження території Старого міста біля дзвіниці за адресами вул. Братковського 31, 33, 33 А та 35, щоб сформувати візію її розвитку з метою включення до туристичних маршрутів. Згодом було розроблено концепцію «Сквер біля дзвіниці» та  презентовано її громадськості.</w:t>
      </w:r>
    </w:p>
    <w:p>
      <w:pPr>
        <w:pStyle w:val="Normal"/>
        <w:bidi w:val="0"/>
        <w:jc w:val="both"/>
        <w:rPr/>
      </w:pPr>
      <w:r>
        <w:rPr>
          <w:rStyle w:val="Strong"/>
          <w:b w:val="false"/>
          <w:bCs w:val="false"/>
          <w:sz w:val="28"/>
          <w:szCs w:val="28"/>
          <w:lang w:val="uk-UA" w:eastAsia="zh-CN"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У партнерстві з ГО «Історична платформа» (м. Київ), Волинським національним університетом імені Лесі Українки і компанією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en-US" w:eastAsia="ru-RU" w:bidi="ar-SA"/>
        </w:rPr>
        <w:t>Aqua Print</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 у Луцьку реалізо</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en-US" w:eastAsia="ru-RU" w:bidi="ar-SA"/>
        </w:rPr>
        <w:t>вано</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 xml:space="preserve"> І етап проєкту «Стріткод</w:t>
      </w:r>
      <w:r>
        <w:rPr>
          <w:rStyle w:val="Strong"/>
          <w:rFonts w:eastAsia="Times New Roman" w:cs="Arial"/>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ru-RU" w:bidi="ar-SA"/>
        </w:rPr>
        <w:t>: історія на кожному кроці</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 На вулицях міста, названих іменами видатних співвітчизників та земляків, встановлено 26 іменних табличок з</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en-US" w:eastAsia="ru-RU" w:bidi="ar-SA"/>
        </w:rPr>
        <w:t xml:space="preserve"> QR-</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кодами.</w:t>
      </w:r>
    </w:p>
    <w:p>
      <w:pPr>
        <w:pStyle w:val="Normal"/>
        <w:bidi w:val="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новлено інформаційну таблицю про З’їзд європейських монархів біля Луцького замку.</w:t>
      </w:r>
    </w:p>
    <w:p>
      <w:pPr>
        <w:pStyle w:val="Normal"/>
        <w:bidi w:val="0"/>
        <w:jc w:val="both"/>
        <w:rPr/>
      </w:pPr>
      <w:bookmarkStart w:id="0" w:name="tenderTitle"/>
      <w:bookmarkEnd w:id="0"/>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ab/>
        <w:t>Задля підвищення рівня доступності туристичних об’єктів для музейного простору «Окольний замок» було закуплено  сходовий гусеничний підйомник «PTR-160», що дозволяє відвідувати це місце людям на кріслах колісних.</w:t>
      </w:r>
    </w:p>
    <w:p>
      <w:pPr>
        <w:pStyle w:val="Normal"/>
        <w:widowControl w:val="false"/>
        <w:bidi w:val="0"/>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ab/>
      </w:r>
      <w:r>
        <w:rPr>
          <w:rStyle w:val="Strong"/>
          <w:rFonts w:cs="Times New Roman"/>
          <w:b w:val="false"/>
          <w:bCs w:val="false"/>
          <w:color w:val="000000"/>
          <w:spacing w:val="-4"/>
          <w:sz w:val="28"/>
          <w:szCs w:val="28"/>
          <w:highlight w:val="white"/>
          <w:lang w:val="uk-UA" w:eastAsia="zh-CN" w:bidi="ar-SA"/>
        </w:rPr>
        <w:t>З метою якісного надання туристичних послуг</w:t>
      </w:r>
      <w:r>
        <w:rPr>
          <w:rStyle w:val="Strong"/>
          <w:rFonts w:cs="Times New Roman"/>
          <w:b/>
          <w:bCs/>
          <w:color w:val="000000"/>
          <w:spacing w:val="-4"/>
          <w:sz w:val="28"/>
          <w:szCs w:val="28"/>
          <w:highlight w:val="white"/>
          <w:lang w:val="uk-UA" w:eastAsia="zh-CN" w:bidi="ar-SA"/>
        </w:rPr>
        <w:t xml:space="preserve"> </w:t>
      </w:r>
      <w:r>
        <w:rPr>
          <w:rStyle w:val="Strong"/>
          <w:rFonts w:cs="Times New Roman"/>
          <w:b w:val="false"/>
          <w:bCs w:val="false"/>
          <w:color w:val="000000"/>
          <w:spacing w:val="-4"/>
          <w:sz w:val="28"/>
          <w:szCs w:val="28"/>
          <w:highlight w:val="white"/>
          <w:lang w:val="uk-UA" w:eastAsia="zh-CN" w:bidi="ar-SA"/>
        </w:rPr>
        <w:t>в громаді працює КП «Центр розвитку туризму», до складу якого входять «Центр туристичної інформації» та Музейний простір «Окольний замок».</w:t>
      </w:r>
    </w:p>
    <w:p>
      <w:pPr>
        <w:pStyle w:val="Normal"/>
        <w:bidi w:val="0"/>
        <w:spacing w:lineRule="auto" w:line="240" w:before="0" w:after="0"/>
        <w:jc w:val="both"/>
        <w:rPr/>
      </w:pPr>
      <w:r>
        <w:rPr>
          <w:rStyle w:val="Strong"/>
          <w:rFonts w:cs="Times New Roman"/>
          <w:b w:val="false"/>
          <w:bCs w:val="false"/>
          <w:color w:val="000000"/>
          <w:spacing w:val="-4"/>
          <w:sz w:val="28"/>
          <w:szCs w:val="28"/>
          <w:highlight w:val="white"/>
          <w:lang w:val="uk-UA" w:eastAsia="zh-CN" w:bidi="ar-SA"/>
        </w:rPr>
        <w:tab/>
        <w:t>За 2025 рік Музейний простір «Окольний замок» відвідали  22904 осіб (з них 11757 — безкоштовно); працівниками проведено 622 екскурсії.</w:t>
      </w:r>
      <w:r>
        <w:rPr>
          <w:rStyle w:val="Strong"/>
          <w:rFonts w:cs="Times New Roman"/>
          <w:b w:val="false"/>
          <w:bCs w:val="false"/>
          <w:color w:val="C9211E"/>
          <w:spacing w:val="-4"/>
          <w:sz w:val="28"/>
          <w:szCs w:val="28"/>
          <w:highlight w:val="white"/>
          <w:lang w:val="uk-UA" w:eastAsia="zh-CN" w:bidi="ar-SA"/>
        </w:rPr>
        <w:t xml:space="preserve"> </w:t>
      </w:r>
      <w:r>
        <w:rPr>
          <w:rStyle w:val="Strong"/>
          <w:rFonts w:cs="Times New Roman"/>
          <w:b w:val="false"/>
          <w:bCs w:val="false"/>
          <w:color w:val="000000"/>
          <w:spacing w:val="-4"/>
          <w:sz w:val="28"/>
          <w:szCs w:val="28"/>
          <w:highlight w:val="white"/>
          <w:lang w:val="uk-UA" w:eastAsia="zh-CN" w:bidi="ar-SA"/>
        </w:rPr>
        <w:t>«Центр туристичної інформації» відвідали 8020 осіб, проведено 101 тематичну екскурсію.</w:t>
      </w:r>
      <w:r>
        <w:rPr>
          <w:rStyle w:val="Strong"/>
          <w:rFonts w:cs="Times New Roman"/>
          <w:b w:val="false"/>
          <w:bCs w:val="false"/>
          <w:color w:val="C9211E"/>
          <w:spacing w:val="-4"/>
          <w:sz w:val="28"/>
          <w:szCs w:val="28"/>
          <w:highlight w:val="white"/>
          <w:lang w:val="uk-UA" w:eastAsia="zh-CN" w:bidi="ar-SA"/>
        </w:rPr>
        <w:t xml:space="preserve"> </w:t>
      </w:r>
    </w:p>
    <w:p>
      <w:pPr>
        <w:pStyle w:val="Style17"/>
        <w:ind w:firstLine="851" w:right="0"/>
        <w:jc w:val="both"/>
        <w:rPr>
          <w:rFonts w:ascii="Times New Roman" w:hAnsi="Times New Roman" w:cs="Times New Roman"/>
          <w:b w:val="false"/>
          <w:bCs w:val="false"/>
          <w:color w:val="000000"/>
          <w:spacing w:val="-4"/>
          <w:sz w:val="28"/>
          <w:szCs w:val="28"/>
          <w:highlight w:val="white"/>
          <w:lang w:val="uk-UA" w:eastAsia="zh-CN" w:bidi="ar-SA"/>
        </w:rPr>
      </w:pPr>
      <w:r>
        <w:rPr>
          <w:rFonts w:cs="Times New Roman" w:ascii="Times New Roman" w:hAnsi="Times New Roman"/>
          <w:b w:val="false"/>
          <w:bCs w:val="false"/>
          <w:color w:val="000000"/>
          <w:spacing w:val="-4"/>
          <w:sz w:val="28"/>
          <w:szCs w:val="28"/>
          <w:highlight w:val="white"/>
          <w:lang w:val="uk-UA" w:eastAsia="zh-CN" w:bidi="ar-SA"/>
        </w:rPr>
      </w:r>
    </w:p>
    <w:p>
      <w:pPr>
        <w:pStyle w:val="Normal"/>
        <w:jc w:val="both"/>
        <w:rPr/>
      </w:pPr>
      <w:r>
        <w:rPr>
          <w:rStyle w:val="Strong"/>
          <w:b/>
          <w:bCs/>
          <w:sz w:val="28"/>
          <w:szCs w:val="28"/>
          <w:lang w:val="uk-UA"/>
        </w:rPr>
        <w:t>2. Промоція Луцької міської територіальної громади.</w:t>
      </w:r>
    </w:p>
    <w:p>
      <w:pPr>
        <w:pStyle w:val="Normal"/>
        <w:jc w:val="both"/>
        <w:rPr/>
      </w:pPr>
      <w:r>
        <w:rPr>
          <w:rStyle w:val="Strong"/>
          <w:rFonts w:eastAsia="Times New Roman" w:cs="Times New Roman"/>
          <w:b w:val="false"/>
          <w:bCs w:val="false"/>
          <w:i w:val="false"/>
          <w:caps w:val="false"/>
          <w:smallCaps w:val="false"/>
          <w:color w:val="00000A"/>
          <w:spacing w:val="-4"/>
          <w:kern w:val="0"/>
          <w:sz w:val="28"/>
          <w:szCs w:val="28"/>
          <w:highlight w:val="white"/>
          <w:lang w:val="uk-UA" w:eastAsia="zh-CN" w:bidi="ar-SA"/>
        </w:rPr>
        <w:tab/>
        <w:t xml:space="preserve">З метою подальшої </w:t>
      </w:r>
      <w:r>
        <w:rPr>
          <w:rStyle w:val="Strong"/>
          <w:rFonts w:eastAsia="Times New Roman" w:cs="Times New Roman"/>
          <w:b w:val="false"/>
          <w:bCs w:val="false"/>
          <w:i w:val="false"/>
          <w:caps w:val="false"/>
          <w:smallCaps w:val="false"/>
          <w:color w:val="00000A"/>
          <w:spacing w:val="-4"/>
          <w:kern w:val="0"/>
          <w:sz w:val="28"/>
          <w:szCs w:val="28"/>
          <w:highlight w:val="white"/>
          <w:u w:val="none"/>
          <w:lang w:val="uk-UA" w:eastAsia="zh-CN" w:bidi="ar-SA"/>
        </w:rPr>
        <w:t xml:space="preserve">інтелектуальної </w:t>
      </w:r>
      <w:r>
        <w:rPr>
          <w:rStyle w:val="Strong"/>
          <w:rFonts w:eastAsia="Times New Roman" w:cs="Times New Roman"/>
          <w:b w:val="false"/>
          <w:bCs w:val="false"/>
          <w:i w:val="false"/>
          <w:caps w:val="false"/>
          <w:smallCaps w:val="false"/>
          <w:color w:val="000000"/>
          <w:spacing w:val="-4"/>
          <w:kern w:val="0"/>
          <w:sz w:val="28"/>
          <w:szCs w:val="28"/>
          <w:highlight w:val="white"/>
          <w:u w:val="none"/>
          <w:lang w:val="uk-UA" w:eastAsia="zh-CN" w:bidi="ar-SA"/>
        </w:rPr>
        <w:t>промоції мі</w:t>
      </w:r>
      <w:r>
        <w:rPr>
          <w:rStyle w:val="Strong"/>
          <w:rFonts w:eastAsia="Times New Roman" w:cs="Times New Roman"/>
          <w:b w:val="false"/>
          <w:bCs w:val="false"/>
          <w:i w:val="false"/>
          <w:caps w:val="false"/>
          <w:smallCaps w:val="false"/>
          <w:color w:val="00000A"/>
          <w:spacing w:val="-4"/>
          <w:kern w:val="0"/>
          <w:sz w:val="28"/>
          <w:szCs w:val="28"/>
          <w:highlight w:val="white"/>
          <w:u w:val="none"/>
          <w:lang w:val="uk-UA" w:eastAsia="zh-CN" w:bidi="ar-SA"/>
        </w:rPr>
        <w:t>ст</w:t>
      </w:r>
      <w:r>
        <w:rPr>
          <w:rStyle w:val="Strong"/>
          <w:rFonts w:eastAsia="Times New Roman" w:cs="Times New Roman"/>
          <w:b w:val="false"/>
          <w:bCs w:val="false"/>
          <w:i w:val="false"/>
          <w:caps w:val="false"/>
          <w:smallCaps w:val="false"/>
          <w:color w:val="000000"/>
          <w:spacing w:val="-4"/>
          <w:kern w:val="0"/>
          <w:sz w:val="28"/>
          <w:szCs w:val="28"/>
          <w:highlight w:val="white"/>
          <w:u w:val="none"/>
          <w:lang w:val="uk-UA" w:eastAsia="zh-CN" w:bidi="ar-SA"/>
        </w:rPr>
        <w:t xml:space="preserve">а та в межах підготовки до відзначення 600-річчя з’їзду європейських монархів у Луцьку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спільно з маркетинговою компанією «Партизан» було розроблено концепцію брендингу події, її логотип і брендбук. які стануть базою для подальшого створення візуальної айдентики, комунікаційних кампаній, культурних та туристичних проєктів.</w:t>
      </w:r>
    </w:p>
    <w:p>
      <w:pPr>
        <w:pStyle w:val="Normal"/>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ab/>
        <w:t>У співпраці з місцевою компанією</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en-US"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en-US" w:eastAsia="zh-CN" w:bidi="ar-SA"/>
        </w:rPr>
        <w:t>Ukrainian Puzzles</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en-US"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випустили пазли, присвячені цій події. На них зображено картину українського художника-баталіста Артура Орльонова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«З’їзд європейських монархів у Луцьку». Важливо, що презентація пазлів відбулась в Києві на цьогорічному «Книжковому Арсеналі» 29 травня. Також цього року випущено пазли, присвячені Луцьку із зображенням основних туристичних об’єктів міста.</w:t>
      </w:r>
    </w:p>
    <w:p>
      <w:pPr>
        <w:pStyle w:val="Normal"/>
        <w:widowControl w:val="false"/>
        <w:tabs>
          <w:tab w:val="clear" w:pos="708"/>
          <w:tab w:val="left" w:pos="0" w:leader="none"/>
        </w:tabs>
        <w:bidi w:val="0"/>
        <w:ind w:hanging="0" w:right="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ru-RU" w:bidi="ar-SA"/>
        </w:rPr>
        <w:tab/>
        <w:t>Розпочато проєкт та обрано перших дванадцять «Почесних амбасадорів/амбасадорок Луцька» першої каденції. Організовано урочистий прийом міського голови з нагоди оголошення Почесних амбасадорів/амбасадорок Луцька за їх участю, а також запрошених гостей та журналістів. Під час заходу було презентовано сам проєкт, відбулось знайомство з амбасадорами та  вручено їм дипломи і нагрудні знаки. А в кінці року було проведено комісію з відбору амбасадорів міста на 2026-2028 роки та обрано вісім наступних.</w:t>
      </w:r>
    </w:p>
    <w:p>
      <w:pPr>
        <w:pStyle w:val="Normal"/>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ffect w:val="none"/>
          <w:em w:val="none"/>
          <w:lang w:val="uk-UA" w:eastAsia="zh-CN" w:bidi="ar-SA"/>
        </w:rPr>
        <w:tab/>
        <w:t>Триває</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ffect w:val="none"/>
          <w:em w:val="none"/>
          <w:lang w:val="uk-UA" w:eastAsia="zh-CN" w:bidi="ar-SA"/>
        </w:rPr>
        <w:t xml:space="preserve"> налагодження </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ffect w:val="none"/>
          <w:shd w:fill="auto" w:val="clear"/>
          <w:em w:val="none"/>
          <w:lang w:val="uk-UA" w:eastAsia="zh-CN" w:bidi="ar-SA"/>
        </w:rPr>
        <w:t>партнерських відносини між місцевими гідами та підприємствами для розвитку туристичної привабливості міста. Зокрема,  о</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effect w:val="none"/>
          <w:shd w:fill="auto" w:val="clear"/>
          <w:em w:val="none"/>
          <w:lang w:val="uk-UA" w:eastAsia="zh-CN" w:bidi="ar-SA"/>
        </w:rPr>
        <w:t>рганізовувались зустрічі гідів із представниками місцевих бізнесів, які можуть стати частиною нових туристичних пропозицій; здійснювались поїздки</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 xml:space="preserve"> на лавандове поле бренду натуральної косметики «Purity»; луцький спирто-горілчаний комбінат (бренд </w:t>
      </w:r>
      <w:r>
        <w:rPr>
          <w:rStyle w:val="Strong"/>
          <w:rFonts w:eastAsia="Times New Roman" w:cs="Times New Roman"/>
          <w:b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Ukrainian Spirit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C9211E"/>
          <w:spacing w:val="0"/>
          <w:kern w:val="0"/>
          <w:sz w:val="28"/>
          <w:szCs w:val="28"/>
          <w:u w:val="none"/>
          <w:shd w:fill="auto" w:val="clear"/>
          <w:em w:val="none"/>
          <w:lang w:val="uk-UA"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готель</w:t>
      </w:r>
      <w:r>
        <w:rPr>
          <w:rStyle w:val="Strong"/>
          <w:rFonts w:eastAsia="Times New Roman" w:cs="Times New Roman"/>
          <w:b w:val="false"/>
          <w:bCs w:val="false"/>
          <w:i w:val="false"/>
          <w:iCs w:val="false"/>
          <w:caps w:val="false"/>
          <w:smallCaps w:val="false"/>
          <w:strike w:val="false"/>
          <w:dstrike w:val="false"/>
          <w:outline w:val="false"/>
          <w:shadow w:val="false"/>
          <w:color w:val="C9211E"/>
          <w:spacing w:val="0"/>
          <w:kern w:val="0"/>
          <w:sz w:val="28"/>
          <w:szCs w:val="28"/>
          <w:u w:val="none"/>
          <w:shd w:fill="auto" w:val="clear"/>
          <w:em w:val="none"/>
          <w:lang w:val="uk-UA"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ru-RU" w:bidi="ar-SA"/>
        </w:rPr>
        <w:t>Optima Collection River Park</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 xml:space="preserve">» </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effect w:val="none"/>
          <w:shd w:fill="auto" w:val="clear"/>
          <w:em w:val="none"/>
          <w:lang w:val="uk-UA" w:eastAsia="zh-CN" w:bidi="ar-SA"/>
        </w:rPr>
        <w:t>для</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auto" w:val="clear"/>
          <w:em w:val="none"/>
          <w:lang w:val="uk-UA" w:eastAsia="zh-CN" w:bidi="ar-SA"/>
        </w:rPr>
        <w:t xml:space="preserve"> включення цих об’єктів у туристичні маршрути та пропозиції.</w:t>
      </w:r>
    </w:p>
    <w:p>
      <w:pPr>
        <w:pStyle w:val="Normal"/>
        <w:widowControl w:val="false"/>
        <w:tabs>
          <w:tab w:val="clear" w:pos="708"/>
          <w:tab w:val="left" w:pos="0" w:leader="none"/>
        </w:tabs>
        <w:bidi w:val="0"/>
        <w:ind w:hanging="0" w:right="0"/>
        <w:jc w:val="both"/>
        <w:rPr>
          <w:rFonts w:ascii="Times New Roman" w:hAnsi="Times New Roman" w:eastAsia="Times New Roman" w:cs="Times New Roman"/>
          <w:color w:val="00000A"/>
          <w:kern w:val="0"/>
          <w:sz w:val="28"/>
          <w:szCs w:val="28"/>
          <w:lang w:val="uk-UA" w:eastAsia="ru-RU" w:bidi="ar-SA"/>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shd w:fill="auto" w:val="clear"/>
          <w:em w:val="none"/>
          <w:lang w:val="uk-UA" w:eastAsia="zh-CN" w:bidi="ar-SA"/>
        </w:rPr>
        <w:tab/>
        <w:t>Також оголошено набір слухачів другої Луцької школи гідів, яка буде реалізована 2026 року управлінням туризму та промоції міста спільно з Луцьким національним технічним університетом, та проведено співбесіди з потенційними кандидатами.</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ab/>
        <w:t>В межах</w:t>
      </w: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ffect w:val="none"/>
          <w:em w:val="none"/>
          <w:lang w:val="uk-UA" w:eastAsia="zh-CN" w:bidi="ar-SA"/>
        </w:rPr>
        <w:t xml:space="preserve"> розвитку проєкту «Луцький кликун» управління забезпечує проведення ритуалу сурмління з В’їзної вежі Луцького замку (заробітна плата Луцького кликуна за дев’ять місяців). Також за підтримки управління та за кошти меценатів й громадськості було встановлено і ознаковано QR-кодом нову скульптуру кликуна біля Волинської обласної філармонії.</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ffect w:val="none"/>
          <w:em w:val="none"/>
          <w:lang w:val="uk-UA" w:eastAsia="zh-CN"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Відбувається співпраця з навчальними закладами усіх рівнів, зокрема до реалізації різних проєктів активно залучаємо студентів</w:t>
      </w:r>
      <w:r>
        <w:rPr>
          <w:rStyle w:val="Strong"/>
          <w:rFonts w:eastAsia="Times New Roman" w:cs="Times New Roman"/>
          <w:b w:val="false"/>
          <w:bCs w:val="false"/>
          <w:i w:val="false"/>
          <w:iCs w:val="false"/>
          <w:caps w:val="false"/>
          <w:smallCaps w:val="false"/>
          <w:strike w:val="false"/>
          <w:dstrike w:val="false"/>
          <w:outline w:val="false"/>
          <w:shadow w:val="false"/>
          <w:color w:val="BF0041"/>
          <w:spacing w:val="-4"/>
          <w:kern w:val="0"/>
          <w:sz w:val="28"/>
          <w:szCs w:val="28"/>
          <w:highlight w:val="white"/>
          <w:u w:val="none"/>
          <w:effect w:val="none"/>
          <w:em w:val="none"/>
          <w:lang w:val="uk-UA" w:eastAsia="zh-CN" w:bidi="ar-SA"/>
        </w:rPr>
        <w:t xml:space="preserve"> </w:t>
      </w:r>
      <w:hyperlink r:id="rId2">
        <w:r>
          <w:rPr>
            <w:rStyle w:val="Style9"/>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Кафедри дизайну ВНУ імені Лесі Українки</w:t>
        </w:r>
      </w:hyperlink>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 xml:space="preserve"> факультету культури і мистецтв та Кафедри архітектури і дизайну ЛНТУ.</w:t>
      </w:r>
    </w:p>
    <w:p>
      <w:pPr>
        <w:pStyle w:val="Normal"/>
        <w:widowControl w:val="false"/>
        <w:spacing w:lineRule="auto" w:line="240"/>
        <w:jc w:val="both"/>
        <w:rPr/>
      </w:pPr>
      <w:r>
        <w:rPr>
          <w:rStyle w:val="Strong"/>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ffect w:val="none"/>
          <w:shd w:fill="auto" w:val="clear"/>
          <w:em w:val="none"/>
          <w:lang w:val="uk-UA" w:eastAsia="zh-CN"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 xml:space="preserve">Туристичний потенціал </w:t>
      </w:r>
      <w:r>
        <w:rPr>
          <w:rStyle w:val="Strong"/>
          <w:b w:val="false"/>
          <w:bCs w:val="false"/>
          <w:sz w:val="28"/>
          <w:szCs w:val="28"/>
          <w:lang w:val="uk-UA" w:eastAsia="zh-CN" w:bidi="ar-SA"/>
        </w:rPr>
        <w:t>міста</w:t>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 xml:space="preserve"> було презентовано: в межах проєкту  «Мистецтво жити! Мистецтво подорожувати! З любов'ю із Волині»!» від ГО «MIRA.ART.PLATFORM» у місті Одеса, заході «Конструктор туристичних стратегій: Практичний інструмент для швидкого відновлення громад» у місті Києві від Міністерства розвитку громад та територій України, на III Туристично-економічному форумі «Туризм в Україні: вимоги сьогодення» у місті Умань, форумі «Державний історико-культурний заповідник «Стародавній Київ». Проблеми і виклики під час війни» у Києві; на воркшопі «Волинь Ділова», організованому креативною агенцією Partyzan Agency; під час зустрічей із учасниками Програми стажування молоді в органах місцевого самоврядування; на Форумі туризму та гостинності «Галекспо» у м. Львів; під час візиту учасників Української академії лідерства.</w:t>
      </w:r>
    </w:p>
    <w:p>
      <w:pPr>
        <w:pStyle w:val="Normal"/>
        <w:widowControl w:val="false"/>
        <w:spacing w:lineRule="auto" w:line="240"/>
        <w:jc w:val="both"/>
        <w:rPr/>
      </w:pPr>
      <w:r>
        <w:rPr>
          <w:rStyle w:val="Strong"/>
          <w:b w:val="false"/>
          <w:bCs w:val="false"/>
          <w:color w:val="00000A"/>
        </w:rPr>
        <w:tab/>
      </w:r>
      <w:r>
        <w:rPr>
          <w:rStyle w:val="Strong"/>
          <w:b w:val="false"/>
          <w:bCs w:val="false"/>
          <w:color w:val="00000A"/>
          <w:sz w:val="28"/>
          <w:szCs w:val="28"/>
        </w:rPr>
        <w:t xml:space="preserve">Управління підтримало і виступило співорганізатором низки знакових для міста подій: забігу луцьких кликунів; </w:t>
      </w:r>
      <w:r>
        <w:rPr>
          <w:rStyle w:val="Strong"/>
          <w:rFonts w:eastAsia="Times New Roman" w:cs="Times New Roman"/>
          <w:b w:val="false"/>
          <w:bCs w:val="false"/>
          <w:iCs w:val="false"/>
          <w:color w:val="00000A"/>
          <w:kern w:val="0"/>
          <w:sz w:val="28"/>
          <w:szCs w:val="28"/>
          <w:lang w:val="uk-UA" w:eastAsia="ru-RU" w:bidi="ar-SA"/>
        </w:rPr>
        <w:t xml:space="preserve">літературного фестивалю «Фронтера»; сьомого Українського урбаністичного форуму; двох подій у межах артпроменаду «Так звучить Луцьк»: </w:t>
      </w:r>
      <w:r>
        <w:rPr>
          <w:rStyle w:val="Strong"/>
          <w:rFonts w:eastAsia="Times New Roman" w:cs="Times New Roman"/>
          <w:b w:val="false"/>
          <w:bCs w:val="false"/>
          <w:i w:val="false"/>
          <w:iCs w:val="false"/>
          <w:caps w:val="false"/>
          <w:smallCaps w:val="false"/>
          <w:color w:val="00000A"/>
          <w:spacing w:val="0"/>
          <w:kern w:val="0"/>
          <w:sz w:val="28"/>
          <w:szCs w:val="28"/>
          <w:lang w:val="uk-UA" w:eastAsia="ru-RU" w:bidi="ar-SA"/>
        </w:rPr>
        <w:t>«Так звучать Луцьк і Київ разом»</w:t>
      </w:r>
      <w:r>
        <w:rPr>
          <w:rStyle w:val="Strong"/>
          <w:rFonts w:eastAsia="Times New Roman" w:cs="Times New Roman"/>
          <w:b w:val="false"/>
          <w:bCs w:val="false"/>
          <w:iCs w:val="false"/>
          <w:color w:val="00000A"/>
          <w:kern w:val="0"/>
          <w:sz w:val="28"/>
          <w:szCs w:val="28"/>
          <w:lang w:val="uk-UA" w:eastAsia="ru-RU" w:bidi="ar-SA"/>
        </w:rPr>
        <w:t xml:space="preserve"> за участю</w:t>
      </w:r>
      <w:r>
        <w:rPr>
          <w:rStyle w:val="Strong"/>
          <w:rFonts w:eastAsia="Times New Roman" w:cs="Times New Roman"/>
          <w:b w:val="false"/>
          <w:bCs w:val="false"/>
          <w:i w:val="false"/>
          <w:iCs w:val="false"/>
          <w:caps w:val="false"/>
          <w:smallCaps w:val="false"/>
          <w:color w:val="00000A"/>
          <w:spacing w:val="0"/>
          <w:kern w:val="0"/>
          <w:sz w:val="28"/>
          <w:szCs w:val="28"/>
          <w:lang w:val="uk-UA" w:eastAsia="ru-RU" w:bidi="ar-SA"/>
        </w:rPr>
        <w:t xml:space="preserve"> хору «Оранта» (м. Луцьк), Хорової капели хлопчиків «Дзвіночок» та дівочого хору «Вогник» (м. Київ), а також «Так звучить Луцьк. Волинські шлягери» за участю хору «Оранта»;  мультипростірного проєкту «Інший поруч» Музею сучасного українського мистецтва Корсаків.</w:t>
      </w:r>
    </w:p>
    <w:p>
      <w:pPr>
        <w:pStyle w:val="Normal"/>
        <w:widowControl w:val="false"/>
        <w:spacing w:lineRule="auto" w:line="240"/>
        <w:jc w:val="both"/>
        <w:rPr>
          <w:rStyle w:val="Strong"/>
          <w:rFonts w:eastAsia="Times New Roman" w:cs="Times New Roman"/>
          <w:b w:val="false"/>
          <w:bCs w:val="false"/>
          <w:iCs w:val="false"/>
          <w:color w:val="00000A"/>
          <w:kern w:val="0"/>
          <w:sz w:val="28"/>
          <w:szCs w:val="28"/>
          <w:lang w:val="uk-UA" w:eastAsia="ru-RU" w:bidi="ar-SA"/>
        </w:rPr>
      </w:pPr>
      <w:r>
        <w:rPr>
          <w:rFonts w:eastAsia="Times New Roman" w:cs="Times New Roman"/>
          <w:b w:val="false"/>
          <w:bCs w:val="false"/>
          <w:iCs w:val="false"/>
          <w:color w:val="00000A"/>
          <w:kern w:val="0"/>
          <w:sz w:val="28"/>
          <w:szCs w:val="28"/>
          <w:lang w:val="uk-UA" w:eastAsia="ru-RU" w:bidi="ar-SA"/>
        </w:rPr>
      </w:r>
    </w:p>
    <w:p>
      <w:pPr>
        <w:pStyle w:val="Normal"/>
        <w:widowControl w:val="false"/>
        <w:spacing w:lineRule="auto" w:line="240"/>
        <w:jc w:val="both"/>
        <w:rPr/>
      </w:pPr>
      <w:r>
        <w:rPr>
          <w:rStyle w:val="Strong"/>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3. Туристичний збір.</w:t>
      </w:r>
    </w:p>
    <w:p>
      <w:pPr>
        <w:pStyle w:val="Normal"/>
        <w:widowControl w:val="false"/>
        <w:spacing w:lineRule="auto" w:line="240"/>
        <w:jc w:val="both"/>
        <w:rPr/>
      </w:pPr>
      <w:r>
        <w:rPr>
          <w:rStyle w:val="Strong"/>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ffect w:val="none"/>
          <w:em w:val="none"/>
          <w:lang w:val="uk-UA" w:eastAsia="zh-CN"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 xml:space="preserve">Проаналізувавши </w:t>
      </w:r>
      <w:r>
        <w:rPr>
          <w:rStyle w:val="Strong"/>
          <w:rFonts w:eastAsia="Times New Roman" w:cs="Times New Roman"/>
          <w:b w:val="false"/>
          <w:bCs/>
          <w:i w:val="false"/>
          <w:iCs w:val="false"/>
          <w:caps w:val="false"/>
          <w:smallCaps w:val="false"/>
          <w:strike w:val="false"/>
          <w:dstrike w:val="false"/>
          <w:outline w:val="false"/>
          <w:shadow w:val="false"/>
          <w:color w:val="080809"/>
          <w:spacing w:val="0"/>
          <w:kern w:val="0"/>
          <w:sz w:val="28"/>
          <w:szCs w:val="28"/>
          <w:highlight w:val="white"/>
          <w:u w:val="none"/>
          <w:effect w:val="none"/>
          <w:em w:val="none"/>
          <w:lang w:val="uk-UA" w:eastAsia="zh-CN" w:bidi="ar-SA"/>
        </w:rPr>
        <w:t xml:space="preserve">ставки турзбору інших міст (в Луцьку була одна з найнижчих), іноземний досвід, а також надходження до міських бюджетів від сплати турзбору, управління виступило з ініціативою переглянути його чинні ставки в громаді в бік збільшення для в'їзного туризму. 25 червня на засіданні сесії міської ради ухвалено рішення, яким затверджено нові ставки туристичного збору для Луцької МТГ, що почнуть діяти з 1 січня 2026 року: </w:t>
      </w:r>
      <w:r>
        <w:rPr>
          <w:b w:val="false"/>
          <w:i w:val="false"/>
          <w:caps w:val="false"/>
          <w:smallCaps w:val="false"/>
          <w:color w:val="080809"/>
          <w:spacing w:val="0"/>
          <w:sz w:val="28"/>
          <w:szCs w:val="28"/>
        </w:rPr>
        <w:t xml:space="preserve">для внутрішнього туризму ставка залишилась незмінною – 0,5 %, а </w:t>
      </w:r>
      <w:r>
        <w:rPr>
          <w:rStyle w:val="Strong"/>
          <w:rFonts w:eastAsia="Times New Roman" w:cs="Times New Roman"/>
          <w:b w:val="false"/>
          <w:bCs/>
          <w:i w:val="false"/>
          <w:iCs w:val="false"/>
          <w:caps w:val="false"/>
          <w:smallCaps w:val="false"/>
          <w:strike w:val="false"/>
          <w:dstrike w:val="false"/>
          <w:outline w:val="false"/>
          <w:shadow w:val="false"/>
          <w:color w:val="080809"/>
          <w:spacing w:val="0"/>
          <w:kern w:val="0"/>
          <w:sz w:val="28"/>
          <w:szCs w:val="28"/>
          <w:highlight w:val="white"/>
          <w:u w:val="none"/>
          <w:effect w:val="none"/>
          <w:em w:val="none"/>
          <w:lang w:val="uk-UA" w:eastAsia="zh-CN" w:bidi="ar-SA"/>
        </w:rPr>
        <w:t xml:space="preserve">для в’їзного туризму – 1,5%. </w:t>
      </w:r>
    </w:p>
    <w:p>
      <w:pPr>
        <w:pStyle w:val="Normal"/>
        <w:widowControl w:val="false"/>
        <w:spacing w:lineRule="auto" w:line="240"/>
        <w:jc w:val="both"/>
        <w:rPr/>
      </w:pPr>
      <w:r>
        <w:rPr>
          <w:rStyle w:val="Strong"/>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ab/>
      </w:r>
      <w:r>
        <w:rPr>
          <w:rStyle w:val="Strong"/>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ffect w:val="none"/>
          <w:em w:val="none"/>
          <w:lang w:val="uk-UA" w:eastAsia="zh-CN" w:bidi="ar-SA"/>
        </w:rPr>
        <w:t>Загалом за 2025 рік туристичний збір у громаді становить 2 344 141 грн. Для порівняння за 2024 — 1 792 371 грн, Тобто приріст становить майже 31%.</w:t>
      </w:r>
    </w:p>
    <w:p>
      <w:pPr>
        <w:pStyle w:val="Normal"/>
        <w:spacing w:lineRule="auto" w:line="240" w:before="0" w:after="0"/>
        <w:jc w:val="both"/>
        <w:rPr/>
      </w:pPr>
      <w:r>
        <w:rPr>
          <w:rStyle w:val="Strong"/>
          <w:rFonts w:eastAsia="Times New Roman" w:cs="Times New Roman"/>
          <w:b w:val="false"/>
          <w:bCs/>
          <w:i w:val="false"/>
          <w:iCs w:val="false"/>
          <w:caps w:val="false"/>
          <w:smallCaps w:val="false"/>
          <w:strike w:val="false"/>
          <w:dstrike w:val="false"/>
          <w:outline w:val="false"/>
          <w:shadow w:val="false"/>
          <w:color w:val="00000A"/>
          <w:spacing w:val="0"/>
          <w:kern w:val="0"/>
          <w:sz w:val="28"/>
          <w:szCs w:val="28"/>
          <w:highlight w:val="white"/>
          <w:u w:val="none"/>
          <w:em w:val="none"/>
          <w:lang w:val="uk-UA" w:eastAsia="zh-CN" w:bidi="ar-SA"/>
        </w:rPr>
        <w:tab/>
        <w:t>Динаміка туристичного збору за останні п’ять років також є позитивною і виглядає так:</w:t>
      </w:r>
    </w:p>
    <w:p>
      <w:pPr>
        <w:pStyle w:val="Normal"/>
        <w:spacing w:lineRule="auto" w:line="240" w:before="0" w:after="0"/>
        <w:jc w:val="both"/>
        <w:rPr>
          <w:rFonts w:eastAsia="Times New Roman" w:cs="Times New Roman"/>
          <w:b w:val="false"/>
          <w:bCs/>
          <w:i w:val="false"/>
          <w:i w:val="false"/>
          <w:iCs w:val="false"/>
          <w:caps w:val="false"/>
          <w:smallCaps w:val="false"/>
          <w:strike w:val="false"/>
          <w:dstrike w:val="false"/>
          <w:outline w:val="false"/>
          <w:shadow w:val="false"/>
          <w:color w:val="00000A"/>
          <w:spacing w:val="0"/>
          <w:kern w:val="0"/>
          <w:sz w:val="28"/>
          <w:szCs w:val="28"/>
          <w:highlight w:val="white"/>
          <w:u w:val="none"/>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A"/>
          <w:spacing w:val="0"/>
          <w:kern w:val="0"/>
          <w:sz w:val="28"/>
          <w:szCs w:val="28"/>
          <w:highlight w:val="white"/>
          <w:u w:val="none"/>
          <w:em w:val="none"/>
          <w:lang w:val="uk-UA" w:eastAsia="zh-CN" w:bidi="ar-SA"/>
        </w:rPr>
        <w:drawing>
          <wp:anchor behindDoc="0" distT="0" distB="0" distL="0" distR="0" simplePos="0" locked="0" layoutInCell="0" allowOverlap="1" relativeHeight="2">
            <wp:simplePos x="0" y="0"/>
            <wp:positionH relativeFrom="column">
              <wp:posOffset>431800</wp:posOffset>
            </wp:positionH>
            <wp:positionV relativeFrom="paragraph">
              <wp:posOffset>16510</wp:posOffset>
            </wp:positionV>
            <wp:extent cx="5084445" cy="1699895"/>
            <wp:effectExtent l="0" t="0" r="0" b="0"/>
            <wp:wrapSquare wrapText="largest"/>
            <wp:docPr id="1" name="Об'єкт3" descr="диаграмма"/>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r>
    </w:p>
    <w:p>
      <w:pPr>
        <w:pStyle w:val="Normal"/>
        <w:widowControl/>
        <w:suppressAutoHyphens w:val="true"/>
        <w:bidi w:val="0"/>
        <w:spacing w:lineRule="auto" w:line="240" w:before="0" w:after="0"/>
        <w:ind w:hanging="0" w:left="0" w:right="0"/>
        <w:contextualSpacing/>
        <w:jc w:val="left"/>
        <w:rPr>
          <w:b/>
          <w:bCs/>
        </w:rPr>
      </w:pPr>
      <w:r>
        <w:rPr>
          <w:b/>
          <w:bCs/>
        </w:rPr>
      </w:r>
    </w:p>
    <w:p>
      <w:pPr>
        <w:pStyle w:val="Normal"/>
        <w:widowControl/>
        <w:suppressAutoHyphens w:val="true"/>
        <w:bidi w:val="0"/>
        <w:spacing w:lineRule="auto" w:line="240" w:before="0" w:after="0"/>
        <w:ind w:hanging="0" w:left="0" w:right="0"/>
        <w:contextualSpacing/>
        <w:jc w:val="left"/>
        <w:rPr>
          <w:b/>
          <w:bCs/>
        </w:rPr>
      </w:pPr>
      <w:r>
        <w:rPr>
          <w:b/>
          <w:bCs/>
        </w:rPr>
      </w:r>
    </w:p>
    <w:p>
      <w:pPr>
        <w:pStyle w:val="Normal"/>
        <w:widowControl/>
        <w:suppressAutoHyphens w:val="true"/>
        <w:bidi w:val="0"/>
        <w:spacing w:lineRule="auto" w:line="240" w:before="0" w:after="0"/>
        <w:ind w:hanging="0" w:left="0" w:right="0"/>
        <w:contextualSpacing/>
        <w:jc w:val="left"/>
        <w:rPr>
          <w:b/>
          <w:bCs/>
        </w:rPr>
      </w:pPr>
      <w:r>
        <w:rPr>
          <w:b/>
          <w:bCs/>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b/>
          <w:bCs/>
          <w:sz w:val="28"/>
          <w:szCs w:val="28"/>
        </w:rPr>
        <w:t>4. Динаміка фінансування цільових програм розвитку туризму в 2021 — 2025 роках.</w:t>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tbl>
      <w:tblPr>
        <w:tblW w:w="5000" w:type="pct"/>
        <w:jc w:val="left"/>
        <w:tblInd w:w="55" w:type="dxa"/>
        <w:tblLayout w:type="fixed"/>
        <w:tblCellMar>
          <w:top w:w="55" w:type="dxa"/>
          <w:left w:w="55" w:type="dxa"/>
          <w:bottom w:w="55" w:type="dxa"/>
          <w:right w:w="55" w:type="dxa"/>
        </w:tblCellMar>
      </w:tblPr>
      <w:tblGrid>
        <w:gridCol w:w="1010"/>
        <w:gridCol w:w="2951"/>
        <w:gridCol w:w="2887"/>
        <w:gridCol w:w="2789"/>
      </w:tblGrid>
      <w:tr>
        <w:trPr/>
        <w:tc>
          <w:tcPr>
            <w:tcW w:w="9637" w:type="dxa"/>
            <w:gridSpan w:val="4"/>
            <w:tcBorders>
              <w:top w:val="single" w:sz="4" w:space="0" w:color="000000"/>
              <w:left w:val="single" w:sz="4" w:space="0" w:color="000000"/>
              <w:bottom w:val="single" w:sz="4" w:space="0" w:color="000000"/>
              <w:right w:val="single" w:sz="4" w:space="0" w:color="000000"/>
            </w:tcBorders>
          </w:tcPr>
          <w:p>
            <w:pPr>
              <w:pStyle w:val="user2"/>
              <w:widowControl w:val="false"/>
              <w:jc w:val="center"/>
              <w:rPr>
                <w:b/>
                <w:bCs/>
                <w:sz w:val="28"/>
                <w:szCs w:val="28"/>
              </w:rPr>
            </w:pPr>
            <w:r>
              <w:rPr>
                <w:b/>
                <w:bCs/>
                <w:sz w:val="28"/>
                <w:szCs w:val="28"/>
              </w:rPr>
              <w:t>Фінансування цільових програм розвитку туризму (тис. грн)</w:t>
            </w:r>
          </w:p>
        </w:tc>
      </w:tr>
      <w:tr>
        <w:trPr/>
        <w:tc>
          <w:tcPr>
            <w:tcW w:w="1010" w:type="dxa"/>
            <w:tcBorders>
              <w:left w:val="single" w:sz="4" w:space="0" w:color="000000"/>
              <w:bottom w:val="single" w:sz="4" w:space="0" w:color="000000"/>
            </w:tcBorders>
          </w:tcPr>
          <w:p>
            <w:pPr>
              <w:pStyle w:val="user2"/>
              <w:widowControl w:val="false"/>
              <w:rPr>
                <w:b/>
                <w:bCs/>
                <w:sz w:val="28"/>
                <w:szCs w:val="28"/>
              </w:rPr>
            </w:pPr>
            <w:r>
              <w:rPr>
                <w:b/>
                <w:bCs/>
                <w:sz w:val="28"/>
                <w:szCs w:val="28"/>
              </w:rPr>
              <w:t>Рік</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потреба</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виділено</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профінансовано</w:t>
            </w:r>
          </w:p>
        </w:tc>
      </w:tr>
      <w:tr>
        <w:trPr/>
        <w:tc>
          <w:tcPr>
            <w:tcW w:w="1010"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2021</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3 470,0</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1 100,0</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1 026,05</w:t>
            </w:r>
          </w:p>
        </w:tc>
      </w:tr>
      <w:tr>
        <w:trPr/>
        <w:tc>
          <w:tcPr>
            <w:tcW w:w="1010"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2022</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3 020,0</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1 058,2</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155,8</w:t>
            </w:r>
          </w:p>
        </w:tc>
      </w:tr>
      <w:tr>
        <w:trPr/>
        <w:tc>
          <w:tcPr>
            <w:tcW w:w="1010"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2023</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920,0</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520,0</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424,5</w:t>
            </w:r>
          </w:p>
        </w:tc>
      </w:tr>
      <w:tr>
        <w:trPr/>
        <w:tc>
          <w:tcPr>
            <w:tcW w:w="1010"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2024</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3 530,0</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700,0</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540,6</w:t>
            </w:r>
          </w:p>
        </w:tc>
      </w:tr>
      <w:tr>
        <w:trPr/>
        <w:tc>
          <w:tcPr>
            <w:tcW w:w="1010"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sz w:val="28"/>
                <w:szCs w:val="28"/>
              </w:rPr>
            </w:pPr>
            <w:r>
              <w:rPr>
                <w:b/>
                <w:bCs/>
                <w:sz w:val="28"/>
                <w:szCs w:val="28"/>
              </w:rPr>
              <w:t>2025</w:t>
            </w:r>
          </w:p>
        </w:tc>
        <w:tc>
          <w:tcPr>
            <w:tcW w:w="2951"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3 035,0</w:t>
            </w:r>
          </w:p>
        </w:tc>
        <w:tc>
          <w:tcPr>
            <w:tcW w:w="2887" w:type="dxa"/>
            <w:tcBorders>
              <w:left w:val="single" w:sz="4" w:space="0" w:color="000000"/>
              <w:bottom w:val="single" w:sz="4" w:space="0" w:color="000000"/>
            </w:tcBorders>
          </w:tcPr>
          <w:p>
            <w:pPr>
              <w:pStyle w:val="Normal"/>
              <w:widowControl w:val="false"/>
              <w:bidi w:val="0"/>
              <w:spacing w:lineRule="auto" w:line="240"/>
              <w:jc w:val="both"/>
              <w:rPr>
                <w:rFonts w:ascii="Times New Roman" w:hAnsi="Times New Roman"/>
                <w:b w:val="false"/>
                <w:bCs w:val="false"/>
                <w:sz w:val="28"/>
                <w:szCs w:val="28"/>
              </w:rPr>
            </w:pPr>
            <w:r>
              <w:rPr>
                <w:b w:val="false"/>
                <w:bCs w:val="false"/>
                <w:sz w:val="28"/>
                <w:szCs w:val="28"/>
              </w:rPr>
              <w:t>1 200,0</w:t>
            </w:r>
          </w:p>
        </w:tc>
        <w:tc>
          <w:tcPr>
            <w:tcW w:w="2789" w:type="dxa"/>
            <w:tcBorders>
              <w:left w:val="single" w:sz="4" w:space="0" w:color="000000"/>
              <w:bottom w:val="single" w:sz="4" w:space="0" w:color="000000"/>
              <w:right w:val="single" w:sz="4" w:space="0" w:color="000000"/>
            </w:tcBorders>
          </w:tcPr>
          <w:p>
            <w:pPr>
              <w:pStyle w:val="Normal"/>
              <w:widowControl w:val="false"/>
              <w:bidi w:val="0"/>
              <w:spacing w:lineRule="auto" w:line="240"/>
              <w:jc w:val="both"/>
              <w:rPr>
                <w:color w:val="000000"/>
              </w:rPr>
            </w:pPr>
            <w:r>
              <w:rPr>
                <w:b w:val="false"/>
                <w:bCs w:val="false"/>
                <w:color w:val="000000"/>
                <w:sz w:val="28"/>
                <w:szCs w:val="28"/>
              </w:rPr>
              <w:t>783,8</w:t>
            </w:r>
          </w:p>
        </w:tc>
      </w:tr>
    </w:tbl>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bidi w:val="0"/>
        <w:spacing w:lineRule="auto" w:line="240"/>
        <w:jc w:val="both"/>
        <w:rPr/>
      </w:pPr>
      <w:r>
        <w:rPr>
          <w:b/>
          <w:bCs/>
          <w:sz w:val="28"/>
          <w:szCs w:val="28"/>
        </w:rPr>
        <w:t>5. Допомога силам оборони України.</w:t>
      </w:r>
    </w:p>
    <w:p>
      <w:pPr>
        <w:pStyle w:val="Normal"/>
        <w:bidi w:val="0"/>
        <w:spacing w:lineRule="auto" w:line="240" w:before="0" w:after="0"/>
        <w:jc w:val="both"/>
        <w:rPr/>
      </w:pPr>
      <w:r>
        <w:rPr>
          <w:rStyle w:val="Strong"/>
          <w:rFonts w:eastAsia="Times New Roman" w:cs="Times New Roman"/>
          <w:b w:val="false"/>
          <w:bCs/>
          <w:i w:val="false"/>
          <w:caps w:val="false"/>
          <w:smallCaps w:val="false"/>
          <w:strike w:val="false"/>
          <w:dstrike w:val="false"/>
          <w:outline w:val="false"/>
          <w:shadow w:val="false"/>
          <w:color w:val="000000"/>
          <w:spacing w:val="0"/>
          <w:kern w:val="0"/>
          <w:sz w:val="26"/>
          <w:szCs w:val="26"/>
          <w:u w:val="none"/>
          <w:shd w:fill="FFFFFF" w:val="clear"/>
          <w:em w:val="none"/>
          <w:lang w:val="uk-UA" w:eastAsia="zh-CN" w:bidi="ar-SA"/>
        </w:rPr>
        <w:tab/>
      </w:r>
      <w:r>
        <w:rPr>
          <w:rStyle w:val="Strong"/>
          <w:rFonts w:eastAsia="Times New Roman" w:cs="Times New Roman"/>
          <w:b w:val="false"/>
          <w:bCs/>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На м</w:t>
      </w:r>
      <w:r>
        <w:rPr>
          <w:rStyle w:val="Strong"/>
          <w:rFonts w:eastAsia="Times New Roman" w:cs="Times New Roman"/>
          <w:b w:val="false"/>
          <w:bCs/>
          <w:i w:val="false"/>
          <w:caps w:val="false"/>
          <w:smallCaps w:val="false"/>
          <w:strike w:val="false"/>
          <w:dstrike w:val="false"/>
          <w:outline w:val="false"/>
          <w:shadow w:val="false"/>
          <w:color w:val="00000A"/>
          <w:spacing w:val="0"/>
          <w:kern w:val="0"/>
          <w:sz w:val="28"/>
          <w:szCs w:val="28"/>
          <w:u w:val="none"/>
          <w:shd w:fill="FFFFFF" w:val="clear"/>
          <w:em w:val="none"/>
          <w:lang w:val="uk-UA" w:eastAsia="zh-CN" w:bidi="ar-SA"/>
        </w:rPr>
        <w:t>айстеркласі Інни Питель зі створен</w:t>
      </w:r>
      <w:r>
        <w:rPr>
          <w:rStyle w:val="Strong"/>
          <w:rFonts w:eastAsia="Times New Roman" w:cs="Times New Roman"/>
          <w:b w:val="false"/>
          <w:bCs/>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 xml:space="preserve">ня писанок </w:t>
      </w:r>
      <w:r>
        <w:rPr>
          <w:rStyle w:val="Strong"/>
          <w:rFonts w:eastAsia="Times New Roman" w:cs="Times New Roman"/>
          <w:b w:val="false"/>
          <w:bCs/>
          <w:i w:val="false"/>
          <w:caps w:val="false"/>
          <w:smallCaps w:val="false"/>
          <w:strike w:val="false"/>
          <w:dstrike w:val="false"/>
          <w:outline w:val="false"/>
          <w:shadow w:val="false"/>
          <w:color w:val="00000A"/>
          <w:spacing w:val="0"/>
          <w:kern w:val="0"/>
          <w:sz w:val="28"/>
          <w:szCs w:val="28"/>
          <w:u w:val="none"/>
          <w:shd w:fill="FFFFFF" w:val="clear"/>
          <w:em w:val="none"/>
          <w:lang w:val="uk-UA" w:eastAsia="zh-CN" w:bidi="ar-SA"/>
        </w:rPr>
        <w:t xml:space="preserve">«Луцька писанка» </w:t>
      </w:r>
      <w:r>
        <w:rPr>
          <w:rStyle w:val="Strong"/>
          <w:rFonts w:eastAsia="Times New Roman" w:cs="Times New Roman"/>
          <w:b w:val="false"/>
          <w:bCs/>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 xml:space="preserve"> зібрано 3000 гривень, які були направлені на збір для 3-го батальйону 54-ї ОМБР ім. Гетьмана Івана Мазепи на DJI Mavic та батареї для Matrice 30T.</w:t>
      </w:r>
    </w:p>
    <w:p>
      <w:pPr>
        <w:pStyle w:val="Normal"/>
        <w:spacing w:lineRule="auto" w:line="240"/>
        <w:jc w:val="both"/>
        <w:rPr/>
      </w:pPr>
      <w:r>
        <w:rPr>
          <w:rStyle w:val="Strong"/>
          <w:rFonts w:eastAsia="Times New Roman" w:cs="Times New Roman"/>
          <w:b w:val="false"/>
          <w:bCs/>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ab/>
        <w:t xml:space="preserve">Управління підтримало проведення </w:t>
      </w:r>
      <w:r>
        <w:rPr>
          <w:rStyle w:val="Strong"/>
          <w:rFonts w:eastAsia="Times New Roman" w:cs="Times New Roman"/>
          <w:b w:val="false"/>
          <w:bCs/>
          <w:i w:val="false"/>
          <w:caps w:val="false"/>
          <w:smallCaps w:val="false"/>
          <w:strike w:val="false"/>
          <w:dstrike w:val="false"/>
          <w:outline w:val="false"/>
          <w:shadow w:val="false"/>
          <w:color w:val="00000A"/>
          <w:spacing w:val="0"/>
          <w:kern w:val="0"/>
          <w:sz w:val="28"/>
          <w:szCs w:val="28"/>
          <w:u w:val="none"/>
          <w:shd w:fill="FFFFFF" w:val="clear"/>
          <w:em w:val="none"/>
          <w:lang w:val="uk-UA" w:eastAsia="ru-RU" w:bidi="ar-SA"/>
        </w:rPr>
        <w:t>виставки Ярослава Черняка і Юрія Чайки «GREEN ART» в музейному просторі «Окольний замок» та їх ініціативу щодо благодійного розпродажу робіт. Розпродаж робіт Ярослава (бренд «TUTURA») зібрав 11000 грн, а це один FPV дрон, та робіт Юрія зібрав 11 000 грн на засоби тактичної медицини.</w:t>
      </w:r>
    </w:p>
    <w:p>
      <w:pPr>
        <w:pStyle w:val="Normal"/>
        <w:bidi w:val="0"/>
        <w:spacing w:lineRule="auto" w:line="240" w:before="0" w:after="0"/>
        <w:jc w:val="both"/>
        <w:rPr/>
      </w:pP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ab/>
        <w:t xml:space="preserve">За результатами збору на благодійному заході «Так звучить Луцьк і Київ разом» (спільний концертний виступ колаборації луцького хору «Оранта» і київських - «Дзвіночок» і «Вогник») на  БФ </w:t>
      </w: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8"/>
          <w:szCs w:val="28"/>
          <w:u w:val="none"/>
          <w:effect w:val="none"/>
          <w:shd w:fill="FFFFFF" w:val="clear"/>
          <w:em w:val="none"/>
          <w:lang w:val="uk-UA" w:eastAsia="zh-CN" w:bidi="ar-SA"/>
        </w:rPr>
        <w:t>«</w:t>
      </w:r>
      <w:r>
        <w:rPr>
          <w:rStyle w:val="Strong"/>
          <w:rFonts w:eastAsia="Times New Roman" w:cs="Times New Roman"/>
          <w:b w:val="false"/>
          <w:bCs w:val="false"/>
          <w:i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АНГАР» було передано 45586 грн.</w:t>
      </w:r>
    </w:p>
    <w:p>
      <w:pPr>
        <w:pStyle w:val="Normal"/>
        <w:bidi w:val="0"/>
        <w:spacing w:lineRule="auto" w:line="240" w:before="0" w:after="0"/>
        <w:jc w:val="both"/>
        <w:rPr/>
      </w:pPr>
      <w:r>
        <w:rPr>
          <w:rStyle w:val="Strong"/>
          <w:b w:val="false"/>
          <w:sz w:val="28"/>
          <w:szCs w:val="28"/>
          <w:shd w:fill="auto" w:val="clear"/>
        </w:rPr>
        <w:tab/>
        <w:t>Проведено ряд спеціальних тренінгів для гідів міста щодо особливостей проведення екскурсій та роботи з військовими.</w:t>
      </w:r>
      <w:r>
        <w:rPr>
          <w:rStyle w:val="Strong"/>
          <w:b w:val="false"/>
          <w:bCs/>
          <w:sz w:val="28"/>
          <w:szCs w:val="28"/>
          <w:shd w:fill="auto" w:val="clear"/>
        </w:rPr>
        <w:t xml:space="preserve"> Як результат було проведено ряд безкоштовних екскурсій містом в рамках проєкту </w:t>
      </w:r>
      <w:r>
        <w:rPr>
          <w:rStyle w:val="Strong"/>
          <w:b w:val="false"/>
          <w:bCs w:val="false"/>
          <w:iCs w:val="false"/>
          <w:kern w:val="2"/>
          <w:sz w:val="28"/>
          <w:szCs w:val="28"/>
          <w:shd w:fill="auto" w:val="clear"/>
        </w:rPr>
        <w:t>«</w:t>
      </w:r>
      <w:r>
        <w:rPr>
          <w:rStyle w:val="Strong"/>
          <w:b w:val="false"/>
          <w:bCs/>
          <w:sz w:val="28"/>
          <w:szCs w:val="28"/>
          <w:shd w:fill="auto" w:val="clear"/>
        </w:rPr>
        <w:t>Подаруй екскурсію солдату</w:t>
      </w:r>
      <w:r>
        <w:rPr>
          <w:rStyle w:val="Strong"/>
          <w:b w:val="false"/>
          <w:bCs w:val="false"/>
          <w:iCs w:val="false"/>
          <w:kern w:val="2"/>
          <w:sz w:val="28"/>
          <w:szCs w:val="28"/>
          <w:shd w:fill="auto" w:val="clear"/>
        </w:rPr>
        <w:t xml:space="preserve">» </w:t>
      </w:r>
      <w:r>
        <w:rPr>
          <w:rStyle w:val="Strong"/>
          <w:b w:val="false"/>
          <w:bCs/>
          <w:sz w:val="28"/>
          <w:szCs w:val="28"/>
          <w:shd w:fill="auto" w:val="clear"/>
        </w:rPr>
        <w:t>для військових, які перебувають у госпіталях нашого міста на лікуванні.</w:t>
      </w:r>
    </w:p>
    <w:p>
      <w:pPr>
        <w:pStyle w:val="Normal"/>
        <w:widowControl/>
        <w:suppressAutoHyphens w:val="true"/>
        <w:bidi w:val="0"/>
        <w:spacing w:lineRule="auto" w:line="240" w:before="0" w:after="0"/>
        <w:ind w:hanging="0" w:left="0" w:right="0"/>
        <w:contextualSpacing/>
        <w:jc w:val="left"/>
        <w:rPr>
          <w:sz w:val="28"/>
          <w:szCs w:val="28"/>
        </w:rPr>
      </w:pPr>
      <w:r>
        <w:rPr>
          <w:sz w:val="28"/>
          <w:szCs w:val="28"/>
        </w:rPr>
      </w:r>
    </w:p>
    <w:p>
      <w:pPr>
        <w:pStyle w:val="Normal"/>
        <w:widowControl/>
        <w:suppressAutoHyphens w:val="true"/>
        <w:bidi w:val="0"/>
        <w:spacing w:lineRule="auto" w:line="240" w:before="0" w:after="0"/>
        <w:ind w:hanging="0" w:left="0" w:right="0"/>
        <w:contextualSpacing/>
        <w:jc w:val="left"/>
        <w:rPr>
          <w:sz w:val="28"/>
          <w:szCs w:val="28"/>
        </w:rPr>
      </w:pPr>
      <w:r>
        <w:rPr>
          <w:lang w:val="uk-UA"/>
        </w:rPr>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Setting w:name="useWord2013TrackBottomHyphenation"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b5a0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uk-UA" w:eastAsia="ru-RU" w:bidi="ar-SA"/>
    </w:rPr>
  </w:style>
  <w:style w:type="character" w:styleId="DefaultParagraphFont" w:default="1">
    <w:name w:val="Default Paragraph Font"/>
    <w:uiPriority w:val="1"/>
    <w:semiHidden/>
    <w:unhideWhenUsed/>
    <w:qFormat/>
    <w:rPr/>
  </w:style>
  <w:style w:type="character" w:styleId="InternetLink">
    <w:name w:val="Internet Link"/>
    <w:qFormat/>
    <w:rsid w:val="000b5a01"/>
    <w:rPr>
      <w:color w:val="0000FF"/>
      <w:u w:val="single"/>
    </w:rPr>
  </w:style>
  <w:style w:type="character" w:styleId="InternetLink1">
    <w:name w:val="Internet Link1"/>
    <w:qFormat/>
    <w:rPr>
      <w:color w:val="000080"/>
      <w:u w:val="single"/>
    </w:rPr>
  </w:style>
  <w:style w:type="character" w:styleId="Strong">
    <w:name w:val="Strong"/>
    <w:qFormat/>
    <w:rPr>
      <w:b/>
      <w:bCs/>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Hyperlink">
    <w:name w:val="Hyperlink"/>
    <w:rPr>
      <w:color w:val="000080"/>
      <w:u w:val="single"/>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15">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Mangal"/>
      <w:sz w:val="28"/>
      <w:szCs w:val="28"/>
    </w:rPr>
  </w:style>
  <w:style w:type="paragraph" w:styleId="Style16">
    <w:name w:val="Указатель"/>
    <w:basedOn w:val="Normal"/>
    <w:qFormat/>
    <w:pPr>
      <w:suppressLineNumbers/>
    </w:pPr>
    <w:rPr>
      <w:rFonts w:cs="Mangal"/>
    </w:rPr>
  </w:style>
  <w:style w:type="paragraph" w:styleId="user1">
    <w:name w:val="Покажчик (user)"/>
    <w:basedOn w:val="Normal"/>
    <w:qFormat/>
    <w:pPr>
      <w:suppressLineNumbers/>
    </w:pPr>
    <w:rPr>
      <w:rFonts w:cs="Arial"/>
    </w:rPr>
  </w:style>
  <w:style w:type="paragraph" w:styleId="Style51" w:customStyle="1">
    <w:name w:val="Style5"/>
    <w:basedOn w:val="Normal"/>
    <w:qFormat/>
    <w:rsid w:val="000b5a01"/>
    <w:pPr>
      <w:widowControl w:val="false"/>
      <w:spacing w:lineRule="exact" w:line="312"/>
      <w:ind w:firstLine="550"/>
      <w:jc w:val="both"/>
    </w:pPr>
    <w:rPr/>
  </w:style>
  <w:style w:type="paragraph" w:styleId="Style17">
    <w:name w:val="Без интервала"/>
    <w:qFormat/>
    <w:pPr>
      <w:widowControl/>
      <w:suppressAutoHyphens w:val="true"/>
      <w:bidi w:val="0"/>
      <w:spacing w:lineRule="auto" w:line="276" w:before="0" w:after="0"/>
      <w:jc w:val="left"/>
    </w:pPr>
    <w:rPr>
      <w:rFonts w:ascii="Arial" w:hAnsi="Arial" w:eastAsia="Arial" w:cs="Times New Roman" w:asciiTheme="minorHAnsi" w:eastAsiaTheme="minorHAnsi" w:hAnsiTheme="minorHAnsi"/>
      <w:color w:val="auto"/>
      <w:kern w:val="0"/>
      <w:sz w:val="22"/>
      <w:szCs w:val="22"/>
      <w:lang w:val="uk-UA" w:eastAsia="en-US" w:bidi="ar-SA"/>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Style18"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cebook.com/DesignLesyaUkrainkaVNU?__cft__[0]=AZXKsBs0GEwFC-GUuhAMg_qGt9ql75rIYERw-aTYYxBiBI0ck61yAbKP2plOxkg2EzjFkBs7rIL6n1x7SNDOGPy9FtLSQGkSDY3Kv5_XNkNxZkBHt78gvvSEZnI9Bw0Oo-X-bhQ4z3YhBguLoy37KJyrXE2TfiJZbeEm0k0WfBz83g&amp;__tn__=-]K-R" TargetMode="External"/><Relationship Id="rId3" Type="http://schemas.openxmlformats.org/officeDocument/2006/relationships/chart" Target="charts/chart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view3D>
      <c:rotX val="13"/>
      <c:rotY val="14"/>
      <c:rAngAx val="1"/>
      <c:perspective val="40"/>
    </c:view3D>
    <c:floor>
      <c:spPr>
        <a:solidFill>
          <a:srgbClr val="cccccc"/>
        </a:solidFill>
        <a:ln w="0">
          <a:noFill/>
        </a:ln>
      </c:spPr>
    </c:floor>
    <c:sideWall>
      <c:spPr>
        <a:solidFill>
          <a:srgbClr val="dee6ef"/>
        </a:solidFill>
        <a:ln w="0">
          <a:solidFill>
            <a:srgbClr val="b3b3b3"/>
          </a:solidFill>
        </a:ln>
      </c:spPr>
    </c:sideWall>
    <c:backWall>
      <c:spPr>
        <a:solidFill>
          <a:srgbClr val="dee6ef"/>
        </a:solidFill>
        <a:ln w="0">
          <a:solidFill>
            <a:srgbClr val="b3b3b3"/>
          </a:solidFill>
        </a:ln>
      </c:spPr>
    </c:backWall>
    <c:plotArea>
      <c:layout>
        <c:manualLayout>
          <c:layoutTarget val="inner"/>
          <c:xMode val="edge"/>
          <c:yMode val="edge"/>
          <c:x val="0.14275"/>
          <c:y val="0.098"/>
          <c:w val="0.7558125"/>
          <c:h val="0.730777777777778"/>
        </c:manualLayout>
      </c:layout>
      <c:bar3DChart>
        <c:barDir val="col"/>
        <c:grouping val="clustered"/>
        <c:varyColors val="0"/>
        <c:ser>
          <c:idx val="0"/>
          <c:order val="0"/>
          <c:tx>
            <c:strRef>
              <c:f>label 0</c:f>
              <c:strCache>
                <c:ptCount val="1"/>
                <c:pt idx="0">
                  <c:v>тис. грн</c:v>
                </c:pt>
              </c:strCache>
            </c:strRef>
          </c:tx>
          <c:spPr>
            <a:solidFill>
              <a:srgbClr val="004586"/>
            </a:solidFill>
            <a:ln w="0">
              <a:noFill/>
            </a:ln>
          </c:spPr>
          <c:invertIfNegative val="0"/>
          <c:dPt>
            <c:idx val="5"/>
            <c:invertIfNegative val="0"/>
            <c:spPr>
              <a:solidFill>
                <a:srgbClr val="ed4c05"/>
              </a:solidFill>
              <a:ln w="0">
                <a:noFill/>
              </a:ln>
            </c:spPr>
          </c:dPt>
          <c:dLbls>
            <c:numFmt formatCode="General" sourceLinked="0"/>
            <c:dLbl>
              <c:idx val="5"/>
              <c:numFmt formatCode="General" sourceLinked="0"/>
              <c:txPr>
                <a:bodyPr wrap="none"/>
                <a:lstStyle/>
                <a:p>
                  <a:pPr>
                    <a:defRPr b="0" sz="1000" strike="noStrike" u="none">
                      <a:solidFill>
                        <a:srgbClr val="000000"/>
                      </a:solidFill>
                      <a:uFillTx/>
                      <a:latin typeface="Arial"/>
                    </a:defRPr>
                  </a:pPr>
                </a:p>
              </c:txPr>
              <c:showLegendKey val="0"/>
              <c:showVal val="1"/>
              <c:showCatName val="0"/>
              <c:showSerName val="0"/>
              <c:showPercent val="0"/>
              <c:separator> </c:separator>
            </c:dLbl>
            <c:txPr>
              <a:bodyPr wrap="none"/>
              <a:lstStyle/>
              <a:p>
                <a:pPr>
                  <a:defRPr b="0" sz="1000" strike="noStrike" u="none">
                    <a:solidFill>
                      <a:srgbClr val="000000"/>
                    </a:solidFill>
                    <a:uFillTx/>
                    <a:latin typeface="Arial"/>
                    <a:ea typeface="DejaVu Sans"/>
                  </a:defRPr>
                </a:pPr>
              </a:p>
            </c:txPr>
            <c:showLegendKey val="0"/>
            <c:showVal val="1"/>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6"/>
                <c:pt idx="0">
                  <c:v>2020</c:v>
                </c:pt>
                <c:pt idx="1">
                  <c:v>2021</c:v>
                </c:pt>
                <c:pt idx="2">
                  <c:v>2022</c:v>
                </c:pt>
                <c:pt idx="3">
                  <c:v>2023</c:v>
                </c:pt>
                <c:pt idx="4">
                  <c:v>2024</c:v>
                </c:pt>
                <c:pt idx="5">
                  <c:v>2025</c:v>
                </c:pt>
              </c:strCache>
            </c:strRef>
          </c:cat>
          <c:val>
            <c:numRef>
              <c:f>0</c:f>
              <c:numCache>
                <c:formatCode>General</c:formatCode>
                <c:ptCount val="6"/>
                <c:pt idx="0">
                  <c:v>513.9</c:v>
                </c:pt>
                <c:pt idx="1">
                  <c:v>993.5</c:v>
                </c:pt>
                <c:pt idx="2">
                  <c:v>1123.5</c:v>
                </c:pt>
                <c:pt idx="3">
                  <c:v>1606.8</c:v>
                </c:pt>
                <c:pt idx="4">
                  <c:v>1792.4</c:v>
                </c:pt>
                <c:pt idx="5">
                  <c:v>2344.1</c:v>
                </c:pt>
              </c:numCache>
            </c:numRef>
          </c:val>
        </c:ser>
        <c:gapWidth val="100"/>
        <c:shape val="box"/>
        <c:axId val="13407393"/>
        <c:axId val="56577937"/>
        <c:axId val="0"/>
      </c:bar3DChart>
      <c:catAx>
        <c:axId val="13407393"/>
        <c:scaling>
          <c:orientation val="minMax"/>
        </c:scaling>
        <c:delete val="0"/>
        <c:axPos val="b"/>
        <c:title>
          <c:tx>
            <c:rich>
              <a:bodyPr rot="0"/>
              <a:lstStyle/>
              <a:p>
                <a:pPr>
                  <a:defRPr b="0" sz="1300" strike="noStrike" u="none">
                    <a:uFillTx/>
                    <a:latin typeface="Arial"/>
                  </a:defRPr>
                </a:pPr>
                <a:r>
                  <a:rPr b="0" sz="1200" strike="noStrike" u="none">
                    <a:solidFill>
                      <a:srgbClr val="000000"/>
                    </a:solidFill>
                    <a:uFillTx/>
                    <a:latin typeface="Times New Roman"/>
                    <a:ea typeface="DejaVu Sans"/>
                  </a:rPr>
                  <a:t>Рік</a:t>
                </a:r>
              </a:p>
            </c:rich>
          </c:tx>
          <c:layout>
            <c:manualLayout>
              <c:xMode val="edge"/>
              <c:yMode val="edge"/>
              <c:x val="0.147348297104015"/>
              <c:y val="0.905952128786274"/>
            </c:manualLayout>
          </c:layout>
          <c:overlay val="0"/>
          <c:spPr>
            <a:noFill/>
            <a:ln w="0">
              <a:noFill/>
            </a:ln>
          </c:spPr>
        </c:title>
        <c:numFmt formatCode="[$-422]dd/mm/yyyy"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56577937"/>
        <c:crosses val="autoZero"/>
        <c:auto val="1"/>
        <c:lblAlgn val="ctr"/>
        <c:lblOffset val="100"/>
        <c:noMultiLvlLbl val="0"/>
      </c:catAx>
      <c:valAx>
        <c:axId val="56577937"/>
        <c:scaling>
          <c:orientation val="minMax"/>
        </c:scaling>
        <c:delete val="0"/>
        <c:axPos val="l"/>
        <c:title>
          <c:tx>
            <c:rich>
              <a:bodyPr rot="-5400000"/>
              <a:lstStyle/>
              <a:p>
                <a:pPr>
                  <a:defRPr b="0" sz="1300" strike="noStrike" u="none">
                    <a:uFillTx/>
                    <a:latin typeface="Arial"/>
                  </a:defRPr>
                </a:pPr>
                <a:r>
                  <a:rPr b="0" sz="1200" strike="noStrike" u="none">
                    <a:solidFill>
                      <a:srgbClr val="000000"/>
                    </a:solidFill>
                    <a:uFillTx/>
                    <a:latin typeface="Times New Roman"/>
                    <a:ea typeface="DejaVu Sans"/>
                  </a:rPr>
                  <a:t>тис. грн</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b="0" sz="1000" strike="noStrike" u="none">
                <a:solidFill>
                  <a:srgbClr val="000000"/>
                </a:solidFill>
                <a:uFillTx/>
                <a:latin typeface="Arial"/>
                <a:ea typeface="DejaVu Sans"/>
              </a:defRPr>
            </a:pPr>
          </a:p>
        </c:txPr>
        <c:crossAx val="13407393"/>
        <c:crosses val="autoZero"/>
        <c:crossBetween val="between"/>
      </c:valAx>
    </c:plotArea>
    <c:plotVisOnly val="1"/>
    <c:dispBlanksAs val="gap"/>
  </c:chart>
  <c:spPr>
    <a:noFill/>
    <a:ln w="0">
      <a:noFill/>
    </a:ln>
  </c:spPr>
</c:chartSpace>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217</TotalTime>
  <Application>LibreOffice/25.2.7.2$Windows_X86_64 LibreOffice_project/5cbfd1ab6520636bb5f7b99185aa69bd7456825d</Application>
  <AppVersion>15.0000</AppVersion>
  <Pages>4</Pages>
  <Words>1149</Words>
  <Characters>7489</Characters>
  <CharactersWithSpaces>8625</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2022-02-22T13:47:00Z</dcterms:created>
  <dc:creator>nkhmel</dc:creator>
  <dc:description/>
  <dc:language>uk-UA</dc:language>
  <cp:lastModifiedBy/>
  <dcterms:modified xsi:type="dcterms:W3CDTF">2026-01-20T16:25:53Z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