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D1562C" w:rsidRDefault="006E23FD" w:rsidP="00D1562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D1562C"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</w:t>
            </w:r>
            <w:r w:rsidR="00432281"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</w:t>
            </w:r>
            <w:r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D1562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660A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7693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7693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F04E67" w:rsidRP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0490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F04E67" w:rsidRPr="00F04E67" w:rsidRDefault="00F04E67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Інші заходи пов'язані з економічною</w:t>
            </w:r>
            <w:r w:rsidRPr="000C6AA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діяльністю</w:t>
            </w:r>
          </w:p>
          <w:p w:rsidR="009740FF" w:rsidRPr="00922F4C" w:rsidRDefault="00F04E67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F04E67" w:rsidP="00506898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1EFE">
              <w:rPr>
                <w:rFonts w:ascii="Times New Roman" w:hAnsi="Times New Roman"/>
                <w:sz w:val="24"/>
                <w:szCs w:val="24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D51EFE">
              <w:rPr>
                <w:rFonts w:ascii="Times New Roman" w:hAnsi="Times New Roman"/>
                <w:sz w:val="24"/>
                <w:szCs w:val="24"/>
              </w:rPr>
              <w:lastRenderedPageBreak/>
              <w:t>інфраструктури міста.</w:t>
            </w:r>
          </w:p>
        </w:tc>
      </w:tr>
    </w:tbl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F04E67" w:rsidRPr="00F04E67" w:rsidRDefault="00F04E67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</w:t>
      </w:r>
      <w:r w:rsidRPr="00F04E67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Створення дієвого механізму фінансової підтримки об'єднань громадян, підвищення </w:t>
      </w:r>
      <w:proofErr w:type="spellStart"/>
      <w:r w:rsidRPr="00F04E67">
        <w:rPr>
          <w:rFonts w:ascii="Times New Roman" w:hAnsi="Times New Roman" w:cs="Times New Roman"/>
          <w:w w:val="100"/>
          <w:sz w:val="24"/>
          <w:szCs w:val="24"/>
          <w:lang w:eastAsia="en-US"/>
        </w:rPr>
        <w:t>енергоефективності</w:t>
      </w:r>
      <w:proofErr w:type="spellEnd"/>
      <w:r w:rsidRPr="00F04E67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житлового фонду міста, економії енергоресурсів та формування відповідального власника житла.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F04E67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51EFE">
              <w:rPr>
                <w:rFonts w:ascii="Times New Roman" w:hAnsi="Times New Roman"/>
                <w:sz w:val="24"/>
                <w:szCs w:val="24"/>
              </w:rPr>
              <w:t xml:space="preserve">ідшкодування частини суми кредитів ОСББ та ЖБК міста Луцька, залучених на впровадження в будинках </w:t>
            </w:r>
            <w:proofErr w:type="spellStart"/>
            <w:r w:rsidRPr="00D51EFE">
              <w:rPr>
                <w:rFonts w:ascii="Times New Roman" w:hAnsi="Times New Roman"/>
                <w:sz w:val="24"/>
                <w:szCs w:val="24"/>
              </w:rPr>
              <w:t>енергоефективних</w:t>
            </w:r>
            <w:proofErr w:type="spellEnd"/>
            <w:r w:rsidRPr="00D51EFE">
              <w:rPr>
                <w:rFonts w:ascii="Times New Roman" w:hAnsi="Times New Roman"/>
                <w:sz w:val="24"/>
                <w:szCs w:val="24"/>
              </w:rPr>
              <w:t xml:space="preserve"> заходів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F04E67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D51EF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ідшкодування частини суми кредитів ОСББ та ЖБК міста Луцька, залучених на впровадження в будинках </w:t>
            </w:r>
            <w:proofErr w:type="spellStart"/>
            <w:r w:rsidRPr="00D51EFE">
              <w:rPr>
                <w:rFonts w:ascii="Times New Roman" w:hAnsi="Times New Roman"/>
                <w:spacing w:val="-20"/>
                <w:sz w:val="20"/>
                <w:szCs w:val="20"/>
              </w:rPr>
              <w:t>енергоефективних</w:t>
            </w:r>
            <w:proofErr w:type="spellEnd"/>
            <w:r w:rsidRPr="00D51EF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заходів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6 492 000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6 492 000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6 133 343,01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6 133 343 ,01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-358 565,99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-358 565,99</w:t>
            </w:r>
          </w:p>
        </w:tc>
      </w:tr>
      <w:tr w:rsidR="00F04E67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365ECA" w:rsidRDefault="00F04E67" w:rsidP="00884A45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6 492 000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6 492 000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6 133 343,01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6 133 343 ,01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-358 565,99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-358 565,99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06592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Pr="00514870">
              <w:rPr>
                <w:lang w:val="uk-UA" w:eastAsia="en-US"/>
              </w:rPr>
              <w:t>иділені кошти забезпечили виконання бюджетної програми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3C1AF0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922F4C" w:rsidRDefault="003C1AF0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5EC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відшкодування частини суми кредитів ОСББ та ЖБК Луцької міської територіальної громади, залучених на впровадження в будинках </w:t>
            </w:r>
            <w:proofErr w:type="spellStart"/>
            <w:r w:rsidRPr="00365ECA">
              <w:rPr>
                <w:rFonts w:ascii="Times New Roman" w:hAnsi="Times New Roman"/>
                <w:spacing w:val="-20"/>
                <w:sz w:val="20"/>
                <w:szCs w:val="20"/>
              </w:rPr>
              <w:t>енергоефективних</w:t>
            </w:r>
            <w:proofErr w:type="spellEnd"/>
            <w:r w:rsidRPr="00365EC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заходів на 2021-2023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6 492 000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6 492 000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6 133 343,01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6 133 343 ,01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-358 565,99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C1AF0" w:rsidRPr="000123B2" w:rsidRDefault="003C1AF0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-358 565,99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загальний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спеціальний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загальний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спеціальний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спеціальни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відшкодування частини суми кредитів ОСББ та ЖБК міста Луцька, залучених на впровадження в будинках </w:t>
            </w:r>
            <w:proofErr w:type="spellStart"/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енергоефективних</w:t>
            </w:r>
            <w:proofErr w:type="spellEnd"/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заходів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1"/>
            <w:bookmarkEnd w:id="14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2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6 492 000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6 492 000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6 133 343,01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6 133 343 ,01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-358 565,99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-358 565,99</w:t>
            </w: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420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B77DB1" w:rsidRDefault="00906592" w:rsidP="00884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421"/>
            <w:bookmarkEnd w:id="17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2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3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4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5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6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7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8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9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3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0B65F8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B65F8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відшкодування  ставок відсоткових на об'єкт господарювання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0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1"/>
            <w:bookmarkEnd w:id="28"/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6A261F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2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118 036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6A261F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6A261F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118 036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465"/>
            <w:bookmarkEnd w:id="3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117 948 ,90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466"/>
            <w:bookmarkEnd w:id="3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467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117 948 ,90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468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-87,10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469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470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-87,10</w:t>
            </w: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0"/>
            <w:bookmarkEnd w:id="36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1"/>
            <w:bookmarkEnd w:id="37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2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3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04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1" w:name="505"/>
            <w:bookmarkEnd w:id="4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2" w:name="506"/>
            <w:bookmarkEnd w:id="4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3" w:name="507"/>
            <w:bookmarkEnd w:id="4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tabs>
                <w:tab w:val="left" w:pos="525"/>
                <w:tab w:val="center" w:pos="601"/>
              </w:tabs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4" w:name="508"/>
            <w:bookmarkEnd w:id="44"/>
            <w:r>
              <w:rPr>
                <w:rFonts w:ascii="Times New Roman" w:hAnsi="Times New Roman"/>
                <w:spacing w:val="-20"/>
                <w:sz w:val="20"/>
                <w:szCs w:val="20"/>
              </w:rPr>
              <w:tab/>
              <w:t>-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ab/>
              <w:t>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5" w:name="509"/>
            <w:bookmarkEnd w:id="4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6" w:name="510"/>
            <w:bookmarkEnd w:id="4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відшкодування частини суми кредитів ОСББ та ЖБК міста Луцька, залучених на впровадження в будинках </w:t>
            </w:r>
            <w:proofErr w:type="spellStart"/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енергоефективних</w:t>
            </w:r>
            <w:proofErr w:type="spellEnd"/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заходів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9065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9065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90659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9065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9065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0B65F8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Проведені заходи відповідно до фактичної потреби</w:t>
            </w: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90659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9065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0B65F8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B65F8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відшкодування  ставок відсоткових на об'єкт господарювання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9065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0B65F8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Середня розрахункова вартість</w:t>
            </w: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90659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9065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884A4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9065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0B65F8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124A1A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>Програма виконана частково, відхилення виникли</w:t>
            </w:r>
            <w:r w:rsidR="00124A1A">
              <w:rPr>
                <w:color w:val="auto"/>
                <w:lang w:val="uk-UA" w:eastAsia="en-US"/>
              </w:rPr>
              <w:t xml:space="preserve"> </w:t>
            </w:r>
            <w:r w:rsidR="00124A1A" w:rsidRPr="00124A1A">
              <w:rPr>
                <w:color w:val="auto"/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br w:type="page"/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4A1A" w:rsidRPr="008B7215" w:rsidRDefault="004D12FB" w:rsidP="00124A1A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забезпечили виконання бюджетної програми передбаченої </w:t>
            </w:r>
            <w:r w:rsidR="00124A1A" w:rsidRPr="00124A1A">
              <w:rPr>
                <w:color w:val="auto"/>
                <w:lang w:val="uk-UA" w:eastAsia="en-US"/>
              </w:rPr>
              <w:t xml:space="preserve">відшкодування частини суми кредитів ОСББ та ЖБК міста Луцька, залучених на впровадження в будинках </w:t>
            </w:r>
            <w:proofErr w:type="spellStart"/>
            <w:r w:rsidR="00124A1A" w:rsidRPr="00124A1A">
              <w:rPr>
                <w:color w:val="auto"/>
                <w:lang w:val="uk-UA" w:eastAsia="en-US"/>
              </w:rPr>
              <w:t>енергоефективних</w:t>
            </w:r>
            <w:proofErr w:type="spellEnd"/>
            <w:r w:rsidR="00124A1A" w:rsidRPr="00124A1A">
              <w:rPr>
                <w:color w:val="auto"/>
                <w:lang w:val="uk-UA" w:eastAsia="en-US"/>
              </w:rPr>
              <w:t xml:space="preserve"> заходів</w:t>
            </w:r>
            <w:r w:rsidR="00D20E75" w:rsidRPr="00D20E75">
              <w:rPr>
                <w:color w:val="auto"/>
                <w:lang w:val="uk-UA" w:eastAsia="en-US"/>
              </w:rPr>
              <w:t>, транспортування, постачання теплової енергії</w:t>
            </w:r>
            <w:r w:rsidRPr="00D20E75">
              <w:rPr>
                <w:color w:val="auto"/>
                <w:lang w:val="uk-UA" w:eastAsia="en-US"/>
              </w:rPr>
              <w:t>, 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124A1A">
              <w:rPr>
                <w:color w:val="auto"/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B1D5B"/>
    <w:rsid w:val="000B65F8"/>
    <w:rsid w:val="000C1557"/>
    <w:rsid w:val="00124A1A"/>
    <w:rsid w:val="00141E6E"/>
    <w:rsid w:val="001C2DAB"/>
    <w:rsid w:val="001F634D"/>
    <w:rsid w:val="003C1AF0"/>
    <w:rsid w:val="003D6A06"/>
    <w:rsid w:val="003F6C45"/>
    <w:rsid w:val="00401A23"/>
    <w:rsid w:val="00414066"/>
    <w:rsid w:val="00415428"/>
    <w:rsid w:val="00432281"/>
    <w:rsid w:val="00435AE2"/>
    <w:rsid w:val="004660AA"/>
    <w:rsid w:val="004B0B23"/>
    <w:rsid w:val="004B6AFB"/>
    <w:rsid w:val="004D12FB"/>
    <w:rsid w:val="004E5897"/>
    <w:rsid w:val="005101A0"/>
    <w:rsid w:val="00514B93"/>
    <w:rsid w:val="0053754B"/>
    <w:rsid w:val="00556A57"/>
    <w:rsid w:val="00575164"/>
    <w:rsid w:val="005E4169"/>
    <w:rsid w:val="006533B7"/>
    <w:rsid w:val="00666C5D"/>
    <w:rsid w:val="00692C30"/>
    <w:rsid w:val="006D57F7"/>
    <w:rsid w:val="006D720D"/>
    <w:rsid w:val="006E23FD"/>
    <w:rsid w:val="006F21A8"/>
    <w:rsid w:val="007B764C"/>
    <w:rsid w:val="007D19AD"/>
    <w:rsid w:val="00814270"/>
    <w:rsid w:val="0086016B"/>
    <w:rsid w:val="00884DD6"/>
    <w:rsid w:val="008866E4"/>
    <w:rsid w:val="008B7215"/>
    <w:rsid w:val="008C6232"/>
    <w:rsid w:val="00906592"/>
    <w:rsid w:val="00912777"/>
    <w:rsid w:val="00922F4C"/>
    <w:rsid w:val="009740FF"/>
    <w:rsid w:val="009A473B"/>
    <w:rsid w:val="009B22C2"/>
    <w:rsid w:val="00AA0E71"/>
    <w:rsid w:val="00AE5E9E"/>
    <w:rsid w:val="00B07E4D"/>
    <w:rsid w:val="00B12401"/>
    <w:rsid w:val="00B62B20"/>
    <w:rsid w:val="00B75C49"/>
    <w:rsid w:val="00BF0699"/>
    <w:rsid w:val="00C05AFC"/>
    <w:rsid w:val="00C83734"/>
    <w:rsid w:val="00C854BF"/>
    <w:rsid w:val="00CC09CB"/>
    <w:rsid w:val="00CD3D55"/>
    <w:rsid w:val="00CE7D81"/>
    <w:rsid w:val="00D1562C"/>
    <w:rsid w:val="00D20E75"/>
    <w:rsid w:val="00D95FA6"/>
    <w:rsid w:val="00DD7F17"/>
    <w:rsid w:val="00DE3D30"/>
    <w:rsid w:val="00E650BC"/>
    <w:rsid w:val="00EE12B5"/>
    <w:rsid w:val="00EF06CE"/>
    <w:rsid w:val="00EF5FE2"/>
    <w:rsid w:val="00F04E67"/>
    <w:rsid w:val="00F141EA"/>
    <w:rsid w:val="00F321D5"/>
    <w:rsid w:val="00F53DFD"/>
    <w:rsid w:val="00FD0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4691</Words>
  <Characters>2675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108</cp:revision>
  <dcterms:created xsi:type="dcterms:W3CDTF">2022-12-28T06:41:00Z</dcterms:created>
  <dcterms:modified xsi:type="dcterms:W3CDTF">2023-02-20T14:58:00Z</dcterms:modified>
</cp:coreProperties>
</file>