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10095" w:type="dxa"/>
        <w:jc w:val="left"/>
        <w:tblInd w:w="0" w:type="dxa"/>
        <w:tblLayout w:type="fixed"/>
        <w:tblCellMar>
          <w:top w:w="0" w:type="dxa"/>
          <w:left w:w="108" w:type="dxa"/>
          <w:bottom w:w="0" w:type="dxa"/>
          <w:right w:w="108" w:type="dxa"/>
        </w:tblCellMar>
      </w:tblPr>
      <w:tblGrid>
        <w:gridCol w:w="4590"/>
        <w:gridCol w:w="5504"/>
      </w:tblGrid>
      <w:tr>
        <w:trPr>
          <w:trHeight w:val="4020" w:hRule="atLeast"/>
        </w:trPr>
        <w:tc>
          <w:tcPr>
            <w:tcW w:w="4590" w:type="dxa"/>
            <w:tcBorders/>
          </w:tcPr>
          <w:p>
            <w:pPr>
              <w:pStyle w:val="Normal"/>
              <w:widowControl w:val="false"/>
              <w:tabs>
                <w:tab w:val="clear" w:pos="706"/>
                <w:tab w:val="left" w:pos="1800" w:leader="none"/>
                <w:tab w:val="center" w:pos="2284" w:leader="none"/>
                <w:tab w:val="left" w:pos="7201" w:leader="none"/>
              </w:tabs>
              <w:rPr>
                <w:b/>
                <w:b/>
                <w:spacing w:val="10"/>
                <w:sz w:val="28"/>
                <w:szCs w:val="28"/>
              </w:rPr>
            </w:pPr>
            <w:r>
              <w:rPr/>
              <w:tab/>
            </w:r>
            <w:r>
              <w:rPr/>
              <w:object>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33.65pt;height:43.35pt;mso-wrap-distance-right:0pt" filled="f" o:ole="">
                  <v:imagedata r:id="rId3" o:title=""/>
                </v:shape>
                <o:OLEObject Type="Embed" ProgID="" ShapeID="ole_rId2" DrawAspect="Content" ObjectID="_108129943" r:id="rId2"/>
              </w:object>
            </w:r>
          </w:p>
          <w:p>
            <w:pPr>
              <w:pStyle w:val="Normal"/>
              <w:widowControl w:val="false"/>
              <w:tabs>
                <w:tab w:val="clear" w:pos="706"/>
                <w:tab w:val="left" w:pos="1800" w:leader="none"/>
                <w:tab w:val="center" w:pos="2284" w:leader="none"/>
                <w:tab w:val="left" w:pos="7201" w:leader="none"/>
              </w:tabs>
              <w:rPr>
                <w:b/>
                <w:b/>
                <w:spacing w:val="10"/>
                <w:sz w:val="28"/>
                <w:szCs w:val="28"/>
              </w:rPr>
            </w:pPr>
            <w:r>
              <w:rPr>
                <w:b/>
                <w:spacing w:val="10"/>
                <w:sz w:val="28"/>
                <w:szCs w:val="28"/>
              </w:rPr>
            </w:r>
          </w:p>
          <w:p>
            <w:pPr>
              <w:pStyle w:val="Normal"/>
              <w:widowControl w:val="false"/>
              <w:tabs>
                <w:tab w:val="clear" w:pos="706"/>
                <w:tab w:val="left" w:pos="7201" w:leader="none"/>
              </w:tabs>
              <w:jc w:val="center"/>
              <w:rPr>
                <w:b/>
                <w:b/>
                <w:spacing w:val="10"/>
                <w:sz w:val="28"/>
                <w:szCs w:val="28"/>
              </w:rPr>
            </w:pPr>
            <w:r>
              <w:rPr>
                <w:b/>
                <w:spacing w:val="10"/>
                <w:sz w:val="28"/>
                <w:szCs w:val="28"/>
              </w:rPr>
              <w:t xml:space="preserve">УКРАЇНА </w:t>
              <w:br/>
              <w:t>ЛУЦЬКА МІСЬКА РАДА</w:t>
            </w:r>
          </w:p>
          <w:p>
            <w:pPr>
              <w:pStyle w:val="Normal"/>
              <w:widowControl w:val="false"/>
              <w:tabs>
                <w:tab w:val="clear" w:pos="706"/>
                <w:tab w:val="left" w:pos="7201" w:leader="none"/>
              </w:tabs>
              <w:jc w:val="center"/>
              <w:rPr>
                <w:b/>
                <w:b/>
                <w:spacing w:val="10"/>
                <w:sz w:val="28"/>
                <w:szCs w:val="28"/>
              </w:rPr>
            </w:pPr>
            <w:r>
              <w:rPr>
                <w:b/>
                <w:spacing w:val="10"/>
                <w:sz w:val="28"/>
                <w:szCs w:val="28"/>
              </w:rPr>
              <w:t>ВІДДІЛ ЕКОЛОГІЇ</w:t>
            </w:r>
          </w:p>
          <w:p>
            <w:pPr>
              <w:pStyle w:val="Normal"/>
              <w:widowControl w:val="false"/>
              <w:jc w:val="center"/>
              <w:rPr>
                <w:sz w:val="28"/>
                <w:szCs w:val="28"/>
              </w:rPr>
            </w:pPr>
            <w:r>
              <w:rPr>
                <w:sz w:val="28"/>
                <w:szCs w:val="28"/>
              </w:rPr>
              <w:t xml:space="preserve">вул. Богдана Хмельницького, 40а,  </w:t>
            </w:r>
          </w:p>
          <w:p>
            <w:pPr>
              <w:pStyle w:val="Normal"/>
              <w:widowControl w:val="false"/>
              <w:jc w:val="center"/>
              <w:rPr/>
            </w:pPr>
            <w:r>
              <w:rPr>
                <w:rFonts w:eastAsia="Times New Roman" w:cs="Times New Roman"/>
                <w:sz w:val="28"/>
                <w:szCs w:val="28"/>
              </w:rPr>
              <w:t xml:space="preserve">  </w:t>
            </w:r>
            <w:r>
              <w:rPr>
                <w:sz w:val="28"/>
                <w:szCs w:val="28"/>
              </w:rPr>
              <w:t>м. Луцьк, 43025 каб. 307, 308</w:t>
            </w:r>
          </w:p>
          <w:p>
            <w:pPr>
              <w:pStyle w:val="Normal"/>
              <w:widowControl w:val="false"/>
              <w:jc w:val="center"/>
              <w:rPr>
                <w:sz w:val="28"/>
                <w:szCs w:val="28"/>
              </w:rPr>
            </w:pPr>
            <w:r>
              <w:rPr>
                <w:sz w:val="28"/>
                <w:szCs w:val="28"/>
              </w:rPr>
              <w:t>Тел.(0332) 724608, 724160</w:t>
            </w:r>
          </w:p>
          <w:p>
            <w:pPr>
              <w:pStyle w:val="Normal"/>
              <w:widowControl w:val="false"/>
              <w:jc w:val="center"/>
              <w:rPr>
                <w:sz w:val="28"/>
                <w:szCs w:val="28"/>
              </w:rPr>
            </w:pPr>
            <w:r>
              <w:rPr>
                <w:sz w:val="28"/>
                <w:szCs w:val="28"/>
              </w:rPr>
              <w:t>E-mail: ecology@lutskrada.gov.ua</w:t>
            </w:r>
          </w:p>
          <w:p>
            <w:pPr>
              <w:pStyle w:val="Normal"/>
              <w:widowControl w:val="false"/>
              <w:tabs>
                <w:tab w:val="clear" w:pos="706"/>
                <w:tab w:val="left" w:pos="7201" w:leader="none"/>
              </w:tabs>
              <w:rPr/>
            </w:pPr>
            <w:r>
              <w:rPr>
                <w:rFonts w:cs="Times New Roman CYR" w:ascii="Times New Roman CYR" w:hAnsi="Times New Roman CYR"/>
                <w:sz w:val="20"/>
              </w:rPr>
              <w:t>__________________ №</w:t>
            </w:r>
            <w:r>
              <w:rPr>
                <w:rFonts w:cs="Times New Roman CYR" w:ascii="Times New Roman CYR" w:hAnsi="Times New Roman CYR"/>
                <w:i/>
                <w:sz w:val="20"/>
              </w:rPr>
              <w:t xml:space="preserve"> __</w:t>
            </w:r>
            <w:r>
              <w:rPr>
                <w:rFonts w:cs="Times New Roman CYR" w:ascii="Times New Roman CYR" w:hAnsi="Times New Roman CYR"/>
                <w:sz w:val="20"/>
              </w:rPr>
              <w:t>_________________</w:t>
            </w:r>
          </w:p>
          <w:p>
            <w:pPr>
              <w:pStyle w:val="Normal"/>
              <w:widowControl w:val="false"/>
              <w:tabs>
                <w:tab w:val="clear" w:pos="706"/>
                <w:tab w:val="left" w:pos="6954" w:leader="none"/>
              </w:tabs>
              <w:jc w:val="both"/>
              <w:rPr/>
            </w:pPr>
            <w:r>
              <w:rPr>
                <w:rFonts w:cs="Times New Roman CYR" w:ascii="Times New Roman CYR" w:hAnsi="Times New Roman CYR"/>
                <w:i/>
                <w:sz w:val="20"/>
              </w:rPr>
              <w:t xml:space="preserve">На </w:t>
            </w:r>
            <w:r>
              <w:rPr>
                <w:rFonts w:cs="Times New Roman CYR" w:ascii="Times New Roman CYR" w:hAnsi="Times New Roman CYR"/>
                <w:sz w:val="20"/>
              </w:rPr>
              <w:t>№ ______________ від _________________</w:t>
            </w:r>
          </w:p>
        </w:tc>
        <w:tc>
          <w:tcPr>
            <w:tcW w:w="5504" w:type="dxa"/>
            <w:tcBorders/>
          </w:tcPr>
          <w:p>
            <w:pPr>
              <w:pStyle w:val="Normal"/>
              <w:widowControl w:val="false"/>
              <w:tabs>
                <w:tab w:val="clear" w:pos="706"/>
                <w:tab w:val="left" w:pos="6954" w:leader="none"/>
              </w:tabs>
              <w:snapToGrid w:val="false"/>
              <w:jc w:val="both"/>
              <w:rPr/>
            </w:pPr>
            <w:r>
              <w:rPr/>
            </w:r>
          </w:p>
          <w:p>
            <w:pPr>
              <w:pStyle w:val="Normal"/>
              <w:widowControl w:val="false"/>
              <w:tabs>
                <w:tab w:val="clear" w:pos="706"/>
                <w:tab w:val="left" w:pos="6954" w:leader="none"/>
              </w:tabs>
              <w:jc w:val="both"/>
              <w:rPr/>
            </w:pPr>
            <w:r>
              <w:rPr/>
            </w:r>
          </w:p>
          <w:p>
            <w:pPr>
              <w:pStyle w:val="Normal"/>
              <w:widowControl w:val="false"/>
              <w:tabs>
                <w:tab w:val="clear" w:pos="706"/>
                <w:tab w:val="left" w:pos="6954" w:leader="none"/>
              </w:tabs>
              <w:jc w:val="both"/>
              <w:rPr/>
            </w:pPr>
            <w:r>
              <w:rPr/>
            </w:r>
          </w:p>
          <w:p>
            <w:pPr>
              <w:pStyle w:val="Normal"/>
              <w:widowControl w:val="false"/>
              <w:tabs>
                <w:tab w:val="clear" w:pos="706"/>
                <w:tab w:val="left" w:pos="6954" w:leader="none"/>
              </w:tabs>
              <w:jc w:val="both"/>
              <w:rPr/>
            </w:pPr>
            <w:r>
              <w:rPr/>
            </w:r>
          </w:p>
          <w:p>
            <w:pPr>
              <w:pStyle w:val="Normal"/>
              <w:widowControl w:val="false"/>
              <w:tabs>
                <w:tab w:val="clear" w:pos="706"/>
                <w:tab w:val="left" w:pos="6954" w:leader="none"/>
              </w:tabs>
              <w:jc w:val="both"/>
              <w:rPr/>
            </w:pPr>
            <w:r>
              <w:rPr/>
            </w:r>
          </w:p>
          <w:p>
            <w:pPr>
              <w:pStyle w:val="Normal"/>
              <w:widowControl w:val="false"/>
              <w:tabs>
                <w:tab w:val="clear" w:pos="706"/>
                <w:tab w:val="left" w:pos="6954" w:leader="none"/>
              </w:tabs>
              <w:jc w:val="both"/>
              <w:rPr/>
            </w:pPr>
            <w:r>
              <w:rPr/>
            </w:r>
          </w:p>
          <w:p>
            <w:pPr>
              <w:pStyle w:val="Normal"/>
              <w:widowControl w:val="false"/>
              <w:tabs>
                <w:tab w:val="clear" w:pos="706"/>
                <w:tab w:val="left" w:pos="6954" w:leader="none"/>
              </w:tabs>
              <w:jc w:val="both"/>
              <w:rPr/>
            </w:pPr>
            <w:r>
              <w:rPr/>
            </w:r>
          </w:p>
          <w:p>
            <w:pPr>
              <w:pStyle w:val="Normal"/>
              <w:widowControl w:val="false"/>
              <w:tabs>
                <w:tab w:val="clear" w:pos="706"/>
                <w:tab w:val="left" w:pos="6954" w:leader="none"/>
              </w:tabs>
              <w:jc w:val="both"/>
              <w:rPr>
                <w:rFonts w:eastAsia="Times New Roman" w:cs="Times New Roman"/>
              </w:rPr>
            </w:pPr>
            <w:r>
              <w:rPr>
                <w:rFonts w:eastAsia="Times New Roman" w:cs="Times New Roman"/>
              </w:rPr>
              <w:t xml:space="preserve">                              </w:t>
            </w:r>
          </w:p>
          <w:p>
            <w:pPr>
              <w:pStyle w:val="Normal"/>
              <w:widowControl w:val="false"/>
              <w:tabs>
                <w:tab w:val="clear" w:pos="706"/>
                <w:tab w:val="left" w:pos="6954" w:leader="none"/>
              </w:tabs>
              <w:jc w:val="both"/>
              <w:rPr/>
            </w:pPr>
            <w:r>
              <w:rPr>
                <w:rFonts w:eastAsia="Times New Roman" w:cs="Times New Roman"/>
              </w:rPr>
              <w:t xml:space="preserve"> </w:t>
            </w:r>
            <w:r>
              <w:rPr>
                <w:sz w:val="28"/>
                <w:szCs w:val="28"/>
                <w:lang w:val="uk-UA"/>
              </w:rPr>
              <w:t>Відділ звернень громадян</w:t>
            </w:r>
          </w:p>
          <w:p>
            <w:pPr>
              <w:pStyle w:val="Normal"/>
              <w:widowControl w:val="false"/>
              <w:tabs>
                <w:tab w:val="clear" w:pos="706"/>
                <w:tab w:val="left" w:pos="6954" w:leader="none"/>
              </w:tabs>
              <w:jc w:val="both"/>
              <w:rPr/>
            </w:pPr>
            <w:r>
              <w:rPr>
                <w:rFonts w:eastAsia="Times New Roman" w:cs="Times New Roman"/>
                <w:sz w:val="28"/>
                <w:szCs w:val="28"/>
                <w:lang w:val="uk-UA"/>
              </w:rPr>
              <w:t xml:space="preserve"> </w:t>
            </w:r>
            <w:r>
              <w:rPr>
                <w:sz w:val="28"/>
                <w:szCs w:val="28"/>
                <w:lang w:val="uk-UA"/>
              </w:rPr>
              <w:t>департаменту ЦНАП</w:t>
            </w:r>
          </w:p>
          <w:p>
            <w:pPr>
              <w:pStyle w:val="Normal"/>
              <w:widowControl w:val="false"/>
              <w:tabs>
                <w:tab w:val="clear" w:pos="706"/>
                <w:tab w:val="left" w:pos="6954" w:leader="none"/>
              </w:tabs>
              <w:jc w:val="both"/>
              <w:rPr>
                <w:sz w:val="28"/>
                <w:szCs w:val="28"/>
                <w:lang w:val="en-US"/>
              </w:rPr>
            </w:pPr>
            <w:r>
              <w:rPr>
                <w:sz w:val="28"/>
                <w:szCs w:val="28"/>
                <w:lang w:val="en-US"/>
              </w:rPr>
            </w:r>
          </w:p>
          <w:p>
            <w:pPr>
              <w:pStyle w:val="Normal"/>
              <w:widowControl w:val="false"/>
              <w:tabs>
                <w:tab w:val="clear" w:pos="706"/>
                <w:tab w:val="left" w:pos="6954" w:leader="none"/>
              </w:tabs>
              <w:jc w:val="both"/>
              <w:rPr>
                <w:sz w:val="28"/>
                <w:szCs w:val="28"/>
                <w:lang w:val="en-US"/>
              </w:rPr>
            </w:pPr>
            <w:r>
              <w:rPr>
                <w:sz w:val="28"/>
                <w:szCs w:val="28"/>
                <w:lang w:val="en-US"/>
              </w:rPr>
            </w:r>
          </w:p>
          <w:p>
            <w:pPr>
              <w:pStyle w:val="Normal"/>
              <w:widowControl w:val="false"/>
              <w:tabs>
                <w:tab w:val="clear" w:pos="706"/>
                <w:tab w:val="left" w:pos="6954" w:leader="none"/>
              </w:tabs>
              <w:jc w:val="both"/>
              <w:rPr>
                <w:sz w:val="28"/>
                <w:szCs w:val="28"/>
                <w:lang w:val="en-US"/>
              </w:rPr>
            </w:pPr>
            <w:r>
              <w:rPr>
                <w:sz w:val="28"/>
                <w:szCs w:val="28"/>
                <w:lang w:val="en-US"/>
              </w:rPr>
            </w:r>
          </w:p>
        </w:tc>
      </w:tr>
    </w:tbl>
    <w:p>
      <w:pPr>
        <w:pStyle w:val="Normal"/>
        <w:jc w:val="both"/>
        <w:rPr>
          <w:sz w:val="28"/>
          <w:szCs w:val="28"/>
          <w:lang w:val="uk-UA"/>
        </w:rPr>
      </w:pPr>
      <w:r>
        <w:rPr>
          <w:sz w:val="28"/>
          <w:szCs w:val="28"/>
          <w:lang w:val="uk-UA"/>
        </w:rPr>
        <w:t>Про звернення громадян,</w:t>
      </w:r>
    </w:p>
    <w:p>
      <w:pPr>
        <w:pStyle w:val="Normal"/>
        <w:jc w:val="both"/>
        <w:rPr>
          <w:sz w:val="28"/>
          <w:szCs w:val="28"/>
          <w:lang w:val="uk-UA"/>
        </w:rPr>
      </w:pPr>
      <w:r>
        <w:rPr>
          <w:sz w:val="28"/>
          <w:szCs w:val="28"/>
          <w:lang w:val="uk-UA"/>
        </w:rPr>
        <w:t>що надійшли у відділ екології</w:t>
      </w:r>
    </w:p>
    <w:p>
      <w:pPr>
        <w:pStyle w:val="Normal"/>
        <w:jc w:val="both"/>
        <w:rPr/>
      </w:pPr>
      <w:r>
        <w:rPr>
          <w:sz w:val="28"/>
          <w:szCs w:val="28"/>
          <w:lang w:val="uk-UA"/>
        </w:rPr>
        <w:t>упродовж 2021 року</w:t>
      </w:r>
    </w:p>
    <w:p>
      <w:pPr>
        <w:pStyle w:val="Normal"/>
        <w:jc w:val="center"/>
        <w:rPr>
          <w:sz w:val="28"/>
          <w:szCs w:val="28"/>
          <w:lang w:val="uk-UA"/>
        </w:rPr>
      </w:pPr>
      <w:r>
        <w:rPr>
          <w:sz w:val="28"/>
          <w:szCs w:val="28"/>
          <w:lang w:val="uk-UA"/>
        </w:rPr>
        <w:t>Аналітична довідка</w:t>
      </w:r>
    </w:p>
    <w:p>
      <w:pPr>
        <w:pStyle w:val="Normal"/>
        <w:ind w:left="0" w:right="0" w:firstLine="709"/>
        <w:jc w:val="both"/>
        <w:rPr/>
      </w:pPr>
      <w:r>
        <w:rPr>
          <w:sz w:val="28"/>
          <w:szCs w:val="28"/>
          <w:lang w:val="uk-UA"/>
        </w:rPr>
        <w:t xml:space="preserve">Аналізуючи динаміку надходження звернень громадян до відділу екології  упродовж 2021 року у порівнянні з 2020 роком, зазначаємо, що їх кількість значно збільшилась (241 проти 160 у 2020 році). </w:t>
      </w:r>
    </w:p>
    <w:p>
      <w:pPr>
        <w:pStyle w:val="Normal"/>
        <w:ind w:left="0" w:right="0" w:firstLine="709"/>
        <w:jc w:val="both"/>
        <w:rPr/>
      </w:pPr>
      <w:r>
        <w:rPr>
          <w:sz w:val="28"/>
          <w:szCs w:val="28"/>
          <w:lang w:val="uk-UA"/>
        </w:rPr>
        <w:t xml:space="preserve">З них 224 отримані через відділ звернень громадян департаменту ЦНАП. Безпосередньо у відділ екології надійшло 17 звернень. </w:t>
      </w:r>
    </w:p>
    <w:p>
      <w:pPr>
        <w:pStyle w:val="Normal"/>
        <w:ind w:left="0" w:right="0" w:firstLine="709"/>
        <w:jc w:val="both"/>
        <w:rPr>
          <w:sz w:val="28"/>
          <w:szCs w:val="28"/>
          <w:lang w:val="uk-UA"/>
        </w:rPr>
      </w:pPr>
      <w:r>
        <w:rPr>
          <w:sz w:val="28"/>
          <w:szCs w:val="28"/>
          <w:lang w:val="uk-UA"/>
        </w:rPr>
        <w:t>Основна тематика звернень громадян стосувалась надання дозволів на знесення та підрізання дерев; неприємного запаху у різних районах громади,  реєстрації пасіки, отримання дотації за наявні бджолосім’ї та надання інформації щодо водних об’єктів на території громади. Окремі звернення стосувались різних аспектів охорони довкілля на території Луцької міської територіальної громади.</w:t>
      </w:r>
    </w:p>
    <w:p>
      <w:pPr>
        <w:pStyle w:val="Normal"/>
        <w:ind w:left="0" w:right="0" w:firstLine="709"/>
        <w:jc w:val="both"/>
        <w:rPr/>
      </w:pPr>
      <w:r>
        <w:rPr>
          <w:color w:val="000000"/>
          <w:sz w:val="28"/>
          <w:szCs w:val="28"/>
          <w:lang w:val="uk-UA"/>
        </w:rPr>
        <w:t>Надано 57 адміністративних послуг (довідки про реагування громадськості на заяву про наміри отримати дозвіл на викиди — 32, ви</w:t>
      </w:r>
      <w:r>
        <w:rPr>
          <w:b w:val="false"/>
          <w:bCs w:val="false"/>
          <w:color w:val="000000"/>
          <w:sz w:val="28"/>
          <w:szCs w:val="28"/>
          <w:lang w:val="uk-UA"/>
        </w:rPr>
        <w:t>дача акта обстеження зелених насаджень — 2, реєстрація пасіки — 22, погодження заяви про наміри розділу оцінки впливу на довкілля — 1</w:t>
      </w:r>
      <w:r>
        <w:rPr>
          <w:color w:val="000000"/>
          <w:sz w:val="28"/>
          <w:szCs w:val="28"/>
          <w:lang w:val="uk-UA"/>
        </w:rPr>
        <w:t>), проти 43 адміністративних послуг, що були надані у 2020 році.</w:t>
      </w:r>
    </w:p>
    <w:p>
      <w:pPr>
        <w:pStyle w:val="Normal"/>
        <w:ind w:left="0" w:right="0" w:firstLine="709"/>
        <w:jc w:val="both"/>
        <w:rPr/>
      </w:pPr>
      <w:r>
        <w:rPr>
          <w:color w:val="000000"/>
          <w:sz w:val="28"/>
          <w:szCs w:val="28"/>
          <w:lang w:val="uk-UA"/>
        </w:rPr>
        <w:t xml:space="preserve">За 2021 рік розглянуто 20 запитів на інформацію та один адвокатський запит. Запитувана інформація стосувалась утримання зелених насаджень, водних об’єктів, відходів, територій природно-заповідного фонду та інше. З платформи “Відкрите місто” та контакт-центру 15-80 відділом розглянуто та надано відповідь на </w:t>
      </w:r>
      <w:r>
        <w:rPr>
          <w:color w:val="000000"/>
          <w:sz w:val="28"/>
          <w:szCs w:val="28"/>
          <w:lang w:val="uk-UA"/>
        </w:rPr>
        <w:t>77</w:t>
      </w:r>
      <w:r>
        <w:rPr>
          <w:color w:val="000000"/>
          <w:sz w:val="28"/>
          <w:szCs w:val="28"/>
          <w:lang w:val="uk-UA"/>
        </w:rPr>
        <w:t xml:space="preserve"> звернень.</w:t>
      </w:r>
    </w:p>
    <w:p>
      <w:pPr>
        <w:pStyle w:val="Normal"/>
        <w:ind w:left="0" w:right="0" w:firstLine="709"/>
        <w:jc w:val="both"/>
        <w:rPr/>
      </w:pPr>
      <w:r>
        <w:rPr>
          <w:sz w:val="28"/>
          <w:szCs w:val="28"/>
          <w:lang w:val="uk-UA"/>
        </w:rPr>
        <w:t>Статистичні дані подані у вигляді таблиці згідно запропонованої форми.</w:t>
      </w:r>
    </w:p>
    <w:p>
      <w:pPr>
        <w:pStyle w:val="Normal"/>
        <w:ind w:left="0" w:right="0" w:hanging="0"/>
        <w:jc w:val="both"/>
        <w:rPr>
          <w:color w:val="000000"/>
        </w:rPr>
      </w:pPr>
      <w:r>
        <w:rPr>
          <w:rFonts w:eastAsia="Times New Roman" w:cs="Times New Roman"/>
          <w:color w:val="000000"/>
          <w:sz w:val="28"/>
          <w:szCs w:val="28"/>
          <w:lang w:val="uk-UA"/>
        </w:rPr>
        <w:t>Додаток : на 1 арк. в 1 прим.</w:t>
      </w:r>
    </w:p>
    <w:p>
      <w:pPr>
        <w:pStyle w:val="Normal"/>
        <w:jc w:val="both"/>
        <w:rPr>
          <w:color w:val="800000"/>
          <w:sz w:val="16"/>
          <w:szCs w:val="16"/>
          <w:lang w:val="uk-UA"/>
        </w:rPr>
      </w:pPr>
      <w:r>
        <w:rPr>
          <w:color w:val="800000"/>
          <w:sz w:val="16"/>
          <w:szCs w:val="16"/>
          <w:lang w:val="uk-UA"/>
        </w:rPr>
      </w:r>
    </w:p>
    <w:p>
      <w:pPr>
        <w:pStyle w:val="Normal"/>
        <w:jc w:val="both"/>
        <w:rPr/>
      </w:pPr>
      <w:r>
        <w:rPr>
          <w:color w:val="000000"/>
          <w:sz w:val="28"/>
          <w:szCs w:val="28"/>
          <w:lang w:val="uk-UA"/>
        </w:rPr>
        <w:t xml:space="preserve">Начальник відділу  </w:t>
      </w:r>
      <w:r>
        <w:rPr>
          <w:sz w:val="28"/>
          <w:szCs w:val="28"/>
          <w:lang w:val="uk-UA"/>
        </w:rPr>
        <w:t xml:space="preserve">                                                                             Оксана ЛИСАК</w:t>
      </w:r>
    </w:p>
    <w:p>
      <w:pPr>
        <w:pStyle w:val="Normal"/>
        <w:jc w:val="both"/>
        <w:rPr>
          <w:sz w:val="16"/>
          <w:szCs w:val="16"/>
          <w:lang w:val="uk-UA"/>
        </w:rPr>
      </w:pPr>
      <w:r>
        <w:rPr>
          <w:sz w:val="16"/>
          <w:szCs w:val="16"/>
          <w:lang w:val="uk-UA"/>
        </w:rPr>
      </w:r>
    </w:p>
    <w:p>
      <w:pPr>
        <w:pStyle w:val="Normal"/>
        <w:jc w:val="both"/>
        <w:rPr>
          <w:lang w:val="uk-UA"/>
        </w:rPr>
      </w:pPr>
      <w:r>
        <w:rPr>
          <w:lang w:val="uk-UA"/>
        </w:rPr>
        <w:t>Іванна Король 724 608</w:t>
      </w:r>
    </w:p>
    <w:p>
      <w:pPr>
        <w:pStyle w:val="Normal"/>
        <w:jc w:val="both"/>
        <w:rPr>
          <w:rFonts w:eastAsia="Times New Roman" w:cs="Times New Roman"/>
          <w:lang w:val="uk-UA"/>
        </w:rPr>
      </w:pPr>
      <w:r>
        <w:rPr>
          <w:rFonts w:eastAsia="Times New Roman" w:cs="Times New Roman"/>
          <w:lang w:val="uk-UA"/>
        </w:rPr>
        <w:t xml:space="preserve"> </w:t>
      </w:r>
    </w:p>
    <w:sectPr>
      <w:type w:val="nextPage"/>
      <w:pgSz w:w="11906" w:h="16838"/>
      <w:pgMar w:left="1134" w:right="1134"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imes New Roman CYR">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revisionView w:insDel="0" w:formatting="0"/>
  <w:defaultTabStop w:val="706"/>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val="false"/>
      <w:suppressAutoHyphens w:val="true"/>
      <w:overflowPunct w:val="true"/>
      <w:bidi w:val="0"/>
      <w:spacing w:before="0" w:after="0"/>
      <w:jc w:val="left"/>
    </w:pPr>
    <w:rPr>
      <w:rFonts w:ascii="Times New Roman" w:hAnsi="Times New Roman" w:eastAsia="Andale Sans UI;Arial Unicode MS" w:cs="Tahoma"/>
      <w:color w:val="auto"/>
      <w:kern w:val="2"/>
      <w:sz w:val="24"/>
      <w:szCs w:val="24"/>
      <w:lang w:val="zxx" w:eastAsia="zh-CN" w:bidi="zxx"/>
    </w:rPr>
  </w:style>
  <w:style w:type="paragraph" w:styleId="1">
    <w:name w:val="Heading 1"/>
    <w:basedOn w:val="Style12"/>
    <w:next w:val="Style13"/>
    <w:qFormat/>
    <w:pPr>
      <w:numPr>
        <w:ilvl w:val="0"/>
        <w:numId w:val="1"/>
      </w:numPr>
      <w:spacing w:before="240" w:after="120"/>
      <w:outlineLvl w:val="0"/>
    </w:pPr>
    <w:rPr>
      <w:b/>
      <w:bCs/>
      <w:sz w:val="36"/>
      <w:szCs w:val="36"/>
    </w:rPr>
  </w:style>
  <w:style w:type="paragraph" w:styleId="2">
    <w:name w:val="Heading 2"/>
    <w:basedOn w:val="Style12"/>
    <w:next w:val="Style13"/>
    <w:qFormat/>
    <w:pPr>
      <w:numPr>
        <w:ilvl w:val="1"/>
        <w:numId w:val="1"/>
      </w:numPr>
      <w:spacing w:before="200" w:after="120"/>
      <w:outlineLvl w:val="1"/>
    </w:pPr>
    <w:rPr>
      <w:b/>
      <w:bCs/>
      <w:sz w:val="32"/>
      <w:szCs w:val="32"/>
    </w:rPr>
  </w:style>
  <w:style w:type="paragraph" w:styleId="3">
    <w:name w:val="Heading 3"/>
    <w:basedOn w:val="Style12"/>
    <w:next w:val="Style13"/>
    <w:qFormat/>
    <w:pPr>
      <w:numPr>
        <w:ilvl w:val="2"/>
        <w:numId w:val="1"/>
      </w:numPr>
      <w:spacing w:before="140" w:after="120"/>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1">
    <w:name w:val="Основной шрифт абзаца"/>
    <w:qFormat/>
    <w:rPr/>
  </w:style>
  <w:style w:type="paragraph" w:styleId="Style12">
    <w:name w:val="Заголовок"/>
    <w:basedOn w:val="Normal"/>
    <w:next w:val="Style13"/>
    <w:qFormat/>
    <w:pPr>
      <w:keepNext w:val="true"/>
      <w:spacing w:before="240" w:after="120"/>
    </w:pPr>
    <w:rPr>
      <w:rFonts w:ascii="Arial" w:hAnsi="Arial" w:eastAsia="Andale Sans UI;Arial Unicode MS" w:cs="Tahoma"/>
      <w:sz w:val="28"/>
      <w:szCs w:val="28"/>
    </w:rPr>
  </w:style>
  <w:style w:type="paragraph" w:styleId="Style13">
    <w:name w:val="Body Text"/>
    <w:basedOn w:val="Normal"/>
    <w:pPr>
      <w:spacing w:before="0" w:after="120"/>
    </w:pPr>
    <w:rPr/>
  </w:style>
  <w:style w:type="paragraph" w:styleId="Style14">
    <w:name w:val="List"/>
    <w:basedOn w:val="Style13"/>
    <w:pPr/>
    <w:rPr>
      <w:rFonts w:cs="Tahoma"/>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Название объекта"/>
    <w:basedOn w:val="Normal"/>
    <w:qFormat/>
    <w:pPr>
      <w:suppressLineNumbers/>
      <w:spacing w:before="120" w:after="120"/>
    </w:pPr>
    <w:rPr>
      <w:rFonts w:cs="Tahoma"/>
      <w:i/>
      <w:iCs/>
      <w:sz w:val="24"/>
      <w:szCs w:val="24"/>
    </w:rPr>
  </w:style>
  <w:style w:type="paragraph" w:styleId="11">
    <w:name w:val="Указатель1"/>
    <w:basedOn w:val="Normal"/>
    <w:qFormat/>
    <w:pPr>
      <w:suppressLineNumbers/>
    </w:pPr>
    <w:rPr>
      <w:rFonts w:cs="Tahoma"/>
    </w:rPr>
  </w:style>
  <w:style w:type="paragraph" w:styleId="Style20">
    <w:name w:val="Содержимое таблицы"/>
    <w:basedOn w:val="Normal"/>
    <w:qFormat/>
    <w:pPr>
      <w:suppressLineNumbers/>
    </w:pPr>
    <w:rPr/>
  </w:style>
  <w:style w:type="paragraph" w:styleId="Style21">
    <w:name w:val="Заголовок таблицы"/>
    <w:basedOn w:val="Style20"/>
    <w:qFormat/>
    <w:pPr>
      <w:suppressLineNumbers/>
      <w:jc w:val="center"/>
    </w:pPr>
    <w:rPr>
      <w:b/>
      <w:bCs/>
    </w:rPr>
  </w:style>
  <w:style w:type="paragraph" w:styleId="Style22">
    <w:name w:val="Блочная цитата"/>
    <w:basedOn w:val="Normal"/>
    <w:qFormat/>
    <w:pPr>
      <w:spacing w:before="0" w:after="283"/>
      <w:ind w:left="567" w:right="567" w:hanging="0"/>
    </w:pPr>
    <w:rPr/>
  </w:style>
  <w:style w:type="paragraph" w:styleId="Style23">
    <w:name w:val="Заглавие"/>
    <w:basedOn w:val="Style12"/>
    <w:next w:val="Style13"/>
    <w:qFormat/>
    <w:pPr>
      <w:jc w:val="center"/>
    </w:pPr>
    <w:rPr>
      <w:b/>
      <w:bCs/>
      <w:sz w:val="56"/>
      <w:szCs w:val="56"/>
    </w:rPr>
  </w:style>
  <w:style w:type="paragraph" w:styleId="Style24">
    <w:name w:val="Subtitle"/>
    <w:basedOn w:val="Style12"/>
    <w:next w:val="Style13"/>
    <w:qFormat/>
    <w:pPr>
      <w:spacing w:before="60" w:after="120"/>
      <w:jc w:val="center"/>
    </w:pPr>
    <w:rPr>
      <w:sz w:val="36"/>
      <w:szCs w:val="36"/>
    </w:rPr>
  </w:style>
  <w:style w:type="paragraph" w:styleId="Style25">
    <w:name w:val="Вміст таблиці"/>
    <w:basedOn w:val="Normal"/>
    <w:qFormat/>
    <w:pPr>
      <w:suppressLineNumbers/>
    </w:pPr>
    <w:rPr/>
  </w:style>
  <w:style w:type="paragraph" w:styleId="Style26">
    <w:name w:val="Заголовок таблиці"/>
    <w:basedOn w:val="Style25"/>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149</TotalTime>
  <Application>LibreOffice/7.1.4.2$Windows_X86_64 LibreOffice_project/a529a4fab45b75fefc5b6226684193eb000654f6</Application>
  <AppVersion>15.0000</AppVersion>
  <Pages>1</Pages>
  <Words>251</Words>
  <Characters>1623</Characters>
  <CharactersWithSpaces>1976</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2009-04-16T10:32:00Z</dcterms:created>
  <dc:creator/>
  <dc:description/>
  <dc:language>uk-UA</dc:language>
  <cp:lastModifiedBy/>
  <cp:lastPrinted>1995-11-21T17:41:00Z</cp:lastPrinted>
  <dcterms:modified xsi:type="dcterms:W3CDTF">2022-01-05T11:05:09Z</dcterms:modified>
  <cp:revision>32</cp:revision>
  <dc:subject/>
  <dc:title/>
</cp:coreProperties>
</file>

<file path=docProps/custom.xml><?xml version="1.0" encoding="utf-8"?>
<Properties xmlns="http://schemas.openxmlformats.org/officeDocument/2006/custom-properties" xmlns:vt="http://schemas.openxmlformats.org/officeDocument/2006/docPropsVTypes"/>
</file>