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tabs>
          <w:tab w:val="clear" w:pos="708"/>
          <w:tab w:val="left" w:pos="400" w:leader="none"/>
        </w:tabs>
        <w:suppressAutoHyphens w:val="true"/>
        <w:spacing w:lineRule="auto" w:line="240" w:before="0" w:after="0"/>
        <w:jc w:val="center"/>
        <w:rPr/>
      </w:pPr>
      <w:r>
        <w:rPr>
          <w:rFonts w:ascii="Times New Roman" w:hAnsi="Times New Roman"/>
          <w:sz w:val="28"/>
          <w:szCs w:val="28"/>
          <w:lang w:val="uk-UA"/>
        </w:rPr>
        <w:t>Про підсумки роботи зі зверненнями громадян</w:t>
      </w:r>
    </w:p>
    <w:p>
      <w:pPr>
        <w:pStyle w:val="NormalWeb"/>
        <w:tabs>
          <w:tab w:val="clear" w:pos="708"/>
          <w:tab w:val="left" w:pos="400" w:leader="none"/>
        </w:tabs>
        <w:suppressAutoHyphens w:val="true"/>
        <w:spacing w:lineRule="auto" w:line="240" w:before="0" w:after="0"/>
        <w:jc w:val="center"/>
        <w:rPr/>
      </w:pPr>
      <w:r>
        <w:rPr>
          <w:rFonts w:ascii="Times New Roman" w:hAnsi="Times New Roman"/>
          <w:sz w:val="28"/>
          <w:szCs w:val="28"/>
          <w:lang w:val="uk-UA"/>
        </w:rPr>
        <w:t>у першому півріччі 2020 року</w:t>
      </w:r>
    </w:p>
    <w:p>
      <w:pPr>
        <w:pStyle w:val="NormalWeb"/>
        <w:tabs>
          <w:tab w:val="clear" w:pos="708"/>
          <w:tab w:val="left" w:pos="400" w:leader="none"/>
        </w:tabs>
        <w:suppressAutoHyphens w:val="true"/>
        <w:spacing w:lineRule="auto" w:line="240" w:before="0" w:after="0"/>
        <w:ind w:firstLine="709"/>
        <w:contextualSpacing/>
        <w:rPr>
          <w:rFonts w:ascii="Times New Roman" w:hAnsi="Times New Roman"/>
          <w:sz w:val="28"/>
          <w:szCs w:val="28"/>
          <w:lang w:val="uk-UA"/>
        </w:rPr>
      </w:pPr>
      <w:r>
        <w:rPr>
          <w:rFonts w:ascii="Times New Roman" w:hAnsi="Times New Roman"/>
          <w:sz w:val="28"/>
          <w:szCs w:val="28"/>
          <w:lang w:val="uk-UA"/>
        </w:rPr>
      </w:r>
    </w:p>
    <w:p>
      <w:pPr>
        <w:pStyle w:val="NormalWeb"/>
        <w:tabs>
          <w:tab w:val="clear" w:pos="708"/>
          <w:tab w:val="left" w:pos="400" w:leader="none"/>
        </w:tabs>
        <w:suppressAutoHyphens w:val="true"/>
        <w:spacing w:lineRule="auto" w:line="240" w:before="0" w:after="0"/>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Надаємо інформацію по зверненнях громадян, що надійшли до управління транспорту та зв'язку протягом першого півріччя 2020 року. </w:t>
      </w:r>
    </w:p>
    <w:p>
      <w:pPr>
        <w:pStyle w:val="NormalWeb"/>
        <w:tabs>
          <w:tab w:val="clear" w:pos="708"/>
          <w:tab w:val="left" w:pos="400" w:leader="none"/>
        </w:tabs>
        <w:suppressAutoHyphens w:val="true"/>
        <w:spacing w:lineRule="auto" w:line="240" w:before="0" w:after="0"/>
        <w:ind w:firstLine="709"/>
        <w:contextualSpacing/>
        <w:jc w:val="both"/>
        <w:rPr>
          <w:rFonts w:ascii="Times New Roman" w:hAnsi="Times New Roman"/>
          <w:sz w:val="28"/>
          <w:szCs w:val="28"/>
          <w:lang w:val="uk-UA"/>
        </w:rPr>
      </w:pPr>
      <w:r>
        <w:rPr>
          <w:rFonts w:ascii="Times New Roman" w:hAnsi="Times New Roman"/>
          <w:sz w:val="28"/>
          <w:szCs w:val="28"/>
          <w:lang w:val="uk-UA"/>
        </w:rPr>
        <w:t>За допомогою інтернет-платформи “Відкрите місто” надійшло 2 звернення, для порівняння, у першому півріччі 2019 року - 14 звернень. У звітному періоді одне звернення стосувалось транспортного сполучення з мікрорайоном ГПЗ – перевезення здійснювались перевізниками на тимчасових договорах, після проведення конкурсів на залучення перевізників налагоджено роботу автобусів за маршрутами №№ 9, 11, 28. Друге звернення стосується тролейбусних маршрутів №№ 1, 2 та знаходиться на розгляді.</w:t>
      </w:r>
    </w:p>
    <w:p>
      <w:pPr>
        <w:pStyle w:val="NormalWeb"/>
        <w:tabs>
          <w:tab w:val="clear" w:pos="708"/>
          <w:tab w:val="left" w:pos="400" w:leader="none"/>
        </w:tabs>
        <w:suppressAutoHyphens w:val="true"/>
        <w:spacing w:lineRule="auto" w:line="240" w:before="280" w:after="0"/>
        <w:ind w:firstLine="709"/>
        <w:contextualSpacing/>
        <w:jc w:val="both"/>
        <w:rPr/>
      </w:pPr>
      <w:r>
        <w:rPr>
          <w:rFonts w:ascii="Times New Roman" w:hAnsi="Times New Roman"/>
          <w:sz w:val="28"/>
          <w:szCs w:val="28"/>
          <w:lang w:val="uk-UA"/>
        </w:rPr>
        <w:t>У Єдиній системі місцевих петицій за 6 місяців 2020 року зареєстровано 14 звернень громадян та 2 петиції (понад 300 голосів). Звернення стосувались: кількості транспортних одиниць на лінії; відновлення роботи транспорту після введення заходів з запобігання розповсюдження корона вірусної інфекції; впровадження додаткового виду електронного квитка з терміном дії один місяць; контролерів, а саме збільшення їх кількості та процедури накладання штрафів; надходили пропозиції щодо внесення змін в схеми руху автобусів; пропозиції щодо розташування зупинок громадського транспорту; пропозиції щодо квитків на поїздки; пропозиції щодо розкладу руху громадського транспорту; відкриття даних про громадський транспорт Луцька. З 01.06.2020 відновлено роботу громадського транспорту. Рішенням виконавчого комітету від 18.03.2020 № 175-1 «Про внесення змін до рішення виконавчого комітету міської ради від 16.10.2019 № 636-1 “Про затвердження видів, основних вимог та номінальної вартості електронних квитків”» доповнено перелік електронним квитком з терміном дії один місяць. На базі КП «ЛПЕ» створено Службу контролю (33 контролери). Отримали пристрої контролера також перевізники ТзОВ ВТП «Санрайз» ЛТД, ФОП Михалюк Юрій Петрович, ФОП Федік Лідія Григорівна,  ФОП Макарчук Микола Петрович, ТОВ «Фавоній плюс», ФОП Кубовий Богдан Анатолійович, ФОП Кашуба Тетяна Іванівна, ФОП Тимощук Микола Степанович. Щодо порядоку накладення штрафів, то він регулюється Кодексом України про адміністративні правопорушення. В терміналах з продажу та поповнення на даний час є можливість придбати електронний квиток на 2-3 поїздки. Оператором електронних систем ТОВ “СІТІ КАРД СИСТЕМ” забезпечено роботу 40 терміналів з продажу та поповнення електронних квитків, що охоплюють усі мікрорайони міста. На порталі відкритих даних управлінням транспорту та зв’язку публікуються усі набори даних відповідно до постанови Кабінету Міністрів України від 21.10.2015 № 835 «Про затвердження Положення про набори даних, які підлягають оприлюдненню у формі відкритих даних». Для порівняння, за 6 місяців 2019 року зареєстровано 19 звернень громадян, з них 4 набрали більше, ніж 300 голосів.</w:t>
      </w:r>
    </w:p>
    <w:p>
      <w:pPr>
        <w:pStyle w:val="NormalWeb"/>
        <w:tabs>
          <w:tab w:val="clear" w:pos="708"/>
          <w:tab w:val="left" w:pos="400" w:leader="none"/>
        </w:tabs>
        <w:suppressAutoHyphens w:val="true"/>
        <w:spacing w:lineRule="auto" w:line="240" w:before="0" w:after="0"/>
        <w:ind w:firstLine="709"/>
        <w:contextualSpacing/>
        <w:jc w:val="both"/>
        <w:rPr/>
      </w:pPr>
      <w:r>
        <w:rPr>
          <w:rFonts w:ascii="Times New Roman" w:hAnsi="Times New Roman"/>
          <w:sz w:val="28"/>
          <w:szCs w:val="28"/>
          <w:lang w:val="uk-UA"/>
        </w:rPr>
        <w:t>У першому півріччі 2020 року оновлено мобільний додаток CityСard Lutsk, а саме додано можливість здійснення оплати за проїзд за допомогою технології NFC, надано доступ до перегляду руху коштів по електронним квиткам, як пластикового варіанту, так і згенерованого у додатку. Відкрито особистий кабінет на порталі citycard.net з можливістю перегляду таких даних про громадський транспорт як рух онлайн, графіки руху транспорту, перегляд балансу та руху коштів за електронним квитком. Розробникам програмного забезпечення надано api-доступ до місцеположення транспортних засобів в режимі реального часу згідно даних, згенерованими в АСООП. На Єдиному державному веб-порталі відкритих даних оновлено набір “Дані про місцезнаходження громадського транспорту в режимі реального часу”.</w:t>
      </w:r>
    </w:p>
    <w:p>
      <w:pPr>
        <w:pStyle w:val="NormalWeb"/>
        <w:tabs>
          <w:tab w:val="clear" w:pos="708"/>
          <w:tab w:val="left" w:pos="400" w:leader="none"/>
        </w:tabs>
        <w:suppressAutoHyphens w:val="true"/>
        <w:spacing w:lineRule="auto" w:line="240" w:before="0" w:after="0"/>
        <w:ind w:firstLine="709"/>
        <w:contextualSpacing/>
        <w:jc w:val="both"/>
        <w:rPr/>
      </w:pPr>
      <w:r>
        <w:rPr>
          <w:rFonts w:ascii="Times New Roman" w:hAnsi="Times New Roman"/>
          <w:sz w:val="28"/>
          <w:szCs w:val="28"/>
          <w:lang w:val="uk-UA"/>
        </w:rPr>
        <w:t>До служби оперативного реагування 15-80 надійшло 163 звернення, з них 54 стосувались роботи тролейбусів. У зверненнях піднімались такі питання, як порушення розкладу руху, не зупинився, прохання, пропозиція, культура обслуговування, взаємовідносини пасажира та водія, працездатність бортових пристроїв, ПДР, дороги, дорожні знаки, стан транспортного засобу, комфортність перевезень, порушення карантинних заходів.</w:t>
      </w:r>
    </w:p>
    <w:p>
      <w:pPr>
        <w:pStyle w:val="NormalWeb"/>
        <w:tabs>
          <w:tab w:val="clear" w:pos="708"/>
          <w:tab w:val="left" w:pos="400" w:leader="none"/>
        </w:tabs>
        <w:suppressAutoHyphens w:val="true"/>
        <w:spacing w:lineRule="auto" w:line="240" w:before="0" w:after="0"/>
        <w:contextualSpacing/>
        <w:jc w:val="center"/>
        <w:rPr>
          <w:rFonts w:ascii="Times New Roman" w:hAnsi="Times New Roman"/>
          <w:sz w:val="28"/>
          <w:szCs w:val="28"/>
          <w:lang w:val="uk-UA"/>
        </w:rPr>
      </w:pPr>
      <w:r>
        <w:rPr>
          <w:rFonts w:ascii="Times New Roman" w:hAnsi="Times New Roman"/>
          <w:sz w:val="28"/>
          <w:szCs w:val="28"/>
          <w:lang w:val="uk-UA"/>
        </w:rPr>
        <w:t>Звернення громадян в розрізі піднятих питань</w:t>
      </w:r>
    </w:p>
    <w:tbl>
      <w:tblPr>
        <w:tblStyle w:val="af"/>
        <w:tblW w:w="9648" w:type="dxa"/>
        <w:jc w:val="left"/>
        <w:tblInd w:w="0" w:type="dxa"/>
        <w:tblCellMar>
          <w:top w:w="0" w:type="dxa"/>
          <w:left w:w="5" w:type="dxa"/>
          <w:bottom w:w="0" w:type="dxa"/>
          <w:right w:w="5" w:type="dxa"/>
        </w:tblCellMar>
        <w:tblLook w:firstRow="1" w:noVBand="1" w:lastRow="0" w:firstColumn="1" w:lastColumn="0" w:noHBand="0" w:val="04a0"/>
      </w:tblPr>
      <w:tblGrid>
        <w:gridCol w:w="3234"/>
        <w:gridCol w:w="3205"/>
        <w:gridCol w:w="3209"/>
      </w:tblGrid>
      <w:tr>
        <w:trPr/>
        <w:tc>
          <w:tcPr>
            <w:tcW w:w="3234"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lang w:val="uk-UA"/>
              </w:rPr>
            </w:pPr>
            <w:r>
              <w:rPr>
                <w:rFonts w:ascii="Times New Roman" w:hAnsi="Times New Roman"/>
                <w:sz w:val="20"/>
                <w:szCs w:val="20"/>
                <w:lang w:val="uk-UA"/>
              </w:rPr>
            </w:r>
          </w:p>
        </w:tc>
        <w:tc>
          <w:tcPr>
            <w:tcW w:w="3205"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Надійшло за 6 місяців 2020 року</w:t>
            </w:r>
          </w:p>
        </w:tc>
        <w:tc>
          <w:tcPr>
            <w:tcW w:w="3209"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Надійшло за 6 місяців 2019 року</w:t>
            </w:r>
          </w:p>
        </w:tc>
      </w:tr>
      <w:tr>
        <w:trPr/>
        <w:tc>
          <w:tcPr>
            <w:tcW w:w="3234"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Тролейбуси</w:t>
            </w:r>
          </w:p>
        </w:tc>
        <w:tc>
          <w:tcPr>
            <w:tcW w:w="3205"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lang w:val="uk-UA"/>
              </w:rPr>
            </w:pPr>
            <w:r>
              <w:rPr>
                <w:rFonts w:ascii="Times New Roman" w:hAnsi="Times New Roman"/>
                <w:sz w:val="20"/>
                <w:szCs w:val="20"/>
                <w:lang w:val="uk-UA"/>
              </w:rPr>
              <w:t>54</w:t>
            </w:r>
          </w:p>
        </w:tc>
        <w:tc>
          <w:tcPr>
            <w:tcW w:w="3209"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90</w:t>
            </w:r>
          </w:p>
        </w:tc>
      </w:tr>
      <w:tr>
        <w:trPr/>
        <w:tc>
          <w:tcPr>
            <w:tcW w:w="3234"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Автобуси</w:t>
            </w:r>
          </w:p>
        </w:tc>
        <w:tc>
          <w:tcPr>
            <w:tcW w:w="3205"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lang w:val="uk-UA"/>
              </w:rPr>
            </w:pPr>
            <w:r>
              <w:rPr>
                <w:rFonts w:ascii="Times New Roman" w:hAnsi="Times New Roman"/>
                <w:sz w:val="20"/>
                <w:szCs w:val="20"/>
                <w:lang w:val="uk-UA"/>
              </w:rPr>
              <w:t>109</w:t>
            </w:r>
          </w:p>
        </w:tc>
        <w:tc>
          <w:tcPr>
            <w:tcW w:w="3209"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322</w:t>
            </w:r>
          </w:p>
        </w:tc>
      </w:tr>
      <w:tr>
        <w:trPr/>
        <w:tc>
          <w:tcPr>
            <w:tcW w:w="3234"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у т.ч.:</w:t>
            </w:r>
          </w:p>
        </w:tc>
        <w:tc>
          <w:tcPr>
            <w:tcW w:w="3205"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lang w:val="uk-UA"/>
              </w:rPr>
            </w:pPr>
            <w:r>
              <w:rPr>
                <w:rFonts w:ascii="Times New Roman" w:hAnsi="Times New Roman"/>
                <w:sz w:val="20"/>
                <w:szCs w:val="20"/>
                <w:lang w:val="uk-UA"/>
              </w:rPr>
            </w:r>
          </w:p>
        </w:tc>
        <w:tc>
          <w:tcPr>
            <w:tcW w:w="3209"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lang w:val="uk-UA"/>
              </w:rPr>
            </w:pPr>
            <w:r>
              <w:rPr>
                <w:rFonts w:ascii="Times New Roman" w:hAnsi="Times New Roman"/>
                <w:sz w:val="20"/>
                <w:szCs w:val="20"/>
                <w:lang w:val="uk-UA"/>
              </w:rPr>
            </w:r>
          </w:p>
        </w:tc>
      </w:tr>
      <w:tr>
        <w:trPr/>
        <w:tc>
          <w:tcPr>
            <w:tcW w:w="3234"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порушення розкладу руху</w:t>
            </w:r>
          </w:p>
        </w:tc>
        <w:tc>
          <w:tcPr>
            <w:tcW w:w="3205"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lang w:val="uk-UA"/>
              </w:rPr>
            </w:pPr>
            <w:r>
              <w:rPr>
                <w:rFonts w:ascii="Times New Roman" w:hAnsi="Times New Roman"/>
                <w:sz w:val="20"/>
                <w:szCs w:val="20"/>
                <w:lang w:val="uk-UA"/>
              </w:rPr>
              <w:t>62</w:t>
            </w:r>
          </w:p>
        </w:tc>
        <w:tc>
          <w:tcPr>
            <w:tcW w:w="3209"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171</w:t>
            </w:r>
          </w:p>
        </w:tc>
      </w:tr>
      <w:tr>
        <w:trPr/>
        <w:tc>
          <w:tcPr>
            <w:tcW w:w="3234"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не зупинився</w:t>
            </w:r>
          </w:p>
        </w:tc>
        <w:tc>
          <w:tcPr>
            <w:tcW w:w="3205"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lang w:val="uk-UA"/>
              </w:rPr>
            </w:pPr>
            <w:r>
              <w:rPr>
                <w:rFonts w:ascii="Times New Roman" w:hAnsi="Times New Roman"/>
                <w:sz w:val="20"/>
                <w:szCs w:val="20"/>
                <w:lang w:val="uk-UA"/>
              </w:rPr>
              <w:t>26</w:t>
            </w:r>
          </w:p>
        </w:tc>
        <w:tc>
          <w:tcPr>
            <w:tcW w:w="3209"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27</w:t>
            </w:r>
          </w:p>
        </w:tc>
      </w:tr>
      <w:tr>
        <w:trPr/>
        <w:tc>
          <w:tcPr>
            <w:tcW w:w="3234"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прохання, пропозиція</w:t>
            </w:r>
          </w:p>
        </w:tc>
        <w:tc>
          <w:tcPr>
            <w:tcW w:w="3205"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lang w:val="uk-UA"/>
              </w:rPr>
            </w:pPr>
            <w:r>
              <w:rPr>
                <w:rFonts w:ascii="Times New Roman" w:hAnsi="Times New Roman"/>
                <w:sz w:val="20"/>
                <w:szCs w:val="20"/>
                <w:lang w:val="uk-UA"/>
              </w:rPr>
            </w:r>
          </w:p>
        </w:tc>
        <w:tc>
          <w:tcPr>
            <w:tcW w:w="3209"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10</w:t>
            </w:r>
          </w:p>
        </w:tc>
      </w:tr>
      <w:tr>
        <w:trPr/>
        <w:tc>
          <w:tcPr>
            <w:tcW w:w="3234"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культура обслуговування; взаємовідносини пасажира та водія</w:t>
            </w:r>
          </w:p>
        </w:tc>
        <w:tc>
          <w:tcPr>
            <w:tcW w:w="3205"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lang w:val="uk-UA"/>
              </w:rPr>
            </w:pPr>
            <w:r>
              <w:rPr>
                <w:rFonts w:ascii="Times New Roman" w:hAnsi="Times New Roman"/>
                <w:sz w:val="20"/>
                <w:szCs w:val="20"/>
                <w:lang w:val="uk-UA"/>
              </w:rPr>
              <w:t>19</w:t>
            </w:r>
          </w:p>
        </w:tc>
        <w:tc>
          <w:tcPr>
            <w:tcW w:w="3209"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12</w:t>
            </w:r>
          </w:p>
        </w:tc>
      </w:tr>
      <w:tr>
        <w:trPr/>
        <w:tc>
          <w:tcPr>
            <w:tcW w:w="3234"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працездатність бортових пристроїв</w:t>
            </w:r>
          </w:p>
        </w:tc>
        <w:tc>
          <w:tcPr>
            <w:tcW w:w="3205"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lang w:val="uk-UA"/>
              </w:rPr>
            </w:pPr>
            <w:r>
              <w:rPr>
                <w:rFonts w:ascii="Times New Roman" w:hAnsi="Times New Roman"/>
                <w:sz w:val="20"/>
                <w:szCs w:val="20"/>
                <w:lang w:val="uk-UA"/>
              </w:rPr>
              <w:t>4</w:t>
            </w:r>
          </w:p>
        </w:tc>
        <w:tc>
          <w:tcPr>
            <w:tcW w:w="3209"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18</w:t>
            </w:r>
          </w:p>
        </w:tc>
      </w:tr>
      <w:tr>
        <w:trPr/>
        <w:tc>
          <w:tcPr>
            <w:tcW w:w="3234"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ПДР, дороги, дорожні знаки)</w:t>
            </w:r>
          </w:p>
        </w:tc>
        <w:tc>
          <w:tcPr>
            <w:tcW w:w="3205"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lang w:val="uk-UA"/>
              </w:rPr>
            </w:pPr>
            <w:r>
              <w:rPr>
                <w:rFonts w:ascii="Times New Roman" w:hAnsi="Times New Roman"/>
                <w:sz w:val="20"/>
                <w:szCs w:val="20"/>
                <w:lang w:val="uk-UA"/>
              </w:rPr>
              <w:t>3</w:t>
            </w:r>
          </w:p>
        </w:tc>
        <w:tc>
          <w:tcPr>
            <w:tcW w:w="3209"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24</w:t>
            </w:r>
          </w:p>
        </w:tc>
      </w:tr>
      <w:tr>
        <w:trPr/>
        <w:tc>
          <w:tcPr>
            <w:tcW w:w="3234"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стан транспортного засобу, комфортність перевезень</w:t>
            </w:r>
          </w:p>
        </w:tc>
        <w:tc>
          <w:tcPr>
            <w:tcW w:w="3205"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lang w:val="uk-UA"/>
              </w:rPr>
            </w:pPr>
            <w:r>
              <w:rPr>
                <w:rFonts w:ascii="Times New Roman" w:hAnsi="Times New Roman"/>
                <w:sz w:val="20"/>
                <w:szCs w:val="20"/>
                <w:lang w:val="uk-UA"/>
              </w:rPr>
              <w:t>15</w:t>
            </w:r>
          </w:p>
        </w:tc>
        <w:tc>
          <w:tcPr>
            <w:tcW w:w="3209"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8"/>
                <w:szCs w:val="28"/>
                <w:lang w:val="uk-UA"/>
              </w:rPr>
            </w:pPr>
            <w:r>
              <w:rPr>
                <w:rFonts w:ascii="Times New Roman" w:hAnsi="Times New Roman"/>
                <w:sz w:val="20"/>
                <w:szCs w:val="20"/>
                <w:lang w:val="uk-UA"/>
              </w:rPr>
              <w:t>10</w:t>
            </w:r>
          </w:p>
        </w:tc>
      </w:tr>
      <w:tr>
        <w:trPr/>
        <w:tc>
          <w:tcPr>
            <w:tcW w:w="3234"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eastAsia="Times New Roman" w:cs="Times New Roman"/>
                <w:sz w:val="20"/>
                <w:szCs w:val="20"/>
                <w:lang w:val="uk-UA" w:bidi="ar-SA"/>
              </w:rPr>
            </w:pPr>
            <w:r>
              <w:rPr>
                <w:rFonts w:eastAsia="Times New Roman" w:cs="Times New Roman" w:ascii="Times New Roman" w:hAnsi="Times New Roman"/>
                <w:sz w:val="20"/>
                <w:szCs w:val="20"/>
                <w:lang w:val="uk-UA" w:bidi="ar-SA"/>
              </w:rPr>
              <w:t>порушення карантинних заходів</w:t>
            </w:r>
          </w:p>
        </w:tc>
        <w:tc>
          <w:tcPr>
            <w:tcW w:w="3205"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eastAsia="Times New Roman" w:cs="Times New Roman"/>
                <w:sz w:val="20"/>
                <w:szCs w:val="20"/>
                <w:lang w:val="uk-UA" w:bidi="ar-SA"/>
              </w:rPr>
            </w:pPr>
            <w:r>
              <w:rPr>
                <w:rFonts w:eastAsia="Times New Roman" w:cs="Times New Roman" w:ascii="Times New Roman" w:hAnsi="Times New Roman"/>
                <w:sz w:val="20"/>
                <w:szCs w:val="20"/>
                <w:lang w:val="uk-UA" w:bidi="ar-SA"/>
              </w:rPr>
              <w:t>34</w:t>
            </w:r>
          </w:p>
        </w:tc>
        <w:tc>
          <w:tcPr>
            <w:tcW w:w="3209" w:type="dxa"/>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rPr>
            </w:pPr>
            <w:r>
              <w:rPr>
                <w:rFonts w:ascii="Times New Roman" w:hAnsi="Times New Roman"/>
                <w:sz w:val="20"/>
                <w:szCs w:val="20"/>
              </w:rPr>
              <w:t>-</w:t>
            </w:r>
          </w:p>
        </w:tc>
      </w:tr>
      <w:tr>
        <w:trPr/>
        <w:tc>
          <w:tcPr>
            <w:tcW w:w="3234" w:type="dxa"/>
            <w:tcBorders>
              <w:top w:val="nil"/>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rPr>
            </w:pPr>
            <w:r>
              <w:rPr>
                <w:rFonts w:ascii="Times New Roman" w:hAnsi="Times New Roman"/>
                <w:sz w:val="20"/>
                <w:szCs w:val="20"/>
                <w:lang w:val="uk-UA"/>
              </w:rPr>
              <w:t>інше</w:t>
            </w:r>
          </w:p>
        </w:tc>
        <w:tc>
          <w:tcPr>
            <w:tcW w:w="3205" w:type="dxa"/>
            <w:tcBorders>
              <w:top w:val="nil"/>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lang w:val="uk-UA"/>
              </w:rPr>
            </w:pPr>
            <w:r>
              <w:rPr>
                <w:rFonts w:ascii="Times New Roman" w:hAnsi="Times New Roman"/>
                <w:sz w:val="20"/>
                <w:szCs w:val="20"/>
                <w:lang w:val="uk-UA"/>
              </w:rPr>
            </w:r>
          </w:p>
        </w:tc>
        <w:tc>
          <w:tcPr>
            <w:tcW w:w="3209" w:type="dxa"/>
            <w:tcBorders>
              <w:top w:val="nil"/>
            </w:tcBorders>
            <w:shd w:fill="auto" w:val="clear"/>
          </w:tcPr>
          <w:p>
            <w:pPr>
              <w:pStyle w:val="NormalWeb"/>
              <w:tabs>
                <w:tab w:val="clear" w:pos="708"/>
                <w:tab w:val="left" w:pos="400" w:leader="none"/>
              </w:tabs>
              <w:suppressAutoHyphens w:val="true"/>
              <w:spacing w:lineRule="auto" w:line="240" w:before="0" w:after="0"/>
              <w:ind w:firstLine="5"/>
              <w:contextualSpacing/>
              <w:jc w:val="center"/>
              <w:rPr>
                <w:rFonts w:ascii="Times New Roman" w:hAnsi="Times New Roman"/>
                <w:sz w:val="20"/>
                <w:szCs w:val="20"/>
              </w:rPr>
            </w:pPr>
            <w:r>
              <w:rPr>
                <w:rFonts w:ascii="Times New Roman" w:hAnsi="Times New Roman"/>
                <w:sz w:val="20"/>
                <w:szCs w:val="20"/>
                <w:lang w:val="uk-UA"/>
              </w:rPr>
              <w:t>50</w:t>
            </w:r>
          </w:p>
        </w:tc>
      </w:tr>
    </w:tbl>
    <w:p>
      <w:pPr>
        <w:pStyle w:val="NormalWeb"/>
        <w:tabs>
          <w:tab w:val="clear" w:pos="708"/>
          <w:tab w:val="left" w:pos="400" w:leader="none"/>
        </w:tabs>
        <w:suppressAutoHyphens w:val="true"/>
        <w:spacing w:lineRule="auto" w:line="240" w:before="0" w:after="0"/>
        <w:ind w:firstLine="709"/>
        <w:contextualSpacing/>
        <w:jc w:val="both"/>
        <w:rPr>
          <w:rFonts w:ascii="Times New Roman" w:hAnsi="Times New Roman"/>
          <w:sz w:val="28"/>
          <w:szCs w:val="28"/>
          <w:lang w:val="uk-UA"/>
        </w:rPr>
      </w:pPr>
      <w:r>
        <w:rPr>
          <w:rFonts w:ascii="Times New Roman" w:hAnsi="Times New Roman"/>
          <w:sz w:val="28"/>
          <w:szCs w:val="28"/>
          <w:lang w:val="uk-UA"/>
        </w:rPr>
        <w:t>Через відділ звернень громадян департаменту ЦНАП до управління транспорту та зв'язку надійшло для розгляду у звітному періоді 204 звернення, у першому півріччі 2019 року було зареєстровано 131 звернення.</w:t>
      </w:r>
    </w:p>
    <w:p>
      <w:pPr>
        <w:pStyle w:val="NormalWeb"/>
        <w:tabs>
          <w:tab w:val="clear" w:pos="708"/>
          <w:tab w:val="left" w:pos="400" w:leader="none"/>
        </w:tabs>
        <w:suppressAutoHyphens w:val="true"/>
        <w:spacing w:lineRule="auto" w:line="240" w:before="0" w:after="0"/>
        <w:ind w:firstLine="709"/>
        <w:contextualSpacing/>
        <w:jc w:val="both"/>
        <w:rPr>
          <w:rFonts w:ascii="Times New Roman" w:hAnsi="Times New Roman"/>
          <w:sz w:val="28"/>
          <w:szCs w:val="28"/>
          <w:lang w:val="uk-UA"/>
        </w:rPr>
      </w:pPr>
      <w:r>
        <w:rPr>
          <w:rFonts w:ascii="Times New Roman" w:hAnsi="Times New Roman"/>
          <w:sz w:val="28"/>
          <w:szCs w:val="28"/>
          <w:lang w:val="uk-UA"/>
        </w:rPr>
        <w:t xml:space="preserve">За зверненнями громадян працівниками управління були проведенні перевірки на лінії. За результатами яких складено відповідні акти та винесено приписи перевізникам про усунення порушень. </w:t>
      </w:r>
    </w:p>
    <w:p>
      <w:pPr>
        <w:pStyle w:val="NormalWeb"/>
        <w:tabs>
          <w:tab w:val="clear" w:pos="708"/>
          <w:tab w:val="left" w:pos="400" w:leader="none"/>
        </w:tabs>
        <w:suppressAutoHyphens w:val="true"/>
        <w:spacing w:lineRule="auto" w:line="240" w:before="280" w:after="0"/>
        <w:ind w:firstLine="709"/>
        <w:contextualSpacing/>
        <w:jc w:val="both"/>
        <w:rPr/>
      </w:pPr>
      <w:r>
        <w:rPr>
          <w:rFonts w:ascii="Times New Roman" w:hAnsi="Times New Roman"/>
          <w:sz w:val="28"/>
          <w:szCs w:val="28"/>
          <w:lang w:val="uk-UA"/>
        </w:rPr>
        <w:t xml:space="preserve">Управлінням транспорту та зв'язку протягом 6 місяців 2020 року оголошено конкурси на залучення перевізників на маршрути №№ 3, 6, 9, 11, 22а, 26, 26а, 27, 27а, 28, 32. Внесено зміни в схеми руху автобусів за маршрутами: № 9 “Теремнівська – Вересневе” (продовжено до мікрорайону Вересневе), № 10 “Шота Руставелі – Академія рекреаційних технологій та права” (замінено вулицю Бенделіані на вулицю Окружну), № 26 “Вишків </w:t>
      </w:r>
      <w:bookmarkStart w:id="0" w:name="__DdeLink__2503_1193899641"/>
      <w:r>
        <w:rPr>
          <w:rFonts w:ascii="Times New Roman" w:hAnsi="Times New Roman"/>
          <w:sz w:val="28"/>
          <w:szCs w:val="28"/>
          <w:lang w:val="uk-UA"/>
        </w:rPr>
        <w:t>–</w:t>
      </w:r>
      <w:bookmarkEnd w:id="0"/>
      <w:r>
        <w:rPr>
          <w:rFonts w:ascii="Times New Roman" w:hAnsi="Times New Roman"/>
          <w:sz w:val="28"/>
          <w:szCs w:val="28"/>
          <w:lang w:val="uk-UA"/>
        </w:rPr>
        <w:t xml:space="preserve"> Рівненська” (внесено зміни в частині руху по вулицях і проспектах: Перемоги, Соборності, Молоді, Відродження, Рівненська), № 32 “Вересневе – с. Липини” (продовжено до с. Липини).</w:t>
      </w:r>
    </w:p>
    <w:p>
      <w:pPr>
        <w:pStyle w:val="NormalWeb"/>
        <w:tabs>
          <w:tab w:val="clear" w:pos="708"/>
          <w:tab w:val="left" w:pos="400" w:leader="none"/>
        </w:tabs>
        <w:suppressAutoHyphens w:val="true"/>
        <w:spacing w:lineRule="auto" w:line="240" w:before="280" w:after="0"/>
        <w:ind w:firstLine="709"/>
        <w:contextualSpacing/>
        <w:jc w:val="both"/>
        <w:rPr/>
      </w:pPr>
      <w:r>
        <w:rPr>
          <w:rFonts w:ascii="Times New Roman" w:hAnsi="Times New Roman"/>
          <w:sz w:val="28"/>
          <w:szCs w:val="28"/>
          <w:lang w:val="uk-UA"/>
        </w:rPr>
        <w:t>Начальник та спеціалісти управління надають роз'яснення та консультації кожному, хто звертається телефоном чи особисто.</w:t>
      </w:r>
    </w:p>
    <w:p>
      <w:pPr>
        <w:pStyle w:val="NormalWeb"/>
        <w:tabs>
          <w:tab w:val="clear" w:pos="708"/>
          <w:tab w:val="left" w:pos="400" w:leader="none"/>
        </w:tabs>
        <w:suppressAutoHyphens w:val="true"/>
        <w:spacing w:lineRule="auto" w:line="240" w:before="280" w:after="0"/>
        <w:ind w:firstLine="709"/>
        <w:contextualSpacing/>
        <w:jc w:val="both"/>
        <w:rPr/>
      </w:pPr>
      <w:r>
        <w:rPr>
          <w:rFonts w:ascii="Times New Roman" w:hAnsi="Times New Roman"/>
          <w:sz w:val="28"/>
          <w:szCs w:val="28"/>
          <w:lang w:val="uk-UA"/>
        </w:rPr>
        <w:t>Усі звернення розглянуті та в установлені терміни надано відповіді заявникам.</w:t>
      </w:r>
    </w:p>
    <w:p>
      <w:pPr>
        <w:pStyle w:val="NormalWeb"/>
        <w:tabs>
          <w:tab w:val="clear" w:pos="708"/>
          <w:tab w:val="left" w:pos="400" w:leader="none"/>
        </w:tabs>
        <w:suppressAutoHyphens w:val="true"/>
        <w:spacing w:lineRule="auto" w:line="240" w:before="0" w:after="0"/>
        <w:ind w:firstLine="709"/>
        <w:contextualSpacing/>
        <w:jc w:val="both"/>
        <w:rPr>
          <w:rFonts w:ascii="Times New Roman" w:hAnsi="Times New Roman"/>
          <w:sz w:val="28"/>
          <w:szCs w:val="28"/>
          <w:lang w:val="uk-UA"/>
        </w:rPr>
      </w:pPr>
      <w:r>
        <w:rPr>
          <w:rFonts w:ascii="Times New Roman" w:hAnsi="Times New Roman"/>
          <w:sz w:val="28"/>
          <w:szCs w:val="28"/>
          <w:lang w:val="uk-UA"/>
        </w:rPr>
      </w:r>
    </w:p>
    <w:p>
      <w:pPr>
        <w:pStyle w:val="NormalWeb"/>
        <w:tabs>
          <w:tab w:val="clear" w:pos="708"/>
          <w:tab w:val="left" w:pos="400" w:leader="none"/>
        </w:tabs>
        <w:suppressAutoHyphens w:val="true"/>
        <w:spacing w:lineRule="auto" w:line="240" w:before="0" w:after="0"/>
        <w:ind w:firstLine="709"/>
        <w:contextualSpacing/>
        <w:jc w:val="both"/>
        <w:rPr/>
      </w:pPr>
      <w:r>
        <w:rPr/>
      </w:r>
    </w:p>
    <w:sectPr>
      <w:type w:val="nextPage"/>
      <w:pgSz w:w="11906" w:h="16838"/>
      <w:pgMar w:left="1701" w:right="567" w:header="0" w:top="567" w:footer="0" w:bottom="73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libri">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Mangal"/>
        <w:szCs w:val="24"/>
        <w:lang w:val="uk-UA"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before="0" w:after="160"/>
      <w:jc w:val="left"/>
    </w:pPr>
    <w:rPr>
      <w:rFonts w:ascii="Calibri" w:hAnsi="Calibri" w:eastAsia="Times New Roman" w:cs="Times New Roman"/>
      <w:color w:val="auto"/>
      <w:kern w:val="0"/>
      <w:sz w:val="22"/>
      <w:szCs w:val="22"/>
      <w:lang w:val="ru-RU" w:eastAsia="zh-CN" w:bidi="ar-SA"/>
    </w:rPr>
  </w:style>
  <w:style w:type="paragraph" w:styleId="1">
    <w:name w:val="Heading 1"/>
    <w:basedOn w:val="Normal"/>
    <w:link w:val="10"/>
    <w:uiPriority w:val="9"/>
    <w:qFormat/>
    <w:rsid w:val="007a16c4"/>
    <w:pPr>
      <w:spacing w:lineRule="auto" w:line="240" w:beforeAutospacing="1" w:afterAutospacing="1"/>
      <w:outlineLvl w:val="0"/>
    </w:pPr>
    <w:rPr>
      <w:rFonts w:ascii="Times New Roman" w:hAnsi="Times New Roman"/>
      <w:b/>
      <w:bCs/>
      <w:kern w:val="2"/>
      <w:sz w:val="48"/>
      <w:szCs w:val="48"/>
      <w:lang w:val="uk-UA" w:eastAsia="uk-UA"/>
    </w:rPr>
  </w:style>
  <w:style w:type="character" w:styleId="DefaultParagraphFont" w:default="1">
    <w:name w:val="Default Paragraph Font"/>
    <w:uiPriority w:val="1"/>
    <w:semiHidden/>
    <w:unhideWhenUsed/>
    <w:qFormat/>
    <w:rPr/>
  </w:style>
  <w:style w:type="character" w:styleId="Style13" w:customStyle="1">
    <w:name w:val="Гіперпосилання"/>
    <w:qFormat/>
    <w:rPr>
      <w:color w:val="0000FF"/>
      <w:u w:val="single"/>
    </w:rPr>
  </w:style>
  <w:style w:type="character" w:styleId="Style14">
    <w:name w:val="Интернет-ссылка"/>
    <w:basedOn w:val="DefaultParagraphFont"/>
    <w:uiPriority w:val="99"/>
    <w:unhideWhenUsed/>
    <w:qFormat/>
    <w:rsid w:val="00863819"/>
    <w:rPr>
      <w:color w:val="0000FF"/>
      <w:u w:val="single"/>
    </w:rPr>
  </w:style>
  <w:style w:type="character" w:styleId="11" w:customStyle="1">
    <w:name w:val="Заголовок 1 Знак"/>
    <w:basedOn w:val="DefaultParagraphFont"/>
    <w:link w:val="1"/>
    <w:uiPriority w:val="9"/>
    <w:qFormat/>
    <w:rsid w:val="007a16c4"/>
    <w:rPr>
      <w:rFonts w:eastAsia="Times New Roman" w:cs="Times New Roman"/>
      <w:b/>
      <w:bCs/>
      <w:kern w:val="2"/>
      <w:sz w:val="48"/>
      <w:szCs w:val="48"/>
      <w:lang w:eastAsia="uk-UA" w:bidi="ar-SA"/>
    </w:rPr>
  </w:style>
  <w:style w:type="paragraph" w:styleId="Style15" w:customStyle="1">
    <w:name w:val="Заголовок"/>
    <w:basedOn w:val="Normal"/>
    <w:next w:val="Style16"/>
    <w:qFormat/>
    <w:pPr>
      <w:keepNext w:val="true"/>
      <w:spacing w:before="240" w:after="120"/>
    </w:pPr>
    <w:rPr>
      <w:rFonts w:ascii="Times New Roman" w:hAnsi="Times New Roman" w:eastAsia="Microsoft YaHei" w:cs="Mang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ascii="Times New Roman" w:hAnsi="Times New Roman" w:cs="Mangal"/>
    </w:rPr>
  </w:style>
  <w:style w:type="paragraph" w:styleId="Style18">
    <w:name w:val="Caption"/>
    <w:basedOn w:val="Normal"/>
    <w:qFormat/>
    <w:pPr>
      <w:suppressLineNumbers/>
      <w:spacing w:before="120" w:after="120"/>
    </w:pPr>
    <w:rPr>
      <w:rFonts w:cs="Mangal"/>
      <w:i/>
      <w:iCs/>
      <w:sz w:val="24"/>
      <w:szCs w:val="24"/>
    </w:rPr>
  </w:style>
  <w:style w:type="paragraph" w:styleId="Style19" w:customStyle="1">
    <w:name w:val="Покажчик"/>
    <w:basedOn w:val="Normal"/>
    <w:qFormat/>
    <w:pPr>
      <w:suppressLineNumbers/>
    </w:pPr>
    <w:rPr>
      <w:rFonts w:cs="Arial"/>
    </w:rPr>
  </w:style>
  <w:style w:type="paragraph" w:styleId="Style20">
    <w:name w:val="Указатель"/>
    <w:basedOn w:val="Normal"/>
    <w:qFormat/>
    <w:pPr>
      <w:suppressLineNumbers/>
    </w:pPr>
    <w:rPr>
      <w:rFonts w:cs="Mangal"/>
    </w:rPr>
  </w:style>
  <w:style w:type="paragraph" w:styleId="Caption">
    <w:name w:val="caption"/>
    <w:basedOn w:val="Normal"/>
    <w:qFormat/>
    <w:pPr>
      <w:suppressLineNumbers/>
      <w:spacing w:before="120" w:after="120"/>
    </w:pPr>
    <w:rPr>
      <w:rFonts w:ascii="Times New Roman" w:hAnsi="Times New Roman" w:cs="Mangal"/>
      <w:i/>
      <w:iCs/>
      <w:sz w:val="28"/>
      <w:szCs w:val="24"/>
    </w:rPr>
  </w:style>
  <w:style w:type="paragraph" w:styleId="Indexheading">
    <w:name w:val="index heading"/>
    <w:basedOn w:val="Normal"/>
    <w:qFormat/>
    <w:pPr>
      <w:suppressLineNumbers/>
    </w:pPr>
    <w:rPr>
      <w:rFonts w:ascii="Times New Roman" w:hAnsi="Times New Roman" w:cs="Mangal"/>
    </w:rPr>
  </w:style>
  <w:style w:type="paragraph" w:styleId="Western" w:customStyle="1">
    <w:name w:val="western"/>
    <w:basedOn w:val="Normal"/>
    <w:qFormat/>
    <w:pPr>
      <w:spacing w:lineRule="auto" w:line="288" w:before="280" w:after="142"/>
    </w:pPr>
    <w:rPr>
      <w:rFonts w:ascii="Times New Roman" w:hAnsi="Times New Roman" w:eastAsia="Calibri"/>
      <w:color w:val="000000"/>
      <w:sz w:val="28"/>
      <w:szCs w:val="28"/>
      <w:lang w:val="uk-UA"/>
    </w:rPr>
  </w:style>
  <w:style w:type="paragraph" w:styleId="BalloonText">
    <w:name w:val="Balloon Text"/>
    <w:basedOn w:val="Normal"/>
    <w:qFormat/>
    <w:pPr/>
    <w:rPr>
      <w:rFonts w:ascii="Tahoma" w:hAnsi="Tahoma" w:cs="Tahoma"/>
      <w:sz w:val="16"/>
      <w:szCs w:val="16"/>
    </w:rPr>
  </w:style>
  <w:style w:type="paragraph" w:styleId="Style21" w:customStyle="1">
    <w:name w:val="Содержимое таблицы"/>
    <w:basedOn w:val="Normal"/>
    <w:qFormat/>
    <w:pPr>
      <w:suppressLineNumbers/>
    </w:pPr>
    <w:rPr/>
  </w:style>
  <w:style w:type="paragraph" w:styleId="Style22" w:customStyle="1">
    <w:name w:val="Заголовок таблицы"/>
    <w:basedOn w:val="Style21"/>
    <w:qFormat/>
    <w:pPr>
      <w:jc w:val="center"/>
    </w:pPr>
    <w:rPr>
      <w:b/>
      <w:bCs/>
    </w:rPr>
  </w:style>
  <w:style w:type="paragraph" w:styleId="DocumentMap" w:customStyle="1">
    <w:name w:val="DocumentMap"/>
    <w:qFormat/>
    <w:pPr>
      <w:widowControl/>
      <w:bidi w:val="0"/>
      <w:jc w:val="left"/>
    </w:pPr>
    <w:rPr>
      <w:rFonts w:ascii="Times New Roman" w:hAnsi="Times New Roman" w:eastAsia="Times New Roman" w:cs="Times New Roman"/>
      <w:color w:val="auto"/>
      <w:kern w:val="0"/>
      <w:sz w:val="20"/>
      <w:szCs w:val="20"/>
      <w:lang w:val="uk-UA" w:eastAsia="uk-UA" w:bidi="hi-IN"/>
    </w:rPr>
  </w:style>
  <w:style w:type="paragraph" w:styleId="Style23" w:customStyle="1">
    <w:name w:val="Вміст таблиці"/>
    <w:basedOn w:val="Normal"/>
    <w:qFormat/>
    <w:pPr>
      <w:suppressLineNumbers/>
    </w:pPr>
    <w:rPr/>
  </w:style>
  <w:style w:type="paragraph" w:styleId="NormalWeb">
    <w:name w:val="Normal (Web)"/>
    <w:basedOn w:val="Normal"/>
    <w:qFormat/>
    <w:pPr>
      <w:spacing w:before="280" w:after="280"/>
    </w:pPr>
    <w:rPr>
      <w:sz w:val="24"/>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f">
    <w:name w:val="Table Grid"/>
    <w:basedOn w:val="a1"/>
    <w:uiPriority w:val="59"/>
    <w:rsid w:val="0085744a"/>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Application>LibreOffice/6.2.4.2$Windows_x86 LibreOffice_project/2412653d852ce75f65fbfa83fb7e7b669a126d64</Application>
  <Pages>2</Pages>
  <Words>758</Words>
  <Characters>4916</Characters>
  <CharactersWithSpaces>5635</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2020-07-13T18:15:00Z</dcterms:created>
  <dc:creator>ASKOD</dc:creator>
  <dc:description/>
  <dc:language>uk-UA</dc:language>
  <cp:lastModifiedBy/>
  <cp:lastPrinted>2019-03-12T15:57:00Z</cp:lastPrinted>
  <dcterms:modified xsi:type="dcterms:W3CDTF">2020-07-15T09:33:07Z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