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sz w:val="28"/>
          <w:szCs w:val="28"/>
        </w:rPr>
        <w:t xml:space="preserve">Звіт управління охорони здоров’я Луцької </w:t>
      </w:r>
    </w:p>
    <w:p>
      <w:pPr>
        <w:pStyle w:val="style0"/>
        <w:jc w:val="both"/>
      </w:pPr>
      <w:r>
        <w:rPr>
          <w:sz w:val="28"/>
          <w:szCs w:val="28"/>
        </w:rPr>
        <w:t>міської ради про роботу галузі за 201</w:t>
      </w:r>
      <w:r>
        <w:rPr>
          <w:sz w:val="28"/>
          <w:szCs w:val="28"/>
          <w:lang w:val="ru-RU"/>
        </w:rPr>
        <w:t>6</w:t>
      </w:r>
      <w:r>
        <w:rPr>
          <w:sz w:val="28"/>
          <w:szCs w:val="28"/>
        </w:rPr>
        <w:t xml:space="preserve"> рік</w:t>
      </w:r>
    </w:p>
    <w:p>
      <w:pPr>
        <w:pStyle w:val="style0"/>
        <w:jc w:val="both"/>
      </w:pPr>
      <w:r>
        <w:rPr>
          <w:sz w:val="28"/>
          <w:szCs w:val="28"/>
        </w:rPr>
      </w:r>
    </w:p>
    <w:p>
      <w:pPr>
        <w:pStyle w:val="style0"/>
        <w:ind w:firstLine="567" w:left="0" w:right="0"/>
        <w:jc w:val="both"/>
      </w:pPr>
      <w:r>
        <w:rPr>
          <w:sz w:val="28"/>
          <w:szCs w:val="28"/>
        </w:rPr>
        <w:t xml:space="preserve">Відповідно до чинних нормативно-розпорядчих документів, управління охорони здоров’я Луцької міської ради у звітному періоді проводило державну політику в галузі охорони здоров’я, яка була спрямована на поліпшення доступності та якості медичної допомоги мешканцям міста. </w:t>
      </w:r>
    </w:p>
    <w:p>
      <w:pPr>
        <w:pStyle w:val="style0"/>
        <w:ind w:firstLine="567" w:left="0" w:right="0"/>
        <w:jc w:val="both"/>
      </w:pPr>
      <w:r>
        <w:rPr>
          <w:sz w:val="28"/>
          <w:szCs w:val="28"/>
        </w:rPr>
        <w:t>Зусилля управління були спрямовані на зміцнення матеріально</w:t>
      </w:r>
      <w:r>
        <w:rPr>
          <w:spacing w:val="-4"/>
          <w:sz w:val="28"/>
          <w:szCs w:val="28"/>
        </w:rPr>
        <w:t xml:space="preserve">-технічної бази закладів охорони здоров'я, оснащення їх медичною апаратурою, запровадження нових форм роботи і </w:t>
      </w:r>
      <w:r>
        <w:rPr>
          <w:sz w:val="28"/>
          <w:szCs w:val="28"/>
        </w:rPr>
        <w:t>передового досвіду, втілення сучасних лікувально-діагностичних та наближення первинної медико-санітарної допомоги до населення. Поєднання коштів держави, міського бюджету, спонсорської, гуманітарної, благодійної допомоги та міжнародних грантів дало можливість підняти на новий якісний рівень надання медичної допомоги населенню у місті Луцьку.</w:t>
      </w:r>
    </w:p>
    <w:p>
      <w:pPr>
        <w:pStyle w:val="style0"/>
        <w:ind w:firstLine="567" w:left="0" w:right="0"/>
        <w:jc w:val="both"/>
      </w:pPr>
      <w:r>
        <w:rPr>
          <w:sz w:val="28"/>
          <w:szCs w:val="28"/>
        </w:rPr>
        <w:t>У 2016 році були прийняті рішення Луцької міської ради від 24.02.2016 року №4/25 «Про затвердження Комплексної міської програми «Здоров’я лучан» на 2016 – 2017 роки», від 24.02.2016 року №4/11 «Про затвердження Програми  «Дитячий цукровий діабет на 2016 – 2017 роки» та від 30.11. 2016 року №15/1 «Про затвердження Комплексної програми підтримки мобілізованих та демобілізованих військовослужбовців Збройних сил України, які брали участь в антитерористичній операції на Сході України, членів їх сімей, а також сімей загиблих (померлих) військовослужбовців, які проживають в м. Луцьку та на території Прилуцької сільської ради Ківерцівського району на 2017 рік», які створюють додаткові умови для підвищення якості і доступності надання медичної допомоги населенню м. Луцька за рахунок коштів бюджету міста.</w:t>
      </w:r>
    </w:p>
    <w:p>
      <w:pPr>
        <w:pStyle w:val="style0"/>
        <w:ind w:firstLine="567" w:left="0" w:right="0"/>
        <w:jc w:val="both"/>
      </w:pPr>
      <w:r>
        <w:rPr>
          <w:sz w:val="28"/>
          <w:szCs w:val="28"/>
        </w:rPr>
        <w:t>За звітний період за рахунок коштів бюджету розвитку міста для проведення капітальних видатків комунальним закладам охорони здоров’я було передбачено  на 2016 рік 4525,5 тис. грн. і за підсумками  року ними освоєно 4505,0 тис. грн.(99,55%), в тому числі:</w:t>
      </w:r>
    </w:p>
    <w:p>
      <w:pPr>
        <w:pStyle w:val="style0"/>
        <w:spacing w:line="276" w:lineRule="auto"/>
        <w:ind w:firstLine="567" w:left="0" w:right="0"/>
        <w:jc w:val="both"/>
      </w:pPr>
      <w:r>
        <w:rPr>
          <w:sz w:val="28"/>
          <w:szCs w:val="28"/>
        </w:rPr>
        <w:t>КЗ «Луцька міська клінічна лікарня» профінансовано 3186,9 тис. грн.:</w:t>
      </w:r>
    </w:p>
    <w:p>
      <w:pPr>
        <w:pStyle w:val="style0"/>
        <w:numPr>
          <w:ilvl w:val="0"/>
          <w:numId w:val="1"/>
        </w:numPr>
        <w:ind w:hanging="360" w:left="927" w:right="-2"/>
        <w:jc w:val="both"/>
      </w:pPr>
      <w:r>
        <w:rPr>
          <w:sz w:val="28"/>
          <w:szCs w:val="28"/>
        </w:rPr>
        <w:t>719,8 тис. грн. – встановлення ліфта;</w:t>
      </w:r>
    </w:p>
    <w:p>
      <w:pPr>
        <w:pStyle w:val="style0"/>
        <w:numPr>
          <w:ilvl w:val="0"/>
          <w:numId w:val="1"/>
        </w:numPr>
        <w:ind w:hanging="360" w:left="927" w:right="-2"/>
        <w:jc w:val="both"/>
      </w:pPr>
      <w:r>
        <w:rPr>
          <w:sz w:val="28"/>
          <w:szCs w:val="28"/>
        </w:rPr>
        <w:t>721,0 тис. грн. -  капітальний ремонт даху операційного блоку;</w:t>
      </w:r>
    </w:p>
    <w:p>
      <w:pPr>
        <w:pStyle w:val="style0"/>
        <w:numPr>
          <w:ilvl w:val="0"/>
          <w:numId w:val="1"/>
        </w:numPr>
        <w:ind w:hanging="360" w:left="927" w:right="-2"/>
        <w:jc w:val="both"/>
      </w:pPr>
      <w:r>
        <w:rPr>
          <w:sz w:val="28"/>
          <w:szCs w:val="28"/>
        </w:rPr>
        <w:t>148,5 тис. грн. – капітальний ремонт покрівлі овочесховища;</w:t>
      </w:r>
    </w:p>
    <w:p>
      <w:pPr>
        <w:pStyle w:val="style0"/>
        <w:numPr>
          <w:ilvl w:val="0"/>
          <w:numId w:val="1"/>
        </w:numPr>
        <w:ind w:firstLine="567" w:left="0" w:right="-2"/>
        <w:jc w:val="both"/>
      </w:pPr>
      <w:r>
        <w:rPr>
          <w:sz w:val="28"/>
          <w:szCs w:val="28"/>
        </w:rPr>
        <w:t>1598,8 тис. грн. – придбання рентгенівської трубки для комп’ютерного томографа.</w:t>
      </w:r>
    </w:p>
    <w:p>
      <w:pPr>
        <w:pStyle w:val="style0"/>
        <w:spacing w:line="276" w:lineRule="auto"/>
        <w:ind w:firstLine="567" w:left="0" w:right="0"/>
        <w:jc w:val="both"/>
      </w:pPr>
      <w:r>
        <w:rPr>
          <w:sz w:val="28"/>
          <w:szCs w:val="28"/>
        </w:rPr>
        <w:t>КЗ «Луцька міська дитяча поліклініка» виділено 310,8 тис. грн.:</w:t>
      </w:r>
    </w:p>
    <w:p>
      <w:pPr>
        <w:pStyle w:val="style0"/>
        <w:numPr>
          <w:ilvl w:val="0"/>
          <w:numId w:val="1"/>
        </w:numPr>
        <w:ind w:firstLine="567" w:left="0" w:right="-2"/>
        <w:jc w:val="both"/>
      </w:pPr>
      <w:r>
        <w:rPr>
          <w:sz w:val="28"/>
          <w:szCs w:val="28"/>
        </w:rPr>
        <w:t xml:space="preserve">259,0 тис. грн. – придбання кардіодатчика для УЗД;. </w:t>
      </w:r>
    </w:p>
    <w:p>
      <w:pPr>
        <w:pStyle w:val="style0"/>
        <w:numPr>
          <w:ilvl w:val="0"/>
          <w:numId w:val="1"/>
        </w:numPr>
        <w:ind w:firstLine="567" w:left="0" w:right="-2"/>
        <w:jc w:val="both"/>
      </w:pPr>
      <w:r>
        <w:rPr>
          <w:sz w:val="28"/>
          <w:szCs w:val="28"/>
        </w:rPr>
        <w:t>51,9 тис. грн. – капітальний ремонт ліфта.</w:t>
      </w:r>
    </w:p>
    <w:p>
      <w:pPr>
        <w:pStyle w:val="style0"/>
        <w:ind w:firstLine="567" w:left="0" w:right="-2"/>
        <w:jc w:val="both"/>
      </w:pPr>
      <w:r>
        <w:rPr>
          <w:sz w:val="28"/>
          <w:szCs w:val="28"/>
        </w:rPr>
        <w:t xml:space="preserve">КЗ «Луцький центр первинної медико-санітарної допомоги» - виділено  372,0  тис. грн. – встановлення теплового лічильника в приміщенні АЗПСМ (вул.Привокзальна,13). </w:t>
      </w:r>
    </w:p>
    <w:p>
      <w:pPr>
        <w:pStyle w:val="style0"/>
        <w:spacing w:line="276" w:lineRule="auto"/>
        <w:ind w:firstLine="567" w:left="0" w:right="0"/>
        <w:jc w:val="both"/>
      </w:pPr>
      <w:r>
        <w:rPr>
          <w:sz w:val="28"/>
          <w:szCs w:val="28"/>
        </w:rPr>
        <w:t>КЗ «Луцький центр первинної медико-санітарної допомоги №3» - виділено  186,5  тис. грн.:</w:t>
      </w:r>
    </w:p>
    <w:p>
      <w:pPr>
        <w:pStyle w:val="style21"/>
        <w:numPr>
          <w:ilvl w:val="0"/>
          <w:numId w:val="1"/>
        </w:numPr>
        <w:spacing w:after="0" w:before="0"/>
        <w:ind w:firstLine="567" w:left="0" w:right="-2"/>
        <w:contextualSpacing/>
        <w:jc w:val="both"/>
      </w:pPr>
      <w:r>
        <w:rPr>
          <w:sz w:val="28"/>
          <w:szCs w:val="28"/>
          <w:lang w:val="uk-UA"/>
        </w:rPr>
        <w:t>129,6 тис. грн. – завершення капітального ремонту флюорографа;</w:t>
      </w:r>
    </w:p>
    <w:p>
      <w:pPr>
        <w:pStyle w:val="style21"/>
        <w:numPr>
          <w:ilvl w:val="0"/>
          <w:numId w:val="1"/>
        </w:numPr>
        <w:spacing w:after="0" w:before="0"/>
        <w:ind w:firstLine="567" w:left="0" w:right="-2"/>
        <w:contextualSpacing/>
        <w:jc w:val="both"/>
      </w:pPr>
      <w:r>
        <w:rPr>
          <w:sz w:val="28"/>
          <w:szCs w:val="28"/>
          <w:lang w:val="uk-UA"/>
        </w:rPr>
        <w:t>39,4 тис. грн. – капітальний ремонт лікарських кабінетів призовної комісії;</w:t>
      </w:r>
    </w:p>
    <w:p>
      <w:pPr>
        <w:pStyle w:val="style21"/>
        <w:numPr>
          <w:ilvl w:val="0"/>
          <w:numId w:val="1"/>
        </w:numPr>
        <w:spacing w:after="0" w:before="0"/>
        <w:ind w:firstLine="567" w:left="0" w:right="-2"/>
        <w:contextualSpacing/>
        <w:jc w:val="both"/>
      </w:pPr>
      <w:r>
        <w:rPr>
          <w:sz w:val="28"/>
          <w:szCs w:val="28"/>
          <w:lang w:val="uk-UA"/>
        </w:rPr>
        <w:t>11,0 тис. грн. - придбання комп</w:t>
      </w:r>
      <w:r>
        <w:rPr>
          <w:sz w:val="28"/>
          <w:szCs w:val="28"/>
        </w:rPr>
        <w:t>’</w:t>
      </w:r>
      <w:r>
        <w:rPr>
          <w:sz w:val="28"/>
          <w:szCs w:val="28"/>
          <w:lang w:val="uk-UA"/>
        </w:rPr>
        <w:t>ютерної оргтехніки;</w:t>
      </w:r>
    </w:p>
    <w:p>
      <w:pPr>
        <w:pStyle w:val="style21"/>
        <w:numPr>
          <w:ilvl w:val="0"/>
          <w:numId w:val="1"/>
        </w:numPr>
        <w:spacing w:after="0" w:before="0"/>
        <w:ind w:firstLine="567" w:left="0" w:right="-2"/>
        <w:contextualSpacing/>
        <w:jc w:val="both"/>
      </w:pPr>
      <w:r>
        <w:rPr>
          <w:sz w:val="28"/>
          <w:szCs w:val="28"/>
          <w:lang w:val="uk-UA"/>
        </w:rPr>
        <w:t xml:space="preserve">6,6 тис. грн. – придбання сміттєвого контейнера єврозразка. </w:t>
      </w:r>
    </w:p>
    <w:p>
      <w:pPr>
        <w:pStyle w:val="style0"/>
        <w:spacing w:line="276" w:lineRule="auto"/>
        <w:ind w:firstLine="567" w:left="0" w:right="0"/>
        <w:jc w:val="both"/>
      </w:pPr>
      <w:r>
        <w:rPr>
          <w:sz w:val="28"/>
          <w:szCs w:val="28"/>
        </w:rPr>
        <w:t>КЗ «Луцький центр первинної медико-санітарної допомоги №2» - профінансовано 442,9 тис. грн.:</w:t>
      </w:r>
    </w:p>
    <w:p>
      <w:pPr>
        <w:pStyle w:val="style21"/>
        <w:numPr>
          <w:ilvl w:val="0"/>
          <w:numId w:val="1"/>
        </w:numPr>
        <w:spacing w:after="0" w:before="0"/>
        <w:ind w:firstLine="567" w:left="0" w:right="-2"/>
        <w:contextualSpacing/>
        <w:jc w:val="both"/>
      </w:pPr>
      <w:r>
        <w:rPr>
          <w:sz w:val="28"/>
          <w:szCs w:val="28"/>
          <w:lang w:val="uk-UA"/>
        </w:rPr>
        <w:t>240,3 тис. грн. – придбання обладнання для АЗПСМ (вул.Наливайка,6);</w:t>
      </w:r>
    </w:p>
    <w:p>
      <w:pPr>
        <w:pStyle w:val="style21"/>
        <w:numPr>
          <w:ilvl w:val="0"/>
          <w:numId w:val="1"/>
        </w:numPr>
        <w:spacing w:after="0" w:before="0"/>
        <w:ind w:firstLine="567" w:left="0" w:right="-2"/>
        <w:contextualSpacing/>
        <w:jc w:val="both"/>
      </w:pPr>
      <w:r>
        <w:rPr>
          <w:sz w:val="28"/>
          <w:szCs w:val="28"/>
          <w:lang w:val="uk-UA"/>
        </w:rPr>
        <w:t xml:space="preserve">148,8 тис. грн. – капітальний ремонт туалетного приміщення для неповносправних пацієнтів; </w:t>
      </w:r>
    </w:p>
    <w:p>
      <w:pPr>
        <w:pStyle w:val="style21"/>
        <w:numPr>
          <w:ilvl w:val="0"/>
          <w:numId w:val="1"/>
        </w:numPr>
        <w:spacing w:after="0" w:before="0"/>
        <w:ind w:firstLine="567" w:left="0" w:right="-2"/>
        <w:contextualSpacing/>
        <w:jc w:val="both"/>
      </w:pPr>
      <w:r>
        <w:rPr>
          <w:sz w:val="28"/>
          <w:szCs w:val="28"/>
          <w:lang w:val="uk-UA"/>
        </w:rPr>
        <w:t xml:space="preserve">53,8 тис. грн. – капітальний ремонт ліфтів. </w:t>
      </w:r>
    </w:p>
    <w:p>
      <w:pPr>
        <w:pStyle w:val="style0"/>
        <w:spacing w:line="276" w:lineRule="auto"/>
        <w:ind w:firstLine="567" w:left="0" w:right="0"/>
        <w:jc w:val="both"/>
      </w:pPr>
      <w:r>
        <w:rPr>
          <w:sz w:val="28"/>
          <w:szCs w:val="28"/>
        </w:rPr>
        <w:t>КЗ «Луцький центр первинної медико-санітарної допомоги №1» - профінансовано  11,2  тис. грн.:</w:t>
      </w:r>
    </w:p>
    <w:p>
      <w:pPr>
        <w:pStyle w:val="style0"/>
        <w:numPr>
          <w:ilvl w:val="0"/>
          <w:numId w:val="1"/>
        </w:numPr>
        <w:spacing w:line="276" w:lineRule="auto"/>
        <w:ind w:firstLine="567" w:left="0" w:right="0"/>
        <w:jc w:val="both"/>
      </w:pPr>
      <w:r>
        <w:rPr>
          <w:sz w:val="28"/>
          <w:szCs w:val="28"/>
        </w:rPr>
        <w:t>4,4 тис. грн. – коригування кошторисної документації реконструкції приміщення АЗПСМ (вул.Бенделіані,7);</w:t>
      </w:r>
    </w:p>
    <w:p>
      <w:pPr>
        <w:pStyle w:val="style0"/>
        <w:numPr>
          <w:ilvl w:val="0"/>
          <w:numId w:val="1"/>
        </w:numPr>
        <w:spacing w:line="276" w:lineRule="auto"/>
        <w:ind w:firstLine="567" w:left="0" w:right="0"/>
        <w:jc w:val="both"/>
      </w:pPr>
      <w:r>
        <w:rPr>
          <w:sz w:val="28"/>
          <w:szCs w:val="28"/>
        </w:rPr>
        <w:t>6,8 тис. грн. – придбання комп’ютерної оргтехніки.</w:t>
      </w:r>
    </w:p>
    <w:p>
      <w:pPr>
        <w:pStyle w:val="style0"/>
        <w:ind w:firstLine="567" w:left="0" w:right="0"/>
        <w:jc w:val="both"/>
      </w:pPr>
      <w:r>
        <w:rPr>
          <w:sz w:val="28"/>
          <w:szCs w:val="28"/>
        </w:rPr>
        <w:t>За звітний період закладами охорони здоров'я міста за рахунок власних надходжень було впроваджено енергозберігаючі технології  на суму 508,1 тис. грн.</w:t>
      </w:r>
    </w:p>
    <w:p>
      <w:pPr>
        <w:pStyle w:val="style0"/>
        <w:ind w:firstLine="567" w:left="0" w:right="0"/>
        <w:jc w:val="both"/>
      </w:pPr>
      <w:r>
        <w:rPr>
          <w:sz w:val="28"/>
          <w:szCs w:val="28"/>
        </w:rPr>
        <w:t>Враховуючи важливе соціальне значення облаштування амбулаторії з метою наближення надання первинної медико–санітарної допомоги населенню з місцевого бюджету були виділені кошти в обсязі 1,2 млн. грн. на проведення реконструкції приміщення на вул. Наливайко,6, для створення амбулаторії загальної практики–сімейної медицини №4 в складі КЗ «</w:t>
      </w:r>
      <w:r>
        <w:rPr>
          <w:sz w:val="28"/>
          <w:szCs w:val="28"/>
          <w:lang w:val="ru-RU"/>
        </w:rPr>
        <w:t>Луцький центр первинної медико–санітарної допомоги №2». Реконструкція приміщення завершена в грудні 2016 року.</w:t>
      </w:r>
    </w:p>
    <w:p>
      <w:pPr>
        <w:pStyle w:val="style0"/>
        <w:ind w:hanging="0" w:left="567" w:right="0"/>
        <w:jc w:val="both"/>
      </w:pPr>
      <w:r>
        <w:rPr>
          <w:sz w:val="28"/>
          <w:szCs w:val="28"/>
        </w:rPr>
      </w:r>
    </w:p>
    <w:p>
      <w:pPr>
        <w:pStyle w:val="style0"/>
        <w:ind w:firstLine="567" w:left="0" w:right="0"/>
        <w:jc w:val="both"/>
      </w:pPr>
      <w:r>
        <w:rPr>
          <w:sz w:val="28"/>
          <w:szCs w:val="28"/>
        </w:rPr>
        <w:t xml:space="preserve">У зв’язку із відсутністю декларованих цін на лікарські засоби продовжувалась практика надання адресної грошової допомоги пільговим категоріям населення для відшкодування вартості безоплатних рецептів на ліки за життєвими показами. Протягом останніх років сума коштів, яка виділялась для забезпечення безоплатно лікарськими засобами пільгових категорій мешканців міста постійно зростала із 0,5 млн. грн. в 2013 році до 3,0 млн. грн. у 2016 році. </w:t>
      </w:r>
    </w:p>
    <w:p>
      <w:pPr>
        <w:pStyle w:val="style0"/>
        <w:ind w:firstLine="567" w:left="0" w:right="0"/>
        <w:jc w:val="both"/>
      </w:pPr>
      <w:r>
        <w:rPr>
          <w:rFonts w:ascii="Times New Roman CYR" w:cs="Times New Roman CYR" w:hAnsi="Times New Roman CYR"/>
          <w:bCs w:val="false"/>
          <w:iCs/>
          <w:sz w:val="28"/>
          <w:szCs w:val="28"/>
        </w:rPr>
        <w:t xml:space="preserve">Запроваджено у широку практику лікування хворих з інфарктом міокарду із використанням методів тромболізису, ангіографії та стентування серцевих артерій. </w:t>
      </w:r>
    </w:p>
    <w:p>
      <w:pPr>
        <w:pStyle w:val="style0"/>
        <w:ind w:firstLine="567" w:left="0" w:right="0"/>
        <w:jc w:val="both"/>
      </w:pPr>
      <w:r>
        <w:rPr>
          <w:sz w:val="28"/>
          <w:szCs w:val="28"/>
        </w:rPr>
        <w:t xml:space="preserve">Започатковано персоніфіковане виділення коштів для хворих дітей-інвалідів, які потребують дороговартісного тривалого лікування, витратних матеріалів для обслуговування інсулінових помп 5 дітям, хворим важкими формами цукрового діабету на суму 0,5 млн. грн. (2016 рік). </w:t>
      </w:r>
    </w:p>
    <w:p>
      <w:pPr>
        <w:pStyle w:val="style0"/>
        <w:ind w:hanging="0" w:left="927" w:right="0"/>
        <w:jc w:val="center"/>
      </w:pPr>
      <w:r>
        <w:rPr>
          <w:rFonts w:ascii="Times New Roman CYR" w:cs="Times New Roman CYR" w:hAnsi="Times New Roman CYR"/>
          <w:b/>
          <w:bCs w:val="false"/>
          <w:iCs/>
          <w:sz w:val="28"/>
          <w:szCs w:val="28"/>
        </w:rPr>
      </w:r>
    </w:p>
    <w:p>
      <w:pPr>
        <w:pStyle w:val="style0"/>
        <w:ind w:hanging="0" w:left="927" w:right="0"/>
        <w:jc w:val="center"/>
      </w:pPr>
      <w:r>
        <w:rPr>
          <w:rFonts w:ascii="Times New Roman CYR" w:cs="Times New Roman CYR" w:hAnsi="Times New Roman CYR"/>
          <w:b/>
          <w:bCs w:val="false"/>
          <w:iCs/>
          <w:sz w:val="28"/>
          <w:szCs w:val="28"/>
        </w:rPr>
        <w:t>Показники діяльності закладів охорони здоров'я</w:t>
      </w:r>
    </w:p>
    <w:p>
      <w:pPr>
        <w:pStyle w:val="style0"/>
        <w:ind w:firstLine="567" w:left="0" w:right="0"/>
        <w:jc w:val="both"/>
      </w:pPr>
      <w:r>
        <w:rPr>
          <w:rFonts w:ascii="Times New Roman CYR" w:cs="Times New Roman CYR" w:hAnsi="Times New Roman CYR"/>
          <w:b/>
          <w:bCs w:val="false"/>
          <w:iCs/>
          <w:sz w:val="28"/>
          <w:szCs w:val="28"/>
        </w:rPr>
        <w:t xml:space="preserve">Наявна мережа лікувально-профілактичних закладів, їх потужність, кадровий потенціал, діагностична база дає можливість забезпечити населення первинною та вторинною, а по окремих напрямках і третинною медичною допомогою у повному обсязі. </w:t>
      </w:r>
    </w:p>
    <w:tbl>
      <w:tblPr>
        <w:jc w:val="left"/>
        <w:tblInd w:type="dxa" w:w="108"/>
        <w:tblBorders>
          <w:top w:color="000000" w:space="0" w:sz="4" w:val="single"/>
          <w:left w:color="000000" w:space="0" w:sz="4" w:val="single"/>
          <w:bottom w:color="000000" w:space="0" w:sz="4" w:val="single"/>
          <w:insideH w:color="000000" w:space="0" w:sz="4" w:val="single"/>
          <w:right w:val="none"/>
          <w:insideV w:val="none"/>
        </w:tblBorders>
        <w:tblCellMar>
          <w:top w:type="dxa" w:w="0"/>
          <w:left w:type="dxa" w:w="103"/>
          <w:bottom w:type="dxa" w:w="0"/>
          <w:right w:type="dxa" w:w="108"/>
        </w:tblCellMar>
      </w:tblPr>
      <w:tblGrid>
        <w:gridCol w:w="3828"/>
        <w:gridCol w:w="1327"/>
        <w:gridCol w:w="1233"/>
        <w:gridCol w:w="1176"/>
        <w:gridCol w:w="1134"/>
        <w:gridCol w:w="1154"/>
      </w:tblGrid>
      <w:tr>
        <w:trPr>
          <w:cantSplit w:val="false"/>
        </w:trPr>
        <w:tc>
          <w:tcPr>
            <w:tcW w:type="dxa" w:w="3828"/>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center"/>
            </w:pPr>
            <w:r>
              <w:rPr>
                <w:sz w:val="28"/>
                <w:szCs w:val="28"/>
              </w:rPr>
            </w:r>
          </w:p>
        </w:tc>
        <w:tc>
          <w:tcPr>
            <w:tcW w:type="dxa" w:w="1327"/>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
                <w:bCs w:val="false"/>
                <w:iCs/>
                <w:sz w:val="28"/>
                <w:szCs w:val="28"/>
              </w:rPr>
              <w:t>2012</w:t>
            </w:r>
          </w:p>
        </w:tc>
        <w:tc>
          <w:tcPr>
            <w:tcW w:type="dxa" w:w="1233"/>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
                <w:bCs w:val="false"/>
                <w:iCs/>
                <w:sz w:val="28"/>
                <w:szCs w:val="28"/>
              </w:rPr>
              <w:t>2013</w:t>
            </w:r>
          </w:p>
        </w:tc>
        <w:tc>
          <w:tcPr>
            <w:tcW w:type="dxa" w:w="1176"/>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
                <w:bCs w:val="false"/>
                <w:iCs/>
                <w:sz w:val="28"/>
                <w:szCs w:val="28"/>
              </w:rPr>
              <w:t>2014</w:t>
            </w:r>
          </w:p>
        </w:tc>
        <w:tc>
          <w:tcPr>
            <w:tcW w:type="dxa" w:w="1134"/>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
                <w:bCs w:val="false"/>
                <w:iCs/>
                <w:sz w:val="28"/>
                <w:szCs w:val="28"/>
              </w:rPr>
              <w:t>2015</w:t>
            </w:r>
          </w:p>
        </w:tc>
        <w:tc>
          <w:tcPr>
            <w:tcW w:type="dxa" w:w="1154"/>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center"/>
            </w:pPr>
            <w:r>
              <w:rPr>
                <w:rFonts w:ascii="Times New Roman CYR" w:cs="Times New Roman CYR" w:hAnsi="Times New Roman CYR"/>
                <w:b/>
                <w:bCs w:val="false"/>
                <w:iCs/>
                <w:sz w:val="28"/>
                <w:szCs w:val="28"/>
                <w:lang w:val="en-US"/>
              </w:rPr>
              <w:t>2016</w:t>
            </w:r>
          </w:p>
        </w:tc>
      </w:tr>
      <w:tr>
        <w:trPr>
          <w:cantSplit w:val="false"/>
        </w:trPr>
        <w:tc>
          <w:tcPr>
            <w:tcW w:type="dxa" w:w="3828"/>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rFonts w:ascii="Times New Roman CYR" w:cs="Times New Roman CYR" w:hAnsi="Times New Roman CYR"/>
                <w:bCs w:val="false"/>
                <w:iCs/>
                <w:sz w:val="28"/>
                <w:szCs w:val="28"/>
              </w:rPr>
              <w:t>Кількість відвідувань до амбулаторно-поліклінічних закладів</w:t>
            </w:r>
          </w:p>
        </w:tc>
        <w:tc>
          <w:tcPr>
            <w:tcW w:type="dxa" w:w="1327"/>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1951744</w:t>
            </w:r>
          </w:p>
        </w:tc>
        <w:tc>
          <w:tcPr>
            <w:tcW w:type="dxa" w:w="1233"/>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1969114</w:t>
            </w:r>
          </w:p>
        </w:tc>
        <w:tc>
          <w:tcPr>
            <w:tcW w:type="dxa" w:w="1176"/>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1986933</w:t>
            </w:r>
          </w:p>
        </w:tc>
        <w:tc>
          <w:tcPr>
            <w:tcW w:type="dxa" w:w="1134"/>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1944774</w:t>
            </w:r>
          </w:p>
        </w:tc>
        <w:tc>
          <w:tcPr>
            <w:tcW w:type="dxa" w:w="1154"/>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center"/>
            </w:pPr>
            <w:r>
              <w:rPr>
                <w:rFonts w:ascii="Times New Roman CYR" w:cs="Times New Roman CYR" w:hAnsi="Times New Roman CYR"/>
                <w:bCs w:val="false"/>
                <w:iCs/>
                <w:sz w:val="28"/>
                <w:szCs w:val="28"/>
                <w:lang w:val="en-US"/>
              </w:rPr>
              <w:t>1914058</w:t>
            </w:r>
          </w:p>
        </w:tc>
      </w:tr>
      <w:tr>
        <w:trPr>
          <w:cantSplit w:val="false"/>
        </w:trPr>
        <w:tc>
          <w:tcPr>
            <w:tcW w:type="dxa" w:w="3828"/>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rFonts w:ascii="Times New Roman CYR" w:cs="Times New Roman CYR" w:hAnsi="Times New Roman CYR"/>
                <w:bCs w:val="false"/>
                <w:iCs/>
                <w:sz w:val="28"/>
                <w:szCs w:val="28"/>
              </w:rPr>
              <w:t>Проліковано хворих у денному стаціонарі</w:t>
            </w:r>
          </w:p>
        </w:tc>
        <w:tc>
          <w:tcPr>
            <w:tcW w:type="dxa" w:w="1327"/>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11787</w:t>
            </w:r>
          </w:p>
        </w:tc>
        <w:tc>
          <w:tcPr>
            <w:tcW w:type="dxa" w:w="1233"/>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11673</w:t>
            </w:r>
          </w:p>
        </w:tc>
        <w:tc>
          <w:tcPr>
            <w:tcW w:type="dxa" w:w="1176"/>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11649</w:t>
            </w:r>
          </w:p>
        </w:tc>
        <w:tc>
          <w:tcPr>
            <w:tcW w:type="dxa" w:w="1134"/>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12695</w:t>
            </w:r>
          </w:p>
        </w:tc>
        <w:tc>
          <w:tcPr>
            <w:tcW w:type="dxa" w:w="1154"/>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center"/>
            </w:pPr>
            <w:r>
              <w:rPr>
                <w:rFonts w:ascii="Times New Roman CYR" w:cs="Times New Roman CYR" w:hAnsi="Times New Roman CYR"/>
                <w:bCs w:val="false"/>
                <w:iCs/>
                <w:sz w:val="28"/>
                <w:szCs w:val="28"/>
                <w:lang w:val="en-US"/>
              </w:rPr>
              <w:t>11802</w:t>
            </w:r>
          </w:p>
        </w:tc>
      </w:tr>
      <w:tr>
        <w:trPr>
          <w:cantSplit w:val="false"/>
        </w:trPr>
        <w:tc>
          <w:tcPr>
            <w:tcW w:type="dxa" w:w="3828"/>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rFonts w:ascii="Times New Roman CYR" w:cs="Times New Roman CYR" w:hAnsi="Times New Roman CYR"/>
                <w:bCs w:val="false"/>
                <w:iCs/>
                <w:sz w:val="28"/>
                <w:szCs w:val="28"/>
              </w:rPr>
              <w:t>Проліковано хворих у стаціонарі</w:t>
            </w:r>
          </w:p>
        </w:tc>
        <w:tc>
          <w:tcPr>
            <w:tcW w:type="dxa" w:w="1327"/>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30648</w:t>
            </w:r>
          </w:p>
        </w:tc>
        <w:tc>
          <w:tcPr>
            <w:tcW w:type="dxa" w:w="1233"/>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30723</w:t>
            </w:r>
          </w:p>
        </w:tc>
        <w:tc>
          <w:tcPr>
            <w:tcW w:type="dxa" w:w="1176"/>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30930</w:t>
            </w:r>
          </w:p>
        </w:tc>
        <w:tc>
          <w:tcPr>
            <w:tcW w:type="dxa" w:w="1134"/>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30374</w:t>
            </w:r>
          </w:p>
        </w:tc>
        <w:tc>
          <w:tcPr>
            <w:tcW w:type="dxa" w:w="1154"/>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center"/>
            </w:pPr>
            <w:r>
              <w:rPr>
                <w:rFonts w:ascii="Times New Roman CYR" w:cs="Times New Roman CYR" w:hAnsi="Times New Roman CYR"/>
                <w:bCs w:val="false"/>
                <w:iCs/>
                <w:sz w:val="28"/>
                <w:szCs w:val="28"/>
                <w:lang w:val="en-US"/>
              </w:rPr>
              <w:t>30626</w:t>
            </w:r>
          </w:p>
        </w:tc>
      </w:tr>
      <w:tr>
        <w:trPr>
          <w:cantSplit w:val="false"/>
        </w:trPr>
        <w:tc>
          <w:tcPr>
            <w:tcW w:type="dxa" w:w="3828"/>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rFonts w:ascii="Times New Roman CYR" w:cs="Times New Roman CYR" w:hAnsi="Times New Roman CYR"/>
                <w:bCs w:val="false"/>
                <w:iCs/>
                <w:sz w:val="28"/>
                <w:szCs w:val="28"/>
              </w:rPr>
              <w:t>Відбулося пологів</w:t>
            </w:r>
          </w:p>
        </w:tc>
        <w:tc>
          <w:tcPr>
            <w:tcW w:type="dxa" w:w="1327"/>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4622</w:t>
            </w:r>
          </w:p>
        </w:tc>
        <w:tc>
          <w:tcPr>
            <w:tcW w:type="dxa" w:w="1233"/>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4547</w:t>
            </w:r>
          </w:p>
        </w:tc>
        <w:tc>
          <w:tcPr>
            <w:tcW w:type="dxa" w:w="1176"/>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4875</w:t>
            </w:r>
          </w:p>
        </w:tc>
        <w:tc>
          <w:tcPr>
            <w:tcW w:type="dxa" w:w="1134"/>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4433</w:t>
            </w:r>
          </w:p>
        </w:tc>
        <w:tc>
          <w:tcPr>
            <w:tcW w:type="dxa" w:w="1154"/>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center"/>
            </w:pPr>
            <w:r>
              <w:rPr>
                <w:rFonts w:ascii="Times New Roman CYR" w:cs="Times New Roman CYR" w:hAnsi="Times New Roman CYR"/>
                <w:bCs w:val="false"/>
                <w:iCs/>
                <w:sz w:val="28"/>
                <w:szCs w:val="28"/>
                <w:lang w:val="en-US"/>
              </w:rPr>
              <w:t>4637</w:t>
            </w:r>
          </w:p>
        </w:tc>
      </w:tr>
      <w:tr>
        <w:trPr>
          <w:cantSplit w:val="false"/>
        </w:trPr>
        <w:tc>
          <w:tcPr>
            <w:tcW w:type="dxa" w:w="3828"/>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rFonts w:ascii="Times New Roman CYR" w:cs="Times New Roman CYR" w:hAnsi="Times New Roman CYR"/>
                <w:bCs w:val="false"/>
                <w:iCs/>
                <w:sz w:val="28"/>
                <w:szCs w:val="28"/>
              </w:rPr>
              <w:t>Здійснено виїздів невідкладної медичної допомоги</w:t>
            </w:r>
          </w:p>
        </w:tc>
        <w:tc>
          <w:tcPr>
            <w:tcW w:type="dxa" w:w="1327"/>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20682</w:t>
            </w:r>
          </w:p>
        </w:tc>
        <w:tc>
          <w:tcPr>
            <w:tcW w:type="dxa" w:w="1233"/>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22277</w:t>
            </w:r>
          </w:p>
        </w:tc>
        <w:tc>
          <w:tcPr>
            <w:tcW w:type="dxa" w:w="1176"/>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17023</w:t>
            </w:r>
          </w:p>
        </w:tc>
        <w:tc>
          <w:tcPr>
            <w:tcW w:type="dxa" w:w="1134"/>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15294</w:t>
            </w:r>
          </w:p>
        </w:tc>
        <w:tc>
          <w:tcPr>
            <w:tcW w:type="dxa" w:w="1154"/>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center"/>
            </w:pPr>
            <w:r>
              <w:rPr>
                <w:rFonts w:ascii="Times New Roman CYR" w:cs="Times New Roman CYR" w:hAnsi="Times New Roman CYR"/>
                <w:bCs w:val="false"/>
                <w:iCs/>
                <w:sz w:val="28"/>
                <w:szCs w:val="28"/>
                <w:lang w:val="en-US"/>
              </w:rPr>
              <w:t>16582</w:t>
            </w:r>
          </w:p>
        </w:tc>
      </w:tr>
      <w:tr>
        <w:trPr>
          <w:cantSplit w:val="false"/>
        </w:trPr>
        <w:tc>
          <w:tcPr>
            <w:tcW w:type="dxa" w:w="3828"/>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rFonts w:ascii="Times New Roman CYR" w:cs="Times New Roman CYR" w:hAnsi="Times New Roman CYR"/>
                <w:bCs w:val="false"/>
                <w:iCs/>
                <w:sz w:val="28"/>
                <w:szCs w:val="28"/>
              </w:rPr>
              <w:t>Оглянуто профілактично дорослого населення</w:t>
            </w:r>
          </w:p>
        </w:tc>
        <w:tc>
          <w:tcPr>
            <w:tcW w:type="dxa" w:w="1327"/>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40504</w:t>
            </w:r>
          </w:p>
        </w:tc>
        <w:tc>
          <w:tcPr>
            <w:tcW w:type="dxa" w:w="1233"/>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40602</w:t>
            </w:r>
          </w:p>
        </w:tc>
        <w:tc>
          <w:tcPr>
            <w:tcW w:type="dxa" w:w="1176"/>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40531</w:t>
            </w:r>
          </w:p>
        </w:tc>
        <w:tc>
          <w:tcPr>
            <w:tcW w:type="dxa" w:w="1134"/>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40422</w:t>
            </w:r>
          </w:p>
        </w:tc>
        <w:tc>
          <w:tcPr>
            <w:tcW w:type="dxa" w:w="1154"/>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center"/>
            </w:pPr>
            <w:r>
              <w:rPr>
                <w:rFonts w:ascii="Times New Roman CYR" w:cs="Times New Roman CYR" w:hAnsi="Times New Roman CYR"/>
                <w:bCs w:val="false"/>
                <w:iCs/>
                <w:sz w:val="28"/>
                <w:szCs w:val="28"/>
                <w:lang w:val="en-US"/>
              </w:rPr>
              <w:t>40212</w:t>
            </w:r>
          </w:p>
        </w:tc>
      </w:tr>
    </w:tbl>
    <w:p>
      <w:pPr>
        <w:pStyle w:val="style0"/>
        <w:ind w:hanging="0" w:left="927" w:right="0"/>
        <w:jc w:val="center"/>
      </w:pPr>
      <w:r>
        <w:rPr>
          <w:rFonts w:ascii="Times New Roman CYR" w:cs="Times New Roman CYR" w:eastAsia="Times New Roman CYR" w:hAnsi="Times New Roman CYR"/>
          <w:b/>
          <w:bCs w:val="false"/>
          <w:iCs/>
          <w:sz w:val="28"/>
          <w:szCs w:val="28"/>
          <w:lang w:val="en-US"/>
        </w:rPr>
        <w:t xml:space="preserve"> </w:t>
      </w:r>
    </w:p>
    <w:p>
      <w:pPr>
        <w:pStyle w:val="style0"/>
        <w:ind w:hanging="0" w:left="927" w:right="0"/>
        <w:jc w:val="center"/>
      </w:pPr>
      <w:r>
        <w:rPr>
          <w:rFonts w:ascii="Times New Roman CYR" w:cs="Times New Roman CYR" w:hAnsi="Times New Roman CYR"/>
          <w:b/>
          <w:bCs w:val="false"/>
          <w:iCs/>
          <w:sz w:val="28"/>
          <w:szCs w:val="28"/>
        </w:rPr>
        <w:t>Демографічні показники:</w:t>
      </w:r>
    </w:p>
    <w:tbl>
      <w:tblPr>
        <w:jc w:val="left"/>
        <w:tblInd w:type="dxa" w:w="108"/>
        <w:tblBorders>
          <w:top w:color="000000" w:space="0" w:sz="4" w:val="single"/>
          <w:left w:color="000000" w:space="0" w:sz="4" w:val="single"/>
          <w:bottom w:color="000000" w:space="0" w:sz="4" w:val="single"/>
          <w:insideH w:color="000000" w:space="0" w:sz="4" w:val="single"/>
          <w:right w:val="none"/>
          <w:insideV w:val="none"/>
        </w:tblBorders>
        <w:tblCellMar>
          <w:top w:type="dxa" w:w="0"/>
          <w:left w:type="dxa" w:w="103"/>
          <w:bottom w:type="dxa" w:w="0"/>
          <w:right w:type="dxa" w:w="108"/>
        </w:tblCellMar>
      </w:tblPr>
      <w:tblGrid>
        <w:gridCol w:w="4111"/>
        <w:gridCol w:w="2410"/>
        <w:gridCol w:w="2430"/>
      </w:tblGrid>
      <w:tr>
        <w:trPr>
          <w:trHeight w:hRule="atLeast" w:val="327"/>
          <w:cantSplit w:val="false"/>
        </w:trPr>
        <w:tc>
          <w:tcPr>
            <w:tcW w:type="dxa" w:w="4111"/>
            <w:vMerge w:val="restart"/>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center"/>
            </w:pPr>
            <w:r>
              <w:rPr>
                <w:sz w:val="28"/>
                <w:szCs w:val="28"/>
              </w:rPr>
            </w:r>
          </w:p>
        </w:tc>
        <w:tc>
          <w:tcPr>
            <w:tcW w:type="dxa" w:w="2410"/>
            <w:gridSpan w:val="2"/>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2015 рік</w:t>
            </w:r>
          </w:p>
        </w:tc>
        <w:tc>
          <w:tcPr>
            <w:tcW w:type="dxa" w:w="2430"/>
            <w:gridSpan w:val="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center"/>
            </w:pPr>
            <w:r>
              <w:rPr>
                <w:rFonts w:ascii="Times New Roman CYR" w:cs="Times New Roman CYR" w:hAnsi="Times New Roman CYR"/>
                <w:bCs w:val="false"/>
                <w:iCs/>
                <w:sz w:val="28"/>
                <w:szCs w:val="28"/>
              </w:rPr>
              <w:t>2016 рік</w:t>
            </w:r>
          </w:p>
        </w:tc>
      </w:tr>
      <w:tr>
        <w:trPr>
          <w:trHeight w:hRule="atLeast" w:val="318"/>
          <w:cantSplit w:val="false"/>
        </w:trPr>
        <w:tc>
          <w:tcPr>
            <w:tcW w:type="dxa" w:w="4111"/>
            <w:vMerge w:val="continue"/>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center"/>
            </w:pPr>
            <w:r>
              <w:rPr>
                <w:rFonts w:ascii="Times New Roman CYR" w:cs="Times New Roman CYR" w:hAnsi="Times New Roman CYR"/>
                <w:bCs w:val="false"/>
                <w:iCs/>
                <w:sz w:val="28"/>
                <w:szCs w:val="28"/>
              </w:rPr>
            </w:r>
          </w:p>
        </w:tc>
        <w:tc>
          <w:tcPr>
            <w:tcW w:type="dxa" w:w="1134"/>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Луцьк</w:t>
            </w:r>
          </w:p>
        </w:tc>
        <w:tc>
          <w:tcPr>
            <w:tcW w:type="dxa" w:w="1276"/>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Волинь</w:t>
            </w:r>
          </w:p>
        </w:tc>
        <w:tc>
          <w:tcPr>
            <w:tcW w:type="dxa" w:w="1134"/>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Луцьк</w:t>
            </w:r>
          </w:p>
        </w:tc>
        <w:tc>
          <w:tcPr>
            <w:tcW w:type="dxa" w:w="1296"/>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center"/>
            </w:pPr>
            <w:r>
              <w:rPr>
                <w:rFonts w:ascii="Times New Roman CYR" w:cs="Times New Roman CYR" w:hAnsi="Times New Roman CYR"/>
                <w:bCs w:val="false"/>
                <w:iCs/>
                <w:sz w:val="28"/>
                <w:szCs w:val="28"/>
              </w:rPr>
              <w:t>Волинь</w:t>
            </w:r>
          </w:p>
        </w:tc>
      </w:tr>
      <w:tr>
        <w:trPr>
          <w:cantSplit w:val="false"/>
        </w:trPr>
        <w:tc>
          <w:tcPr>
            <w:tcW w:type="dxa" w:w="4111"/>
            <w:tcBorders>
              <w:top w:color="000000" w:space="0" w:sz="4" w:val="single"/>
              <w:left w:color="000000" w:space="0" w:sz="4" w:val="single"/>
              <w:bottom w:color="000000" w:space="0" w:sz="4" w:val="single"/>
              <w:right w:val="none"/>
            </w:tcBorders>
            <w:shd w:fill="auto" w:val="clear"/>
            <w:tcMar>
              <w:left w:type="dxa" w:w="103"/>
            </w:tcMar>
          </w:tcPr>
          <w:p>
            <w:pPr>
              <w:pStyle w:val="style0"/>
            </w:pPr>
            <w:r>
              <w:rPr>
                <w:rFonts w:ascii="Times New Roman CYR" w:cs="Times New Roman CYR" w:hAnsi="Times New Roman CYR"/>
                <w:bCs w:val="false"/>
                <w:iCs/>
                <w:sz w:val="28"/>
                <w:szCs w:val="28"/>
              </w:rPr>
              <w:t xml:space="preserve">Смертність </w:t>
            </w:r>
          </w:p>
          <w:p>
            <w:pPr>
              <w:pStyle w:val="style0"/>
            </w:pPr>
            <w:r>
              <w:rPr>
                <w:rFonts w:ascii="Times New Roman CYR" w:cs="Times New Roman CYR" w:hAnsi="Times New Roman CYR"/>
                <w:bCs w:val="false"/>
                <w:iCs/>
                <w:sz w:val="28"/>
                <w:szCs w:val="28"/>
              </w:rPr>
              <w:t>(на 1000 населення)</w:t>
            </w:r>
          </w:p>
        </w:tc>
        <w:tc>
          <w:tcPr>
            <w:tcW w:type="dxa" w:w="1134"/>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10,22</w:t>
            </w:r>
          </w:p>
        </w:tc>
        <w:tc>
          <w:tcPr>
            <w:tcW w:type="dxa" w:w="1276"/>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10,99</w:t>
            </w:r>
          </w:p>
        </w:tc>
        <w:tc>
          <w:tcPr>
            <w:tcW w:type="dxa" w:w="1134"/>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9,49</w:t>
            </w:r>
          </w:p>
        </w:tc>
        <w:tc>
          <w:tcPr>
            <w:tcW w:type="dxa" w:w="1296"/>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center"/>
            </w:pPr>
            <w:r>
              <w:rPr>
                <w:rFonts w:ascii="Times New Roman CYR" w:cs="Times New Roman CYR" w:hAnsi="Times New Roman CYR"/>
                <w:bCs w:val="false"/>
                <w:iCs/>
                <w:sz w:val="28"/>
                <w:szCs w:val="28"/>
              </w:rPr>
              <w:t>12,94</w:t>
            </w:r>
          </w:p>
        </w:tc>
      </w:tr>
      <w:tr>
        <w:trPr>
          <w:cantSplit w:val="false"/>
        </w:trPr>
        <w:tc>
          <w:tcPr>
            <w:tcW w:type="dxa" w:w="4111"/>
            <w:tcBorders>
              <w:top w:color="000000" w:space="0" w:sz="4" w:val="single"/>
              <w:left w:color="000000" w:space="0" w:sz="4" w:val="single"/>
              <w:bottom w:color="000000" w:space="0" w:sz="4" w:val="single"/>
              <w:right w:val="none"/>
            </w:tcBorders>
            <w:shd w:fill="auto" w:val="clear"/>
            <w:tcMar>
              <w:left w:type="dxa" w:w="103"/>
            </w:tcMar>
          </w:tcPr>
          <w:p>
            <w:pPr>
              <w:pStyle w:val="style0"/>
            </w:pPr>
            <w:r>
              <w:rPr>
                <w:rFonts w:ascii="Times New Roman CYR" w:cs="Times New Roman CYR" w:hAnsi="Times New Roman CYR"/>
                <w:bCs w:val="false"/>
                <w:iCs/>
                <w:sz w:val="28"/>
                <w:szCs w:val="28"/>
              </w:rPr>
              <w:t xml:space="preserve">Народжуваність </w:t>
            </w:r>
          </w:p>
          <w:p>
            <w:pPr>
              <w:pStyle w:val="style0"/>
            </w:pPr>
            <w:r>
              <w:rPr>
                <w:rFonts w:ascii="Times New Roman CYR" w:cs="Times New Roman CYR" w:hAnsi="Times New Roman CYR"/>
                <w:bCs w:val="false"/>
                <w:iCs/>
                <w:sz w:val="28"/>
                <w:szCs w:val="28"/>
              </w:rPr>
              <w:t>(на 1000 населення)</w:t>
            </w:r>
          </w:p>
        </w:tc>
        <w:tc>
          <w:tcPr>
            <w:tcW w:type="dxa" w:w="1134"/>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12,03</w:t>
            </w:r>
          </w:p>
        </w:tc>
        <w:tc>
          <w:tcPr>
            <w:tcW w:type="dxa" w:w="1276"/>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11,97</w:t>
            </w:r>
          </w:p>
        </w:tc>
        <w:tc>
          <w:tcPr>
            <w:tcW w:type="dxa" w:w="1134"/>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11,65</w:t>
            </w:r>
          </w:p>
        </w:tc>
        <w:tc>
          <w:tcPr>
            <w:tcW w:type="dxa" w:w="1296"/>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center"/>
            </w:pPr>
            <w:r>
              <w:rPr>
                <w:rFonts w:ascii="Times New Roman CYR" w:cs="Times New Roman CYR" w:hAnsi="Times New Roman CYR"/>
                <w:bCs w:val="false"/>
                <w:iCs/>
                <w:sz w:val="28"/>
                <w:szCs w:val="28"/>
              </w:rPr>
              <w:t>12,53</w:t>
            </w:r>
          </w:p>
        </w:tc>
      </w:tr>
      <w:tr>
        <w:trPr>
          <w:cantSplit w:val="false"/>
        </w:trPr>
        <w:tc>
          <w:tcPr>
            <w:tcW w:type="dxa" w:w="4111"/>
            <w:tcBorders>
              <w:top w:color="000000" w:space="0" w:sz="4" w:val="single"/>
              <w:left w:color="000000" w:space="0" w:sz="4" w:val="single"/>
              <w:bottom w:color="000000" w:space="0" w:sz="4" w:val="single"/>
              <w:right w:val="none"/>
            </w:tcBorders>
            <w:shd w:fill="auto" w:val="clear"/>
            <w:tcMar>
              <w:left w:type="dxa" w:w="103"/>
            </w:tcMar>
          </w:tcPr>
          <w:p>
            <w:pPr>
              <w:pStyle w:val="style0"/>
            </w:pPr>
            <w:r>
              <w:rPr>
                <w:rFonts w:ascii="Times New Roman CYR" w:cs="Times New Roman CYR" w:hAnsi="Times New Roman CYR"/>
                <w:bCs w:val="false"/>
                <w:iCs/>
                <w:sz w:val="28"/>
                <w:szCs w:val="28"/>
              </w:rPr>
              <w:t>Природний приріст населення</w:t>
            </w:r>
          </w:p>
        </w:tc>
        <w:tc>
          <w:tcPr>
            <w:tcW w:type="dxa" w:w="1134"/>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+1,81</w:t>
            </w:r>
          </w:p>
        </w:tc>
        <w:tc>
          <w:tcPr>
            <w:tcW w:type="dxa" w:w="1276"/>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+0,98</w:t>
            </w:r>
          </w:p>
        </w:tc>
        <w:tc>
          <w:tcPr>
            <w:tcW w:type="dxa" w:w="1134"/>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rFonts w:ascii="Times New Roman CYR" w:cs="Times New Roman CYR" w:hAnsi="Times New Roman CYR"/>
                <w:bCs w:val="false"/>
                <w:iCs/>
                <w:sz w:val="28"/>
                <w:szCs w:val="28"/>
              </w:rPr>
              <w:t>+2,16</w:t>
            </w:r>
          </w:p>
        </w:tc>
        <w:tc>
          <w:tcPr>
            <w:tcW w:type="dxa" w:w="1296"/>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center"/>
            </w:pPr>
            <w:r>
              <w:rPr>
                <w:rFonts w:ascii="Times New Roman CYR" w:cs="Times New Roman CYR" w:hAnsi="Times New Roman CYR"/>
                <w:bCs w:val="false"/>
                <w:iCs/>
                <w:sz w:val="28"/>
                <w:szCs w:val="28"/>
              </w:rPr>
              <w:t>-0,44</w:t>
            </w:r>
          </w:p>
        </w:tc>
      </w:tr>
    </w:tbl>
    <w:p>
      <w:pPr>
        <w:pStyle w:val="style0"/>
        <w:ind w:hanging="0" w:left="927" w:right="0"/>
      </w:pPr>
      <w:r>
        <w:rPr>
          <w:sz w:val="28"/>
          <w:szCs w:val="28"/>
        </w:rPr>
      </w:r>
    </w:p>
    <w:p>
      <w:pPr>
        <w:pStyle w:val="style0"/>
        <w:ind w:firstLine="567" w:left="0" w:right="0"/>
        <w:jc w:val="center"/>
      </w:pPr>
      <w:r>
        <w:rPr>
          <w:b/>
          <w:sz w:val="28"/>
          <w:szCs w:val="28"/>
        </w:rPr>
        <w:t>Підтримка учасників АТО та членів їх сімей:</w:t>
      </w:r>
    </w:p>
    <w:p>
      <w:pPr>
        <w:pStyle w:val="style0"/>
        <w:ind w:firstLine="567" w:left="0" w:right="0"/>
        <w:jc w:val="both"/>
      </w:pPr>
      <w:r>
        <w:rPr>
          <w:sz w:val="28"/>
          <w:szCs w:val="28"/>
        </w:rPr>
        <w:t xml:space="preserve">У бюджеті галузі охорони здоров’я міста на 2016 рік, затвердженому рішенням сесії міської ради від 28.01.2015 № 69/10, відповідно до Комплексної програми підтримки учасників АТО та членів їх сімей – мешканців м. Луцька, передбачено 696,2 тис. грн. для забезпечення надання медичної допомоги, які згідно навантаження розділені між комунальними закладами охорони здоров'я та повністю профінансовані. </w:t>
      </w:r>
    </w:p>
    <w:p>
      <w:pPr>
        <w:pStyle w:val="style0"/>
        <w:ind w:firstLine="567" w:left="0" w:right="0"/>
        <w:jc w:val="both"/>
      </w:pPr>
      <w:r>
        <w:rPr>
          <w:sz w:val="28"/>
          <w:szCs w:val="28"/>
        </w:rPr>
        <w:t xml:space="preserve">Члени сімей військовослужбовців, мобілізованих у зону АТО, яким за медичними показами потрібне амбулаторне, стаціонарне лікування, зубопротезування тощо, взяті на диспансерне спостереження. </w:t>
      </w:r>
    </w:p>
    <w:p>
      <w:pPr>
        <w:pStyle w:val="style0"/>
        <w:ind w:firstLine="567" w:left="0" w:right="0"/>
        <w:jc w:val="both"/>
      </w:pPr>
      <w:r>
        <w:rPr>
          <w:sz w:val="28"/>
          <w:szCs w:val="28"/>
        </w:rPr>
        <w:t xml:space="preserve">Станом на </w:t>
      </w:r>
      <w:r>
        <w:rPr>
          <w:sz w:val="28"/>
          <w:szCs w:val="28"/>
          <w:lang w:val="ru-RU"/>
        </w:rPr>
        <w:t>01</w:t>
      </w:r>
      <w:r>
        <w:rPr>
          <w:sz w:val="28"/>
          <w:szCs w:val="28"/>
        </w:rPr>
        <w:t>.</w:t>
      </w:r>
      <w:r>
        <w:rPr>
          <w:sz w:val="28"/>
          <w:szCs w:val="28"/>
          <w:lang w:val="ru-RU"/>
        </w:rPr>
        <w:t>01</w:t>
      </w:r>
      <w:r>
        <w:rPr>
          <w:sz w:val="28"/>
          <w:szCs w:val="28"/>
        </w:rPr>
        <w:t>.201</w:t>
      </w:r>
      <w:r>
        <w:rPr>
          <w:sz w:val="28"/>
          <w:szCs w:val="28"/>
          <w:lang w:val="ru-RU"/>
        </w:rPr>
        <w:t>7</w:t>
      </w:r>
      <w:r>
        <w:rPr>
          <w:sz w:val="28"/>
          <w:szCs w:val="28"/>
        </w:rPr>
        <w:t xml:space="preserve"> року проведено за медичними показами амбулаторне лікування </w:t>
      </w:r>
      <w:r>
        <w:rPr>
          <w:sz w:val="28"/>
          <w:szCs w:val="28"/>
          <w:lang w:val="ru-RU"/>
        </w:rPr>
        <w:t xml:space="preserve">824 </w:t>
      </w:r>
      <w:r>
        <w:rPr>
          <w:sz w:val="28"/>
          <w:szCs w:val="28"/>
        </w:rPr>
        <w:t>особам, стаціонарне лікування 2</w:t>
      </w:r>
      <w:r>
        <w:rPr>
          <w:sz w:val="28"/>
          <w:szCs w:val="28"/>
          <w:lang w:val="ru-RU"/>
        </w:rPr>
        <w:t>85</w:t>
      </w:r>
      <w:r>
        <w:rPr>
          <w:sz w:val="28"/>
          <w:szCs w:val="28"/>
        </w:rPr>
        <w:t xml:space="preserve"> особам, лікування в денних стаціонарах 126 особам, прийнято 152 пологів. Надано стоматологічну допомогу 314 особам.</w:t>
      </w:r>
    </w:p>
    <w:p>
      <w:pPr>
        <w:pStyle w:val="style0"/>
        <w:ind w:hanging="0" w:left="567" w:right="0"/>
        <w:jc w:val="center"/>
      </w:pPr>
      <w:r>
        <w:rPr>
          <w:rFonts w:ascii="Times New Roman CYR" w:cs="Times New Roman CYR" w:hAnsi="Times New Roman CYR"/>
          <w:b/>
          <w:bCs w:val="false"/>
          <w:iCs/>
          <w:sz w:val="28"/>
          <w:szCs w:val="28"/>
        </w:rPr>
      </w:r>
    </w:p>
    <w:p>
      <w:pPr>
        <w:pStyle w:val="style0"/>
        <w:ind w:hanging="0" w:left="567" w:right="0"/>
        <w:jc w:val="center"/>
      </w:pPr>
      <w:r>
        <w:rPr>
          <w:rFonts w:ascii="Times New Roman CYR" w:cs="Times New Roman CYR" w:hAnsi="Times New Roman CYR"/>
          <w:b/>
          <w:bCs w:val="false"/>
          <w:iCs/>
          <w:sz w:val="28"/>
          <w:szCs w:val="28"/>
        </w:rPr>
        <w:t>Перспективні питання на 2017 рік</w:t>
      </w:r>
    </w:p>
    <w:p>
      <w:pPr>
        <w:pStyle w:val="style0"/>
        <w:ind w:firstLine="567" w:left="0" w:right="0"/>
        <w:jc w:val="both"/>
      </w:pPr>
      <w:r>
        <w:rPr>
          <w:sz w:val="28"/>
          <w:szCs w:val="28"/>
        </w:rPr>
        <w:t>1. Забезпечення функціонування закладів у межах виділеного фінансування з дотриманням фінансової дисципліни відповідно до затверджених кошторисів.</w:t>
      </w:r>
    </w:p>
    <w:p>
      <w:pPr>
        <w:pStyle w:val="style0"/>
        <w:ind w:firstLine="567" w:left="0" w:right="0"/>
        <w:jc w:val="both"/>
      </w:pPr>
      <w:r>
        <w:rPr>
          <w:sz w:val="28"/>
          <w:szCs w:val="28"/>
        </w:rPr>
        <w:t>2. Підготовча робота щодо реформування охорони здоров’я відповідно до Концепції реформи фінансування системи охорони здоров</w:t>
      </w:r>
      <w:r>
        <w:rPr>
          <w:sz w:val="28"/>
          <w:szCs w:val="28"/>
          <w:lang w:val="ru-RU"/>
        </w:rPr>
        <w:t xml:space="preserve">’я </w:t>
      </w:r>
      <w:r>
        <w:rPr>
          <w:sz w:val="28"/>
          <w:szCs w:val="28"/>
        </w:rPr>
        <w:t>України.</w:t>
      </w:r>
    </w:p>
    <w:p>
      <w:pPr>
        <w:pStyle w:val="style0"/>
        <w:ind w:firstLine="567" w:left="0" w:right="0"/>
        <w:jc w:val="both"/>
      </w:pPr>
      <w:r>
        <w:rPr>
          <w:sz w:val="28"/>
          <w:szCs w:val="28"/>
        </w:rPr>
        <w:t xml:space="preserve">3. Продовження виконання заходів, передбачених державними та місцевими програмами, які стосуються галузі охорони здоров’я, відповідно до виділеного фінансування. </w:t>
      </w:r>
    </w:p>
    <w:p>
      <w:pPr>
        <w:pStyle w:val="style0"/>
        <w:ind w:firstLine="567" w:left="0" w:right="0"/>
        <w:jc w:val="both"/>
      </w:pPr>
      <w:r>
        <w:rPr>
          <w:sz w:val="28"/>
          <w:szCs w:val="28"/>
        </w:rPr>
        <w:t>4. Ро</w:t>
      </w:r>
      <w:r>
        <w:rPr>
          <w:sz w:val="28"/>
          <w:szCs w:val="28"/>
          <w:lang w:val="ru-RU"/>
        </w:rPr>
        <w:t>з</w:t>
      </w:r>
      <w:r>
        <w:rPr>
          <w:sz w:val="28"/>
          <w:szCs w:val="28"/>
        </w:rPr>
        <w:t>ширення максимально у межах, дозволених законодавством, обсягів платних медичних послуг з відкриттям спец рахунку, введення відповідних посад відповідно до переліку, затвердженого Постановою КМУ від 17.09.1996 № 1138.</w:t>
      </w:r>
    </w:p>
    <w:p>
      <w:pPr>
        <w:pStyle w:val="style0"/>
        <w:ind w:firstLine="567" w:left="0" w:right="0"/>
        <w:jc w:val="both"/>
      </w:pPr>
      <w:r>
        <w:rPr>
          <w:sz w:val="28"/>
          <w:szCs w:val="28"/>
        </w:rPr>
        <w:t>5. Подальша активізація роботи щодо максимального залучення працюючих громадян в члени громадського об'єднання "Допоможемо собі".</w:t>
      </w:r>
    </w:p>
    <w:p>
      <w:pPr>
        <w:pStyle w:val="style0"/>
        <w:ind w:firstLine="567" w:left="0" w:right="0"/>
        <w:jc w:val="both"/>
      </w:pPr>
      <w:r>
        <w:rPr>
          <w:sz w:val="28"/>
          <w:szCs w:val="28"/>
        </w:rPr>
        <w:t>6. Прийняття участі у грантах та проектах міжнародних організацій, спрямованих на зміцнення здоров’я людей.</w:t>
      </w:r>
    </w:p>
    <w:p>
      <w:pPr>
        <w:pStyle w:val="style0"/>
        <w:ind w:firstLine="567" w:left="0" w:right="0"/>
        <w:jc w:val="both"/>
      </w:pPr>
      <w:r>
        <w:rPr>
          <w:sz w:val="28"/>
          <w:szCs w:val="28"/>
        </w:rPr>
        <w:t>7. Забезпечення цитологічним обстеженням усіх жінок, які відвідують амбулаторно – поліклінічні заклади  чи перебувають на стаціонарному лікуванні та продовження роботи щодо налагодження  стовідсоткового їх оздоровлення при виявленні патології.</w:t>
      </w:r>
    </w:p>
    <w:p>
      <w:pPr>
        <w:pStyle w:val="style0"/>
        <w:ind w:firstLine="567" w:left="0" w:right="0"/>
        <w:jc w:val="both"/>
      </w:pPr>
      <w:r>
        <w:rPr>
          <w:sz w:val="28"/>
          <w:szCs w:val="28"/>
        </w:rPr>
        <w:t xml:space="preserve">8. Продовження проведення ремонтних робіт за рахунок різних джерел фінансування та із запровадженням енергозберігаючих технологій.  </w:t>
      </w:r>
    </w:p>
    <w:p>
      <w:pPr>
        <w:pStyle w:val="style0"/>
        <w:ind w:firstLine="567" w:left="0" w:right="0"/>
        <w:jc w:val="both"/>
      </w:pPr>
      <w:r>
        <w:rPr>
          <w:sz w:val="28"/>
          <w:szCs w:val="28"/>
        </w:rPr>
        <w:t>9. Проведення широкого навчання населення міста методам дотримання здорового способу життя та профілактики захворювань.</w:t>
      </w:r>
    </w:p>
    <w:p>
      <w:pPr>
        <w:pStyle w:val="style0"/>
        <w:ind w:firstLine="567" w:left="0" w:right="0"/>
        <w:jc w:val="both"/>
      </w:pPr>
      <w:r>
        <w:rPr>
          <w:sz w:val="28"/>
          <w:szCs w:val="28"/>
        </w:rPr>
        <w:t>10. Створення мережі амбулаторій загальної практики-сімейної медицини із проведенням реконструкції та облаштування приміщень за кошти проекту Світового Банку.</w:t>
      </w:r>
    </w:p>
    <w:p>
      <w:pPr>
        <w:pStyle w:val="style0"/>
        <w:jc w:val="both"/>
      </w:pPr>
      <w:r>
        <w:rPr>
          <w:sz w:val="28"/>
          <w:szCs w:val="28"/>
        </w:rPr>
      </w:r>
    </w:p>
    <w:p>
      <w:pPr>
        <w:pStyle w:val="style0"/>
        <w:jc w:val="both"/>
      </w:pPr>
      <w:r>
        <w:rPr>
          <w:sz w:val="28"/>
          <w:szCs w:val="28"/>
        </w:rPr>
      </w:r>
    </w:p>
    <w:p>
      <w:pPr>
        <w:pStyle w:val="style0"/>
        <w:jc w:val="both"/>
      </w:pPr>
      <w:r>
        <w:rPr>
          <w:sz w:val="28"/>
          <w:szCs w:val="28"/>
        </w:rPr>
        <w:t>Виконуючий обов’язки</w:t>
      </w:r>
    </w:p>
    <w:p>
      <w:pPr>
        <w:pStyle w:val="style0"/>
        <w:jc w:val="both"/>
      </w:pPr>
      <w:r>
        <w:rPr>
          <w:sz w:val="28"/>
          <w:szCs w:val="28"/>
        </w:rPr>
        <w:t>начальника управління</w:t>
        <w:tab/>
        <w:tab/>
        <w:tab/>
        <w:t xml:space="preserve">                       </w:t>
        <w:tab/>
        <w:t xml:space="preserve">     Віктор Глухманюк</w:t>
      </w:r>
    </w:p>
    <w:p>
      <w:pPr>
        <w:pStyle w:val="style0"/>
        <w:jc w:val="both"/>
      </w:pPr>
      <w:r>
        <w:rPr>
          <w:sz w:val="28"/>
          <w:szCs w:val="28"/>
        </w:rPr>
      </w:r>
    </w:p>
    <w:p>
      <w:pPr>
        <w:pStyle w:val="style0"/>
        <w:jc w:val="both"/>
      </w:pPr>
      <w:r>
        <w:rPr>
          <w:sz w:val="28"/>
          <w:szCs w:val="28"/>
        </w:rPr>
        <w:t>Глухманюк 724653</w:t>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swiss"/>
    <w:pitch w:val="variable"/>
  </w:font>
  <w:font w:name="Times New Roman CYR">
    <w:charset w:val="cc"/>
    <w:family w:val="roman"/>
    <w:pitch w:val="variable"/>
  </w:font>
</w:fonts>
</file>

<file path=word/numbering.xml><?xml version="1.0" encoding="utf-8"?>
<w:numbering xmlns:w="http://schemas.openxmlformats.org/wordprocessingml/2006/main">
  <w:abstractNum w:abstractNumId="1">
    <w:lvl w:ilvl="0">
      <w:start w:val="10"/>
      <w:numFmt w:val="bullet"/>
      <w:lvlText w:val="-"/>
      <w:lvlJc w:val="left"/>
      <w:pPr>
        <w:ind w:hanging="360" w:left="927"/>
      </w:pPr>
      <w:rPr>
        <w:rFonts w:ascii="Times New Roman" w:cs="Times New Roman" w:hAnsi="Times New Roman" w:hint="default"/>
        <w:sz w:val="28"/>
        <w:b w:val="false"/>
        <w:szCs w:val="26"/>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w:style w:styleId="style0" w:type="paragraph">
    <w:name w:val="Normal"/>
    <w:next w:val="style0"/>
    <w:pPr>
      <w:widowControl w:val="false"/>
      <w:suppressAutoHyphens w:val="true"/>
      <w:kinsoku w:val="true"/>
      <w:overflowPunct w:val="true"/>
      <w:autoSpaceDE w:val="true"/>
    </w:pPr>
    <w:rPr>
      <w:rFonts w:ascii="Times New Roman" w:cs="Tahoma" w:eastAsia="Andale Sans UI" w:hAnsi="Times New Roman"/>
      <w:color w:val="auto"/>
      <w:sz w:val="24"/>
      <w:szCs w:val="24"/>
      <w:lang w:bidi="zxx-" w:eastAsia="zxx-" w:val="zxx-"/>
    </w:rPr>
  </w:style>
  <w:style w:styleId="style15" w:type="character">
    <w:name w:val="WW8Num1z0"/>
    <w:next w:val="style15"/>
    <w:rPr>
      <w:b w:val="false"/>
      <w:sz w:val="28"/>
      <w:szCs w:val="26"/>
      <w:lang w:val="uk-UA"/>
    </w:rPr>
  </w:style>
  <w:style w:styleId="style16" w:type="paragraph">
    <w:name w:val="Заголовок"/>
    <w:basedOn w:val="style0"/>
    <w:next w:val="style17"/>
    <w:pPr>
      <w:keepNext/>
      <w:spacing w:after="120" w:before="240"/>
      <w:contextualSpacing w:val="false"/>
    </w:pPr>
    <w:rPr>
      <w:rFonts w:ascii="Arial" w:cs="Tahoma" w:eastAsia="Andale Sans UI" w:hAnsi="Arial"/>
      <w:sz w:val="28"/>
      <w:szCs w:val="28"/>
    </w:rPr>
  </w:style>
  <w:style w:styleId="style17" w:type="paragraph">
    <w:name w:val="Основной текст"/>
    <w:basedOn w:val="style0"/>
    <w:next w:val="style17"/>
    <w:pPr>
      <w:spacing w:after="120" w:before="0"/>
      <w:contextualSpacing w:val="false"/>
    </w:pPr>
    <w:rPr/>
  </w:style>
  <w:style w:styleId="style18" w:type="paragraph">
    <w:name w:val="Список"/>
    <w:basedOn w:val="style17"/>
    <w:next w:val="style18"/>
    <w:pPr/>
    <w:rPr>
      <w:rFonts w:cs="Tahoma"/>
    </w:rPr>
  </w:style>
  <w:style w:styleId="style19" w:type="paragraph">
    <w:name w:val="Название"/>
    <w:basedOn w:val="style0"/>
    <w:next w:val="style19"/>
    <w:pPr>
      <w:suppressLineNumbers/>
      <w:spacing w:after="120" w:before="120"/>
      <w:contextualSpacing w:val="false"/>
    </w:pPr>
    <w:rPr>
      <w:rFonts w:cs="Tahoma"/>
      <w:i/>
      <w:iCs/>
      <w:sz w:val="24"/>
      <w:szCs w:val="24"/>
    </w:rPr>
  </w:style>
  <w:style w:styleId="style20" w:type="paragraph">
    <w:name w:val="Указатель"/>
    <w:basedOn w:val="style0"/>
    <w:next w:val="style20"/>
    <w:pPr>
      <w:suppressLineNumbers/>
    </w:pPr>
    <w:rPr>
      <w:rFonts w:cs="Tahoma"/>
    </w:rPr>
  </w:style>
  <w:style w:styleId="style21" w:type="paragraph">
    <w:name w:val="Абзац списка"/>
    <w:basedOn w:val="style0"/>
    <w:next w:val="style21"/>
    <w:pPr>
      <w:spacing w:after="0" w:before="0"/>
      <w:ind w:hanging="0" w:left="720" w:right="0"/>
      <w:contextualSpacing/>
    </w:pPr>
    <w:rPr>
      <w:bCs w:val="false"/>
      <w:sz w:val="24"/>
      <w:lang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35</TotalTime>
  <Application>StarOffice/9$Win32 OpenOffice.org_project/310m6$Build-9391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2009-04-16T11:32:02.64Z</dcterms:created>
  <dcterms:modified xsi:type="dcterms:W3CDTF">2009-04-16T11:32:06.21Z</dcterms:modified>
  <cp:revision>2</cp:revision>
</cp:coreProperties>
</file>