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5245"/>
        <w:rPr/>
      </w:pPr>
      <w:r>
        <w:rPr>
          <w:sz w:val="28"/>
          <w:szCs w:val="28"/>
        </w:rPr>
        <w:t xml:space="preserve">Додаток </w:t>
      </w:r>
    </w:p>
    <w:p>
      <w:pPr>
        <w:pStyle w:val="Normal"/>
        <w:ind w:left="5245"/>
        <w:jc w:val="both"/>
        <w:rPr/>
      </w:pPr>
      <w:r>
        <w:rPr>
          <w:sz w:val="28"/>
          <w:szCs w:val="28"/>
        </w:rPr>
        <w:t>до рішення виконавчого комітету міської ради</w:t>
      </w:r>
    </w:p>
    <w:p>
      <w:pPr>
        <w:pStyle w:val="Normal"/>
        <w:ind w:left="5245"/>
        <w:jc w:val="both"/>
        <w:rPr/>
      </w:pPr>
      <w:r>
        <w:rPr>
          <w:rFonts w:eastAsia="Times New Roman" w:cs="Times New Roman"/>
          <w:sz w:val="28"/>
          <w:szCs w:val="28"/>
        </w:rPr>
        <w:t>____________</w:t>
      </w:r>
      <w:r>
        <w:rPr>
          <w:rFonts w:cs="Times New Roman"/>
          <w:sz w:val="28"/>
          <w:szCs w:val="28"/>
        </w:rPr>
        <w:t>№</w:t>
      </w:r>
      <w:r>
        <w:rPr>
          <w:rFonts w:eastAsia="Times New Roman" w:cs="Times New Roman"/>
          <w:sz w:val="28"/>
          <w:szCs w:val="28"/>
        </w:rPr>
        <w:t xml:space="preserve"> ____________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Порядок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виплати грошової допомоги у зв’язку зі смертю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bookmarkStart w:id="0" w:name="_Hlk228880382"/>
      <w:r>
        <w:rPr>
          <w:rFonts w:cs="Times New Roman"/>
          <w:sz w:val="28"/>
          <w:szCs w:val="28"/>
        </w:rPr>
        <w:t>Захисників і Захисниць України</w:t>
      </w:r>
      <w:bookmarkEnd w:id="0"/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Порядок виплати грошової допомоги у зв’язку зі смертю </w:t>
      </w:r>
      <w:bookmarkStart w:id="1" w:name="_Hlk228884593"/>
      <w:r>
        <w:rPr>
          <w:rFonts w:cs="Times New Roman"/>
          <w:sz w:val="28"/>
          <w:szCs w:val="28"/>
        </w:rPr>
        <w:t>Захисників і Захисниць України</w:t>
      </w:r>
      <w:bookmarkEnd w:id="1"/>
      <w:r>
        <w:rPr>
          <w:rFonts w:cs="Times New Roman"/>
          <w:sz w:val="28"/>
          <w:szCs w:val="28"/>
        </w:rPr>
        <w:t xml:space="preserve"> (далі – Порядок) розроблений для забезпечення виконання заходів Комплексної програми підтримки ветеранів / ветеранок війни та членів їх сімей на 2024–2028 роки, затвердженої рішенням Луцької міської ради </w:t>
      </w:r>
      <w:r>
        <w:rPr>
          <w:rFonts w:cs="Times New Roman"/>
          <w:color w:val="000000"/>
          <w:sz w:val="28"/>
          <w:szCs w:val="28"/>
        </w:rPr>
        <w:t>від 24.12.2019 № 68/62, зі змінами, та належного посмертного вшанування та поховання Захисників і Захисниць України, які у складі сил оборони та безпеки України брали участь у Війні за Незалежність України та померли під час проходження військової служби за контрактом / призовом під час мобілізації, на особливий</w:t>
      </w:r>
      <w:r>
        <w:rPr>
          <w:rFonts w:cs="Times New Roman"/>
          <w:sz w:val="28"/>
          <w:szCs w:val="28"/>
        </w:rPr>
        <w:t xml:space="preserve"> період, або при виконанні службових обов’язків під час їх залучення до виконання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>
        <w:rPr/>
        <w:t> </w:t>
      </w:r>
      <w:r>
        <w:rPr>
          <w:rFonts w:cs="Times New Roman"/>
          <w:sz w:val="28"/>
          <w:szCs w:val="28"/>
        </w:rPr>
        <w:t>Грошова допомога у зв’язку зі смертю Захисників і Захисниць України (далі – допомога) надається за рахунок коштів бюджету Луцької міської територіальної громади департаментом з питань ветеранської політики Луцької міської ради (далі – департамент), який є розпорядником коштів.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 Допомога надається за умови, що: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поховання не здійснювалось за кошти бюджету Луцької міської територіальної громади;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Захисник / Захисниця України на день смерті мав (-ла) задеклароване / зареєстроване місце проживання на території Луцької міської територіальної громади або на день смерті фактично проживав (-ла) / перебував (-ла) (для внутрішньо переміщених осіб) на території Луцької міської територіальної громади, що підтверджується довідкою про взяття на облік внутрішньо переміщеної особи  та / або члени його / її сім’ї (батьки, дружина, діти) мають задеклароване / зареєстроване місце проживання на території Луцької міської територіальної громади або фактично проживають / перебувають (для внутрішньо переміщених осіб) на території Луцької міської територіальної громади (на підставі підтверджуючих документів);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смерть Захисника / Захисниці не є наслідком вчинення кримінального або адміністративного правопорушення; вчинення дій у стані алкогольного, наркотичного чи токсичного сп'яніння; навмисного спричинення собі тілесного ушкодження, іншої шкоди своєму здоров'ю або самогубства (крім випадку доведення особи до самогубства, встановленого судом). 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Допомога надається особі, яка здійснила поховання.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Виплата допомоги здійснюється одноразово. За умови звернення за допомогою декількох осіб, виплата здійснюється лише тій особі, яка здійснила поховання.</w:t>
      </w:r>
    </w:p>
    <w:p>
      <w:pPr>
        <w:pStyle w:val="Normal"/>
        <w:ind w:firstLine="567"/>
        <w:jc w:val="both"/>
        <w:rPr/>
      </w:pPr>
      <w:r>
        <w:rPr>
          <w:rFonts w:cs="Times New Roman"/>
          <w:sz w:val="28"/>
          <w:szCs w:val="28"/>
        </w:rPr>
        <w:t>6. Для отримання допомоги особа, яка здійснила поховання подає до департаменту  заяву та такі документи:</w:t>
      </w:r>
      <w:r>
        <w:rPr/>
        <w:t xml:space="preserve"> 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копію документа, що посвідчує особу заявника;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копію реєстраційного номера облікової картки платника податків  заявника;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реквізити поточного рахунку заявника;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свідоцтво про смерть Захисника / Захисниці України;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копію лікарського свідоцтва про смерть Захисника / Захисниці України;</w:t>
      </w:r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копію сповіщення сім’ї померлого (загиблого) військовослужбовця, виданого Луцьким об’єднаним міським територіальним центром комплектування та соціальної підтримки чи іншими уповноваженими органами про настання смерті Захисника / Захисниці України;</w:t>
      </w:r>
    </w:p>
    <w:p>
      <w:pPr>
        <w:pStyle w:val="Normal"/>
        <w:ind w:firstLine="567"/>
        <w:jc w:val="both"/>
        <w:rPr/>
      </w:pPr>
      <w:r>
        <w:rPr>
          <w:rFonts w:cs="Times New Roman"/>
          <w:sz w:val="28"/>
          <w:szCs w:val="28"/>
        </w:rPr>
        <w:t xml:space="preserve">копії документів, що підтверджують проходження військової служби Захисником / Захисницею за контрактом / призовом під час мобілізації, на особливий період, або їх залучення до виконання </w:t>
      </w:r>
      <w:bookmarkStart w:id="2" w:name="_Hlk228970337"/>
      <w:r>
        <w:rPr>
          <w:rFonts w:cs="Times New Roman"/>
          <w:sz w:val="28"/>
          <w:szCs w:val="28"/>
        </w:rPr>
        <w:t>завдань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</w:r>
      <w:bookmarkEnd w:id="2"/>
    </w:p>
    <w:p>
      <w:pPr>
        <w:pStyle w:val="Normal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копії документів, що підтверджують здійснення поховання заявником.</w:t>
      </w:r>
    </w:p>
    <w:p>
      <w:pPr>
        <w:pStyle w:val="Normal"/>
        <w:ind w:firstLine="567"/>
        <w:jc w:val="both"/>
        <w:rPr/>
      </w:pPr>
      <w:r>
        <w:rPr>
          <w:rFonts w:cs="Times New Roman"/>
          <w:bCs/>
          <w:sz w:val="28"/>
          <w:szCs w:val="28"/>
        </w:rPr>
        <w:t>7. Розмір допомоги встановлюється розпорядженням міського голови</w:t>
      </w:r>
      <w:r>
        <w:rPr>
          <w:rFonts w:cs="Times New Roman"/>
          <w:color w:val="000000"/>
          <w:sz w:val="28"/>
          <w:szCs w:val="28"/>
        </w:rPr>
        <w:t xml:space="preserve"> на відповідний рік.</w:t>
      </w:r>
    </w:p>
    <w:p>
      <w:pPr>
        <w:pStyle w:val="Normal"/>
        <w:ind w:firstLine="567"/>
        <w:jc w:val="both"/>
        <w:rPr/>
      </w:pPr>
      <w:r>
        <w:rPr>
          <w:rFonts w:cs="Times New Roman"/>
          <w:bCs/>
          <w:sz w:val="28"/>
          <w:szCs w:val="28"/>
        </w:rPr>
        <w:t>8. Виплата допомоги здійснюється де</w:t>
      </w:r>
      <w:r>
        <w:rPr>
          <w:rFonts w:cs="Times New Roman"/>
          <w:bCs/>
          <w:sz w:val="28"/>
          <w:szCs w:val="28"/>
          <w:shd w:fill="FFFFFF" w:val="clear"/>
        </w:rPr>
        <w:t>партаментом через банківські установи.</w:t>
      </w:r>
    </w:p>
    <w:p>
      <w:pPr>
        <w:pStyle w:val="Normal"/>
        <w:ind w:firstLine="737"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Normal"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Normal"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Normal"/>
        <w:tabs>
          <w:tab w:val="clear" w:pos="708"/>
          <w:tab w:val="left" w:pos="7020" w:leader="none"/>
          <w:tab w:val="left" w:pos="73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>
      <w:pPr>
        <w:pStyle w:val="Normal"/>
        <w:tabs>
          <w:tab w:val="clear" w:pos="708"/>
          <w:tab w:val="left" w:pos="7020" w:leader="none"/>
          <w:tab w:val="left" w:pos="7380" w:leader="none"/>
        </w:tabs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  <w:tab/>
        <w:t>Юрій ВЕРБИЧ</w:t>
      </w:r>
    </w:p>
    <w:p>
      <w:pPr>
        <w:pStyle w:val="Normal"/>
        <w:tabs>
          <w:tab w:val="clear" w:pos="708"/>
          <w:tab w:val="left" w:pos="7020" w:leader="none"/>
          <w:tab w:val="left" w:pos="73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20" w:leader="none"/>
          <w:tab w:val="left" w:pos="73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20" w:leader="none"/>
          <w:tab w:val="left" w:pos="7380" w:leader="none"/>
        </w:tabs>
        <w:rPr>
          <w:sz w:val="26"/>
          <w:szCs w:val="26"/>
        </w:rPr>
      </w:pPr>
      <w:r>
        <w:rPr/>
        <w:t xml:space="preserve">Кобилинський  </w:t>
      </w:r>
      <w:r>
        <w:rPr>
          <w:sz w:val="26"/>
          <w:szCs w:val="26"/>
        </w:rPr>
        <w:t>739</w:t>
      </w:r>
      <w:r>
        <w:rPr>
          <w:sz w:val="26"/>
          <w:szCs w:val="26"/>
          <w:lang w:val="ru-RU"/>
        </w:rPr>
        <w:t> </w:t>
      </w:r>
      <w:r>
        <w:rPr>
          <w:sz w:val="26"/>
          <w:szCs w:val="26"/>
        </w:rPr>
        <w:t>900</w:t>
      </w:r>
    </w:p>
    <w:p>
      <w:pPr>
        <w:pStyle w:val="Normal"/>
        <w:tabs>
          <w:tab w:val="clear" w:pos="708"/>
          <w:tab w:val="left" w:pos="7020" w:leader="none"/>
          <w:tab w:val="left" w:pos="738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020" w:leader="none"/>
          <w:tab w:val="left" w:pos="738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020" w:leader="none"/>
          <w:tab w:val="left" w:pos="738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020" w:leader="none"/>
          <w:tab w:val="left" w:pos="738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020" w:leader="none"/>
          <w:tab w:val="left" w:pos="738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020" w:leader="none"/>
          <w:tab w:val="left" w:pos="7380" w:leader="none"/>
        </w:tabs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985" w:right="567" w:gutter="0" w:header="720" w:top="1134" w:footer="709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ug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ug-C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eastAsia="Lucida Sans Unicode" w:cs="Mangal" w:ascii="Times New Roman" w:hAnsi="Times New Roman"/>
      <w:color w:val="auto"/>
      <w:kern w:val="2"/>
      <w:sz w:val="24"/>
      <w:szCs w:val="24"/>
      <w:lang w:eastAsia="zh-CN" w:bidi="hi-IN" w:val="uk-U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Шрифт абзацу за промовчанням"/>
    <w:qFormat/>
    <w:rPr/>
  </w:style>
  <w:style w:type="character" w:styleId="4" w:customStyle="1">
    <w:name w:val="Основной шрифт абзаца4"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Apple-converted-space" w:customStyle="1">
    <w:name w:val="apple-converted-space"/>
    <w:basedOn w:val="1"/>
    <w:qFormat/>
    <w:rPr/>
  </w:style>
  <w:style w:type="character" w:styleId="Emphasis">
    <w:name w:val="Emphasis"/>
    <w:qFormat/>
    <w:rPr>
      <w:i/>
      <w:iCs/>
    </w:rPr>
  </w:style>
  <w:style w:type="character" w:styleId="Pagenumber">
    <w:name w:val="page number"/>
    <w:basedOn w:val="2"/>
    <w:qFormat/>
    <w:rPr/>
  </w:style>
  <w:style w:type="character" w:styleId="FontStyle13" w:customStyle="1">
    <w:name w:val="Font Style13"/>
    <w:qFormat/>
    <w:rPr>
      <w:rFonts w:ascii="Times New Roman" w:hAnsi="Times New Roman" w:cs="Times New Roman"/>
      <w:sz w:val="26"/>
      <w:szCs w:val="26"/>
    </w:rPr>
  </w:style>
  <w:style w:type="character" w:styleId="Style15" w:customStyle="1">
    <w:name w:val="Нижній колонтитул Знак"/>
    <w:qFormat/>
    <w:rPr>
      <w:rFonts w:eastAsia="Lucida Sans Unicode" w:cs="Mangal"/>
      <w:kern w:val="2"/>
      <w:sz w:val="24"/>
      <w:szCs w:val="21"/>
      <w:lang w:eastAsia="zh-CN" w:bidi="hi-IN"/>
    </w:rPr>
  </w:style>
  <w:style w:type="character" w:styleId="Style16" w:customStyle="1">
    <w:name w:val="Верхній колонтитул Знак"/>
    <w:qFormat/>
    <w:rPr>
      <w:rFonts w:eastAsia="Lucida Sans Unicode" w:cs="Mangal"/>
      <w:kern w:val="2"/>
      <w:sz w:val="24"/>
      <w:szCs w:val="24"/>
      <w:lang w:eastAsia="zh-CN" w:bidi="hi-IN"/>
    </w:rPr>
  </w:style>
  <w:style w:type="character" w:styleId="FontStyle22" w:customStyle="1">
    <w:name w:val="Font Style22"/>
    <w:qFormat/>
    <w:rPr>
      <w:rFonts w:ascii="Times New Roman" w:hAnsi="Times New Roman" w:cs="Times New Roman"/>
      <w:sz w:val="26"/>
      <w:szCs w:val="2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 w:customStyle="1">
    <w:name w:val="Покажчик"/>
    <w:basedOn w:val="Normal"/>
    <w:qFormat/>
    <w:pPr>
      <w:suppressLineNumbers/>
    </w:pPr>
    <w:rPr/>
  </w:style>
  <w:style w:type="paragraph" w:styleId="21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5" w:customStyle="1">
    <w:name w:val="Указатель5"/>
    <w:basedOn w:val="Normal"/>
    <w:qFormat/>
    <w:pPr>
      <w:suppressLineNumbers/>
    </w:pPr>
    <w:rPr/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12" w:customStyle="1">
    <w:name w:val="Назва об'єкта1"/>
    <w:basedOn w:val="Normal"/>
    <w:qFormat/>
    <w:pPr>
      <w:suppressLineNumbers/>
      <w:spacing w:before="120" w:after="120"/>
    </w:pPr>
    <w:rPr>
      <w:i/>
      <w:iCs/>
    </w:rPr>
  </w:style>
  <w:style w:type="paragraph" w:styleId="41" w:customStyle="1">
    <w:name w:val="Указатель4"/>
    <w:basedOn w:val="Normal"/>
    <w:qFormat/>
    <w:pPr>
      <w:suppressLineNumbers/>
    </w:pPr>
    <w:rPr/>
  </w:style>
  <w:style w:type="paragraph" w:styleId="31" w:customStyle="1">
    <w:name w:val="Название объекта3"/>
    <w:basedOn w:val="Normal"/>
    <w:qFormat/>
    <w:pPr>
      <w:suppressLineNumbers/>
      <w:spacing w:before="120" w:after="120"/>
    </w:pPr>
    <w:rPr>
      <w:i/>
      <w:iCs/>
    </w:rPr>
  </w:style>
  <w:style w:type="paragraph" w:styleId="32" w:customStyle="1">
    <w:name w:val="Указатель3"/>
    <w:basedOn w:val="Normal"/>
    <w:qFormat/>
    <w:pPr>
      <w:suppressLineNumbers/>
    </w:pPr>
    <w:rPr/>
  </w:style>
  <w:style w:type="paragraph" w:styleId="22" w:customStyle="1">
    <w:name w:val="Название объекта2"/>
    <w:basedOn w:val="Normal"/>
    <w:qFormat/>
    <w:pPr>
      <w:suppressLineNumbers/>
      <w:spacing w:before="120" w:after="120"/>
    </w:pPr>
    <w:rPr>
      <w:i/>
      <w:iCs/>
    </w:rPr>
  </w:style>
  <w:style w:type="paragraph" w:styleId="23" w:customStyle="1">
    <w:name w:val="Указатель2"/>
    <w:basedOn w:val="Normal"/>
    <w:qFormat/>
    <w:pPr>
      <w:suppressLineNumbers/>
    </w:pPr>
    <w:rPr/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i/>
      <w:iCs/>
    </w:rPr>
  </w:style>
  <w:style w:type="paragraph" w:styleId="14" w:customStyle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15" w:customStyle="1">
    <w:name w:val="Указатель1"/>
    <w:basedOn w:val="Normal"/>
    <w:qFormat/>
    <w:pPr>
      <w:suppressLineNumbers/>
    </w:pPr>
    <w:rPr/>
  </w:style>
  <w:style w:type="paragraph" w:styleId="Style1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Style20" w:customStyle="1">
    <w:name w:val="Содержимое врезки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>
      <w:szCs w:val="21"/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2</Pages>
  <Words>511</Words>
  <Characters>3459</Characters>
  <CharactersWithSpaces>3952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2026-05-07T12:19:00Z</dcterms:created>
  <dc:creator>Litvinchuk</dc:creator>
  <dc:description/>
  <dc:language>uk-UA</dc:language>
  <cp:lastModifiedBy>Ірина Демидюк</cp:lastModifiedBy>
  <cp:lastPrinted>2026-05-06T11:58:00Z</cp:lastPrinted>
  <dcterms:modified xsi:type="dcterms:W3CDTF">2026-05-07T12:19:00Z</dcterms:modified>
  <cp:revision>2</cp:revision>
  <dc:subject/>
  <dc:title>Додаток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