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52D66" w:rsidRDefault="00362A3A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Додаток до протоколу </w:t>
      </w:r>
    </w:p>
    <w:p w:rsidR="00052D66" w:rsidRDefault="00362A3A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від________№_______</w:t>
      </w:r>
    </w:p>
    <w:p w:rsidR="00052D66" w:rsidRDefault="0005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2D66" w:rsidRDefault="00362A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 паспорту оцінки регуляторного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акта</w:t>
      </w:r>
      <w:proofErr w:type="spellEnd"/>
    </w:p>
    <w:p w:rsidR="00052D66" w:rsidRDefault="0005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774" w:type="dxa"/>
        <w:tblInd w:w="-11" w:type="dxa"/>
        <w:tblLook w:val="04A0" w:firstRow="1" w:lastRow="0" w:firstColumn="1" w:lastColumn="0" w:noHBand="0" w:noVBand="1"/>
      </w:tblPr>
      <w:tblGrid>
        <w:gridCol w:w="1656"/>
        <w:gridCol w:w="5566"/>
        <w:gridCol w:w="2539"/>
        <w:gridCol w:w="13"/>
      </w:tblGrid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Pr="00362A3A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62A3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Найменування органу  місцевого самоврядування</w:t>
            </w:r>
          </w:p>
          <w:p w:rsidR="00052D66" w:rsidRDefault="00362A3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Луцька міська рада</w:t>
            </w:r>
          </w:p>
          <w:p w:rsidR="00052D66" w:rsidRPr="00362A3A" w:rsidRDefault="00052D66">
            <w:pPr>
              <w:spacing w:after="0" w:line="240" w:lineRule="auto"/>
              <w:ind w:firstLine="851"/>
              <w:jc w:val="center"/>
              <w:rPr>
                <w:b/>
                <w:bCs/>
                <w:lang w:val="ru-RU"/>
              </w:rPr>
            </w:pPr>
          </w:p>
        </w:tc>
      </w:tr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Pr="00362A3A" w:rsidRDefault="00362A3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362A3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Назва, дата прийняття та номер </w:t>
            </w:r>
            <w:proofErr w:type="spellStart"/>
            <w:r w:rsidRPr="00362A3A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акта</w:t>
            </w:r>
            <w:proofErr w:type="spellEnd"/>
          </w:p>
          <w:p w:rsidR="00052D66" w:rsidRPr="00362A3A" w:rsidRDefault="00362A3A">
            <w:pPr>
              <w:spacing w:after="0" w:line="240" w:lineRule="auto"/>
              <w:ind w:firstLine="851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Рішення виконавчого комітету від 21.11. 2018 № 746-1</w:t>
            </w:r>
          </w:p>
          <w:p w:rsidR="00052D66" w:rsidRPr="00362A3A" w:rsidRDefault="00362A3A" w:rsidP="00362A3A">
            <w:pPr>
              <w:spacing w:after="0" w:line="240" w:lineRule="auto"/>
              <w:ind w:firstLine="851"/>
              <w:jc w:val="center"/>
              <w:rPr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“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 затвердження Положення про порядок здійснення контролю оплати (реєстрації) проїзду у міському пасажирському транспорті загального користування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lang w:val="uk-UA"/>
              </w:rPr>
              <w:t>м. Луцька”</w:t>
            </w:r>
          </w:p>
          <w:p w:rsidR="00052D66" w:rsidRPr="00362A3A" w:rsidRDefault="00052D66">
            <w:pPr>
              <w:spacing w:after="0" w:line="240" w:lineRule="auto"/>
              <w:ind w:firstLine="851"/>
              <w:jc w:val="center"/>
              <w:rPr>
                <w:lang w:val="ru-RU"/>
              </w:rPr>
            </w:pPr>
          </w:p>
        </w:tc>
      </w:tr>
      <w:tr w:rsidR="00052D66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052D66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є акт обов’язковими для виконання двома та більше суб’єктами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господарювання?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052D66" w:rsidRDefault="00362A3A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052D66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052D66" w:rsidRDefault="00052D66">
            <w:pPr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052D66" w:rsidRDefault="00362A3A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 w:rsidR="00052D66" w:rsidRDefault="00052D6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52D66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визначає акт механізми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 експертизи, здійснення заходів контролю, подання звітності, тощо)?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052D66" w:rsidRDefault="00362A3A">
            <w:pPr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052D66" w:rsidRPr="00362A3A" w:rsidTr="00362A3A">
        <w:trPr>
          <w:trHeight w:val="1007"/>
        </w:trPr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Висно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вок: </w:t>
            </w:r>
          </w:p>
          <w:p w:rsidR="00052D66" w:rsidRDefault="00362A3A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052D66" w:rsidRDefault="00362A3A">
            <w:pPr>
              <w:pStyle w:val="af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</w:tc>
      </w:tr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Відповідність вимогам актів вищої юридичної сили, а також компетенції відповідного органу</w:t>
            </w:r>
          </w:p>
        </w:tc>
      </w:tr>
      <w:tr w:rsidR="00052D66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052D66" w:rsidRDefault="00052D6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Pr="00362A3A" w:rsidRDefault="00362A3A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ак+</w:t>
            </w:r>
          </w:p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Відповідає акт ст. 19. Конституції України. Також рішення розроблено відповідно до Законів України </w:t>
            </w:r>
          </w:p>
          <w:p w:rsidR="00052D66" w:rsidRDefault="00052D66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052D66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Pr="00362A3A" w:rsidRDefault="00362A3A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хоча б одному із зазначених критеріїв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подальші розділи паспорту не заповнюються (за винятком розділу «Рекомендації» у якому наводиться відповідне обґрунтування).</w:t>
            </w:r>
          </w:p>
        </w:tc>
      </w:tr>
      <w:tr w:rsidR="00052D66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були дотримані вимоги законодавства щодо процедури прийняття регуляторних актів?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___+ </w:t>
            </w:r>
          </w:p>
          <w:p w:rsidR="00052D66" w:rsidRDefault="00052D66">
            <w:pPr>
              <w:spacing w:after="0" w:line="240" w:lineRule="auto"/>
              <w:jc w:val="both"/>
            </w:pP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</w:tc>
      </w:tr>
      <w:tr w:rsidR="00052D66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невідповідність цьому критерію, продовжується заповнення наступних розділів паспорту, а у розділі «Рекомендації», за умови доцільності даного регулювання, зазначається про необхідність визнати цей акт таким, що потребує втрати чинності з одночасним розробл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енням нового регулювання з дотриманням всіх необхідних регуляторних процедур.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Визначення мети (цілі)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органу та проблеми, яку цей акт мав би вирішувати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Існуюче формулювання мети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Формулювання відсутнє ___</w:t>
            </w:r>
          </w:p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(робиться позначка)</w:t>
            </w:r>
          </w:p>
          <w:p w:rsidR="00052D66" w:rsidRDefault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або наводиться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існуюче формулювання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  <w:trHeight w:val="862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Визначення мети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суб’єктивними чинниками.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Оцінка діючого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акта</w:t>
            </w:r>
            <w:proofErr w:type="spellEnd"/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Якими є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обов’язкові вимоги що повинні виконуватися?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регуляторні інструменти використовуються (отримання дозволу, подача звітності, проведення заході контролю тощо)?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Скільки коштує адміністрування цього регулювання органом влади або місцевого самоврядування (затрати робочого часу на видачу дозволів, погодження та перевірки)?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повністю забороняє, обмежує через квоти, зонування, дозвільну систему високі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тарифи певні сектори чи види підприємницької діяльності (наприклад мобільні кав’ярні, мобільні заклади харчування, квартири де надаються послуги тимчасового розміщення, послуги гідів, перевізників, переносну торгівлю, тощо)?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 w:rsidP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 w:rsidP="00362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вимогу обов’язкової послуги що повинна надаватись окремими суб’єктами господарювання (комунальними підприємствами, установами тощо) у сферах, де такі послуги можуть надаватись приватними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підприємствами в умовах вільного ринку?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вимоги які настроєні під діючі підприємства у тій чи іншій сферах, чи дискримінує підприємства за розміром (строку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 кількість працівників, використання комунальної послуги, довготривалі договори оренди, розмір матеріальних активів тощо)?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чи практика його виконання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обмежує конкуренцію іншим методом, не описаним вище?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визначає процедуру за якою індивідуальні рішення що стосуються суб’єктів господарювання (про видачу дозволу,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погодження, іншого документу) приймається колегіально?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052D66" w:rsidRDefault="00052D66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процедуру, за якою індивідуальні рішення що стосуються суб’єктів господарювання приймаються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посадовими особами без чіткого та вичерпного переліку критеріїв для прийняття таких рішень (можливість прийняття дискретних волюнтаристських рішень)?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делегує виконан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регуляторної функції чи її частини (включно з наданням обов’язкових послуг) певному суб’єкту господарювання (комунальному підприємству, установі, тощо)?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вимагає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обладнання товарів чи послуг певного зразка чи у певних суб’єктів господарювання?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чи практика його призводить до збільшення корупційних можливостей іншими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методами не описаним вище?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052D66" w:rsidRDefault="00362A3A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наводиться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обґрунтуванні розділу «Рекомендації»)</w:t>
            </w:r>
          </w:p>
        </w:tc>
      </w:tr>
      <w:tr w:rsidR="00052D66" w:rsidRPr="00362A3A" w:rsidTr="00362A3A">
        <w:trPr>
          <w:gridAfter w:val="1"/>
          <w:wAfter w:w="14" w:type="dxa"/>
        </w:trPr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2D66" w:rsidRDefault="00362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Співвідношення масштабу регуляторного режиму та рівня фактичного вирішення проблеми.</w:t>
            </w: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2D66" w:rsidRDefault="00052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052D66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52D66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 w:rsidP="00362A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>
            <w:pPr>
              <w:pStyle w:val="af7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Зазначається один з наступних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варіантів:</w:t>
            </w:r>
          </w:p>
          <w:p w:rsidR="00052D66" w:rsidRDefault="00362A3A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Залишити акт без змін.</w:t>
            </w:r>
          </w:p>
          <w:p w:rsidR="00052D66" w:rsidRDefault="00362A3A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Внести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зміни до діючого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акта</w:t>
            </w:r>
            <w:proofErr w:type="spellEnd"/>
          </w:p>
          <w:p w:rsidR="00052D66" w:rsidRDefault="00362A3A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Визнати таким, що втратив чинність, діючий акт та прийняти новий із дотриманням вимогам законодавства щодо змісту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 процедури його прийняття.</w:t>
            </w:r>
          </w:p>
          <w:p w:rsidR="00052D66" w:rsidRDefault="00362A3A">
            <w:pPr>
              <w:pStyle w:val="af7"/>
              <w:spacing w:after="0" w:line="240" w:lineRule="auto"/>
              <w:ind w:left="0" w:firstLine="567"/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Повністю визнати таким, що втратив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чинність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</w:p>
        </w:tc>
      </w:tr>
      <w:tr w:rsidR="00052D66" w:rsidRPr="00362A3A" w:rsidTr="00362A3A">
        <w:tc>
          <w:tcPr>
            <w:tcW w:w="9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2D66" w:rsidRDefault="00362A3A" w:rsidP="00362A3A">
            <w:pPr>
              <w:spacing w:after="0" w:line="240" w:lineRule="auto"/>
              <w:ind w:firstLine="60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uk-UA"/>
              </w:rPr>
              <w:t xml:space="preserve">Обґрунтування </w:t>
            </w:r>
          </w:p>
          <w:p w:rsidR="00052D66" w:rsidRPr="00362A3A" w:rsidRDefault="00362A3A" w:rsidP="00362A3A">
            <w:pPr>
              <w:spacing w:after="0" w:line="240" w:lineRule="auto"/>
              <w:ind w:firstLine="604"/>
              <w:contextualSpacing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Норми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поширюються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 на будь - яких суб’єктів господарюван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ня, як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  <w:t xml:space="preserve">і є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учасниками відносин, на регулювання яких спрямовано цей акт. </w:t>
            </w:r>
          </w:p>
          <w:p w:rsidR="00052D66" w:rsidRPr="00362A3A" w:rsidRDefault="00362A3A" w:rsidP="00362A3A">
            <w:pPr>
              <w:spacing w:after="0" w:line="240" w:lineRule="auto"/>
              <w:ind w:firstLine="604"/>
              <w:contextualSpacing/>
              <w:jc w:val="both"/>
              <w:rPr>
                <w:lang w:val="ru-RU"/>
              </w:rPr>
            </w:pPr>
            <w:r>
              <w:rPr>
                <w:rStyle w:val="rvts44"/>
                <w:rFonts w:ascii="Times New Roman" w:hAnsi="Times New Roman"/>
                <w:color w:val="000000"/>
                <w:sz w:val="24"/>
                <w:szCs w:val="28"/>
                <w:highlight w:val="white"/>
                <w:lang w:val="uk-UA" w:eastAsia="uk-UA"/>
              </w:rPr>
              <w:t>Рішення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8"/>
                <w:highlight w:val="white"/>
                <w:lang w:val="uk-UA" w:eastAsia="uk-UA"/>
              </w:rPr>
              <w:t xml:space="preserve"> встановлює вимоги до організації та здійснення контролю за наявністю у пасажирів 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8"/>
                <w:highlight w:val="white"/>
                <w:lang w:val="uk-UA" w:eastAsia="uk-UA"/>
              </w:rPr>
              <w:t>документів на проїзд і перевезення багажу, а також дотримання пасажирами правил проїзду та перевезення багажу міським пасажирським транспортом (тролейбусом, автобусом) у місті Луцьку, накладання на пасажирів штрафів і стягнення їх (далі – контроль).  Полож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8"/>
                <w:highlight w:val="white"/>
                <w:lang w:val="uk-UA" w:eastAsia="uk-UA"/>
              </w:rPr>
              <w:t>ення є обов'язковими для пасажирів та осіб, які здійснюють контроль (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8"/>
                <w:highlight w:val="white"/>
                <w:lang w:val="uk-UA" w:eastAsia="uk-UA"/>
              </w:rPr>
              <w:t>контролерів).</w:t>
            </w:r>
          </w:p>
          <w:p w:rsidR="00052D66" w:rsidRPr="00362A3A" w:rsidRDefault="00362A3A" w:rsidP="00362A3A">
            <w:pPr>
              <w:spacing w:after="0" w:line="240" w:lineRule="auto"/>
              <w:ind w:firstLine="604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розроблено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відповідно 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законів України “Про місцеве самоврядування в Україні”, “Про міський електричний транспорт”, “Про дорожній рух”, “Про автомобільний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транспорт”,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Цивільного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кодексу України,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  <w:t xml:space="preserve">Правил надання населенню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 w:eastAsia="uk-UA"/>
              </w:rPr>
              <w:t xml:space="preserve">послуг з перевезень міським електротранспортом, затвердженими постановою Кабінету Міністрів України </w:t>
            </w:r>
            <w:r w:rsidRPr="00362A3A"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від </w:t>
            </w:r>
            <w:r w:rsidRPr="00362A3A"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23.12.2004 № 1735</w:t>
            </w:r>
            <w:r>
              <w:rPr>
                <w:rStyle w:val="rvts44"/>
                <w:rFonts w:ascii="Times New Roman" w:hAnsi="Times New Roman"/>
                <w:color w:val="000000"/>
                <w:sz w:val="24"/>
                <w:szCs w:val="24"/>
                <w:highlight w:val="white"/>
                <w:lang w:val="uk-UA" w:eastAsia="uk-UA"/>
              </w:rPr>
              <w:t>.</w:t>
            </w:r>
            <w:bookmarkStart w:id="0" w:name="_GoBack"/>
            <w:bookmarkEnd w:id="0"/>
          </w:p>
          <w:p w:rsidR="00052D66" w:rsidRPr="00362A3A" w:rsidRDefault="00362A3A" w:rsidP="00362A3A">
            <w:pPr>
              <w:tabs>
                <w:tab w:val="left" w:pos="0"/>
              </w:tabs>
              <w:spacing w:after="0" w:line="240" w:lineRule="auto"/>
              <w:ind w:firstLine="604"/>
              <w:jc w:val="both"/>
              <w:rPr>
                <w:highlight w:val="white"/>
                <w:lang w:val="uk-UA"/>
              </w:rPr>
            </w:pPr>
            <w:bookmarkStart w:id="1" w:name="__DdeLink__324_2529035838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егуляторний акт пройшов повністю регуляторну процедуру відповідно до Закону України “Про засади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державної регуляторної політики у сфері господарської діяльності”. Відповідає ст. 19. Конституції України (органи державної влади та органи місцевого самоврядування, їх посадові особи зобов’язані діяти лише на підставі, в межах повноважень та у спосіб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що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 передбачено Конституцією та законами України).</w:t>
            </w:r>
            <w:bookmarkEnd w:id="1"/>
          </w:p>
        </w:tc>
      </w:tr>
    </w:tbl>
    <w:p w:rsidR="00052D66" w:rsidRDefault="00052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2D66" w:rsidRPr="00362A3A" w:rsidRDefault="00052D66">
      <w:pPr>
        <w:spacing w:after="0" w:line="240" w:lineRule="auto"/>
        <w:jc w:val="center"/>
        <w:rPr>
          <w:lang w:val="uk-UA"/>
        </w:rPr>
      </w:pPr>
    </w:p>
    <w:sectPr w:rsidR="00052D66" w:rsidRPr="00362A3A">
      <w:headerReference w:type="default" r:id="rId8"/>
      <w:headerReference w:type="first" r:id="rId9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62A3A">
      <w:pPr>
        <w:spacing w:after="0" w:line="240" w:lineRule="auto"/>
      </w:pPr>
      <w:r>
        <w:separator/>
      </w:r>
    </w:p>
  </w:endnote>
  <w:endnote w:type="continuationSeparator" w:id="0">
    <w:p w:rsidR="00000000" w:rsidRDefault="0036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;Century Gothic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62A3A">
      <w:pPr>
        <w:spacing w:after="0" w:line="240" w:lineRule="auto"/>
      </w:pPr>
      <w:r>
        <w:separator/>
      </w:r>
    </w:p>
  </w:footnote>
  <w:footnote w:type="continuationSeparator" w:id="0">
    <w:p w:rsidR="00000000" w:rsidRDefault="0036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66" w:rsidRDefault="00362A3A">
    <w:pPr>
      <w:pStyle w:val="afc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  <w:p w:rsidR="00052D66" w:rsidRDefault="00052D66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D66" w:rsidRDefault="00052D66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E187B"/>
    <w:multiLevelType w:val="multilevel"/>
    <w:tmpl w:val="CAA828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5514F0F"/>
    <w:multiLevelType w:val="multilevel"/>
    <w:tmpl w:val="65AE5170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D66"/>
    <w:rsid w:val="00052D66"/>
    <w:rsid w:val="0036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1246"/>
  <w15:docId w15:val="{F03F2EBF-790D-4AA3-8146-958BB604D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val="en-US" w:bidi="ar-SA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mbria" w:hAnsi="Cambria" w:cs="Times New Roman"/>
    </w:rPr>
  </w:style>
  <w:style w:type="character" w:customStyle="1" w:styleId="1">
    <w:name w:val="Основной шрифт абзаца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4">
    <w:name w:val="Шрифт абзацу за замовчуванням"/>
    <w:qFormat/>
  </w:style>
  <w:style w:type="character" w:customStyle="1" w:styleId="a5">
    <w:name w:val="Знак примітки"/>
    <w:qFormat/>
    <w:rPr>
      <w:sz w:val="16"/>
      <w:szCs w:val="16"/>
    </w:rPr>
  </w:style>
  <w:style w:type="character" w:customStyle="1" w:styleId="a6">
    <w:name w:val="Текст примітки Знак"/>
    <w:qFormat/>
    <w:rPr>
      <w:sz w:val="20"/>
      <w:szCs w:val="20"/>
    </w:rPr>
  </w:style>
  <w:style w:type="character" w:customStyle="1" w:styleId="a7">
    <w:name w:val="Тема примітки Знак"/>
    <w:qFormat/>
    <w:rPr>
      <w:b/>
      <w:bCs/>
      <w:sz w:val="20"/>
      <w:szCs w:val="20"/>
    </w:rPr>
  </w:style>
  <w:style w:type="character" w:customStyle="1" w:styleId="a8">
    <w:name w:val="Текст у виносці Знак"/>
    <w:qFormat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Pr>
      <w:rFonts w:ascii="Times New Roman" w:hAnsi="Times New Roman" w:cs="Times New Roman"/>
    </w:rPr>
  </w:style>
  <w:style w:type="character" w:customStyle="1" w:styleId="rvts23">
    <w:name w:val="rvts23"/>
    <w:qFormat/>
    <w:rPr>
      <w:rFonts w:ascii="Times New Roman" w:hAnsi="Times New Roman" w:cs="Times New Roman"/>
    </w:rPr>
  </w:style>
  <w:style w:type="character" w:customStyle="1" w:styleId="aa">
    <w:name w:val="Основной текст_"/>
    <w:qFormat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Pr>
      <w:color w:val="0563C1"/>
      <w:u w:val="single"/>
    </w:rPr>
  </w:style>
  <w:style w:type="character" w:customStyle="1" w:styleId="10">
    <w:name w:val="Незакрита згадка1"/>
    <w:qFormat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Pr>
      <w:lang w:val="uk-UA"/>
    </w:rPr>
  </w:style>
  <w:style w:type="character" w:customStyle="1" w:styleId="ad">
    <w:name w:val="Відвідане гіперпосилання"/>
    <w:rPr>
      <w:color w:val="954F72"/>
      <w:u w:val="single"/>
    </w:rPr>
  </w:style>
  <w:style w:type="character" w:customStyle="1" w:styleId="30">
    <w:name w:val="Заголовок 3 Знак"/>
    <w:qFormat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Pr>
      <w:rFonts w:ascii="Consolas" w:hAnsi="Consolas" w:cs="Consolas"/>
      <w:sz w:val="20"/>
      <w:szCs w:val="20"/>
    </w:rPr>
  </w:style>
  <w:style w:type="character" w:customStyle="1" w:styleId="31">
    <w:name w:val="Основний текст з відступом 3 Знак"/>
    <w:qFormat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4"/>
    <w:qFormat/>
  </w:style>
  <w:style w:type="character" w:customStyle="1" w:styleId="rvts44">
    <w:name w:val="rvts44"/>
    <w:qFormat/>
    <w:rPr>
      <w:rFonts w:cs="Times New Roman"/>
    </w:rPr>
  </w:style>
  <w:style w:type="character" w:customStyle="1" w:styleId="ListLabel1">
    <w:name w:val="ListLabel 1"/>
    <w:qFormat/>
    <w:rPr>
      <w:rFonts w:ascii="Times New Roman" w:hAnsi="Times New Roman" w:cs="Cambria"/>
      <w:b/>
      <w:sz w:val="24"/>
    </w:rPr>
  </w:style>
  <w:style w:type="character" w:customStyle="1" w:styleId="ListLabel2">
    <w:name w:val="ListLabel 2"/>
    <w:qFormat/>
    <w:rPr>
      <w:rFonts w:ascii="Times New Roman" w:hAnsi="Times New Roman" w:cs="Cambria"/>
      <w:b/>
      <w:sz w:val="24"/>
    </w:rPr>
  </w:style>
  <w:style w:type="paragraph" w:styleId="af">
    <w:name w:val="Title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0">
    <w:name w:val="List"/>
    <w:basedOn w:val="a0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2">
    <w:name w:val="Покажчик"/>
    <w:basedOn w:val="a"/>
    <w:qFormat/>
    <w:pPr>
      <w:suppressLineNumbers/>
    </w:pPr>
    <w:rPr>
      <w:rFonts w:cs="Arial"/>
    </w:rPr>
  </w:style>
  <w:style w:type="paragraph" w:customStyle="1" w:styleId="2">
    <w:name w:val="Заголовок2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3">
    <w:name w:val="Текст примітки"/>
    <w:basedOn w:val="a"/>
    <w:qFormat/>
    <w:pPr>
      <w:spacing w:line="240" w:lineRule="auto"/>
    </w:pPr>
    <w:rPr>
      <w:sz w:val="20"/>
      <w:szCs w:val="20"/>
      <w:lang w:val="uk-UA"/>
    </w:rPr>
  </w:style>
  <w:style w:type="paragraph" w:customStyle="1" w:styleId="af4">
    <w:name w:val="Тема примітки"/>
    <w:basedOn w:val="af3"/>
    <w:next w:val="af3"/>
    <w:qFormat/>
    <w:rPr>
      <w:b/>
      <w:bCs/>
    </w:rPr>
  </w:style>
  <w:style w:type="paragraph" w:customStyle="1" w:styleId="af5">
    <w:name w:val="Текст у виносці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6">
    <w:name w:val="Нормальний текст"/>
    <w:basedOn w:val="a"/>
    <w:qFormat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7">
    <w:name w:val="Абзац списку"/>
    <w:basedOn w:val="a"/>
    <w:qFormat/>
    <w:pPr>
      <w:spacing w:after="200" w:line="276" w:lineRule="auto"/>
      <w:ind w:left="720"/>
      <w:contextualSpacing/>
    </w:pPr>
    <w:rPr>
      <w:lang w:val="uk-UA"/>
    </w:rPr>
  </w:style>
  <w:style w:type="paragraph" w:customStyle="1" w:styleId="af8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9">
    <w:name w:val="footer"/>
    <w:basedOn w:val="a"/>
    <w:pPr>
      <w:spacing w:after="0" w:line="240" w:lineRule="auto"/>
    </w:pPr>
    <w:rPr>
      <w:sz w:val="20"/>
      <w:szCs w:val="20"/>
      <w:lang w:val="uk-UA"/>
    </w:rPr>
  </w:style>
  <w:style w:type="paragraph" w:customStyle="1" w:styleId="afa">
    <w:name w:val="Без інтервалів"/>
    <w:qFormat/>
    <w:pPr>
      <w:suppressAutoHyphens/>
    </w:pPr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afb">
    <w:name w:val="Звичайний (веб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2">
    <w:name w:val="Основний текст з відступом 3"/>
    <w:basedOn w:val="a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styleId="af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Вміст таблиці"/>
    <w:basedOn w:val="a"/>
    <w:qFormat/>
    <w:pPr>
      <w:suppressLineNumbers/>
    </w:pPr>
  </w:style>
  <w:style w:type="paragraph" w:customStyle="1" w:styleId="afe">
    <w:name w:val="Заголовок таблиці"/>
    <w:basedOn w:val="afd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E1318-29CD-4811-BFC1-2D3F6D0BD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4566</Words>
  <Characters>2604</Characters>
  <Application>Microsoft Office Word</Application>
  <DocSecurity>0</DocSecurity>
  <Lines>21</Lines>
  <Paragraphs>14</Paragraphs>
  <ScaleCrop>false</ScaleCrop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Користувач</cp:lastModifiedBy>
  <cp:revision>16</cp:revision>
  <cp:lastPrinted>1995-11-21T17:41:00Z</cp:lastPrinted>
  <dcterms:created xsi:type="dcterms:W3CDTF">1995-11-21T17:41:00Z</dcterms:created>
  <dcterms:modified xsi:type="dcterms:W3CDTF">2021-12-18T17:35:00Z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