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lang w:val="ru-RU"/>
        </w:rPr>
      </w:pPr>
      <w:r>
        <w:rPr>
          <w:rFonts w:cs="Times New Roman" w:ascii="Times New Roman" w:hAnsi="Times New Roman"/>
          <w:sz w:val="24"/>
          <w:szCs w:val="24"/>
          <w:lang w:val="uk-UA"/>
        </w:rPr>
        <w:t>Додаток до протоколу</w:t>
      </w:r>
    </w:p>
    <w:p>
      <w:pPr>
        <w:pStyle w:val="Normal"/>
        <w:spacing w:lineRule="auto" w:line="240" w:before="0" w:after="0"/>
        <w:ind w:firstLine="851"/>
        <w:jc w:val="right"/>
        <w:rPr>
          <w:lang w:val="ru-RU"/>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lang w:val="ru-RU"/>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810" w:type="dxa"/>
        <w:jc w:val="left"/>
        <w:tblInd w:w="44" w:type="dxa"/>
        <w:tblLayout w:type="fixed"/>
        <w:tblCellMar>
          <w:top w:w="0" w:type="dxa"/>
          <w:left w:w="108" w:type="dxa"/>
          <w:bottom w:w="0" w:type="dxa"/>
          <w:right w:w="108" w:type="dxa"/>
        </w:tblCellMar>
      </w:tblPr>
      <w:tblGrid>
        <w:gridCol w:w="547"/>
        <w:gridCol w:w="4852"/>
        <w:gridCol w:w="4411"/>
      </w:tblGrid>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firstLine="851"/>
              <w:jc w:val="center"/>
              <w:rPr/>
            </w:pPr>
            <w:r>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firstLine="851"/>
              <w:jc w:val="center"/>
              <w:rPr>
                <w:lang w:val="ru-RU"/>
              </w:rPr>
            </w:pPr>
            <w:r>
              <w:rPr>
                <w:rFonts w:cs="Times New Roman" w:ascii="Times New Roman" w:hAnsi="Times New Roman"/>
                <w:b/>
                <w:bCs/>
                <w:sz w:val="24"/>
                <w:szCs w:val="24"/>
                <w:lang w:val="uk-UA"/>
              </w:rPr>
              <w:t>Рішення виконавчого комітету</w:t>
            </w:r>
          </w:p>
          <w:p>
            <w:pPr>
              <w:pStyle w:val="Normal"/>
              <w:widowControl w:val="false"/>
              <w:spacing w:lineRule="auto" w:line="240" w:before="0" w:after="0"/>
              <w:ind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врегулювання обмеження проїзду транспорту на територію Державного історико-культурного заповідника у місті Луцьку” від 17.02.2016 № 84-1</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p>
          <w:p>
            <w:pPr>
              <w:pStyle w:val="Normal"/>
              <w:widowControl w:val="false"/>
              <w:spacing w:lineRule="auto" w:line="240" w:before="0" w:after="0"/>
              <w:ind w:firstLine="851"/>
              <w:jc w:val="both"/>
              <w:rPr>
                <w:lang w:val="ru-RU"/>
              </w:rPr>
            </w:pP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rHeight w:val="998" w:hRule="atLeast"/>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 xml:space="preserve">Висновок: </w:t>
            </w:r>
          </w:p>
          <w:p>
            <w:pPr>
              <w:pStyle w:val="Style36"/>
              <w:widowControl w:val="false"/>
              <w:numPr>
                <w:ilvl w:val="0"/>
                <w:numId w:val="2"/>
              </w:numPr>
              <w:spacing w:lineRule="auto" w:line="240" w:before="0" w:after="0"/>
              <w:ind w:left="720" w:right="0" w:hanging="360"/>
              <w:contextualSpacing/>
              <w:rPr>
                <w:rFonts w:ascii="Times New Roman" w:hAnsi="Times New Roman" w:cs="Times New Roman"/>
                <w:b/>
                <w:b/>
                <w:bCs/>
                <w:color w:val="000000"/>
                <w:sz w:val="24"/>
                <w:szCs w:val="24"/>
              </w:rPr>
            </w:pPr>
            <w:r>
              <w:rPr>
                <w:rFonts w:cs="Times New Roman" w:ascii="Times New Roman" w:hAnsi="Times New Roman"/>
                <w:b/>
                <w:bCs/>
                <w:color w:val="000000"/>
                <w:sz w:val="24"/>
                <w:szCs w:val="24"/>
              </w:rPr>
              <w:t>акт є регуляторним;</w:t>
            </w:r>
          </w:p>
          <w:p>
            <w:pPr>
              <w:pStyle w:val="Style36"/>
              <w:widowControl w:val="false"/>
              <w:numPr>
                <w:ilvl w:val="0"/>
                <w:numId w:val="2"/>
              </w:numPr>
              <w:spacing w:lineRule="auto" w:line="240" w:before="0" w:after="0"/>
              <w:ind w:left="720" w:right="0" w:hanging="360"/>
              <w:contextualSpacing/>
              <w:rPr>
                <w:rFonts w:ascii="Times New Roman" w:hAnsi="Times New Roman" w:cs="Times New Roman"/>
                <w:color w:val="000000"/>
                <w:sz w:val="24"/>
                <w:szCs w:val="24"/>
              </w:rPr>
            </w:pPr>
            <w:r>
              <w:rPr>
                <w:rFonts w:cs="Times New Roman" w:ascii="Times New Roman" w:hAnsi="Times New Roman"/>
                <w:color w:val="000000"/>
                <w:sz w:val="24"/>
                <w:szCs w:val="24"/>
              </w:rPr>
              <w:t xml:space="preserve">акт не є регуляторним та не потребує подальшого аналізу </w:t>
            </w:r>
          </w:p>
          <w:p>
            <w:pPr>
              <w:pStyle w:val="Style36"/>
              <w:widowControl w:val="false"/>
              <w:spacing w:lineRule="auto" w:line="240" w:before="0" w:after="0"/>
              <w:contextualSpacing/>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lang w:val="ru-RU"/>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pPr>
            <w:r>
              <w:rPr>
                <w:rFonts w:cs="Times New Roman" w:ascii="Times New Roman" w:hAnsi="Times New Roman"/>
                <w:color w:val="000000"/>
                <w:sz w:val="24"/>
                <w:szCs w:val="24"/>
                <w:lang w:val="uk-UA"/>
              </w:rPr>
              <w:t>1.</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pPr>
            <w:r>
              <w:rPr>
                <w:rFonts w:cs="Times New Roman" w:ascii="Times New Roman" w:hAnsi="Times New Roman"/>
                <w:b/>
                <w:bCs/>
                <w:color w:val="000000"/>
                <w:sz w:val="24"/>
                <w:szCs w:val="24"/>
                <w:lang w:val="uk-UA"/>
              </w:rPr>
              <w:t>Т</w:t>
            </w:r>
            <w:r>
              <w:rPr>
                <w:rFonts w:cs="Times New Roman" w:ascii="Times New Roman" w:hAnsi="Times New Roman"/>
                <w:b/>
                <w:bCs/>
                <w:color w:val="000000"/>
                <w:sz w:val="20"/>
                <w:szCs w:val="20"/>
                <w:lang w:val="uk-UA"/>
              </w:rPr>
              <w:t>ак+</w:t>
            </w:r>
          </w:p>
          <w:p>
            <w:pPr>
              <w:pStyle w:val="Normal"/>
              <w:widowControl w:val="false"/>
              <w:spacing w:lineRule="auto" w:line="240" w:before="0" w:after="0"/>
              <w:ind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Ні___ </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firstLine="851"/>
              <w:rPr/>
            </w:pPr>
            <w:r>
              <w:rPr>
                <w:rFonts w:cs="Times New Roman" w:ascii="Times New Roman" w:hAnsi="Times New Roman"/>
                <w:color w:val="000000"/>
                <w:sz w:val="24"/>
                <w:szCs w:val="24"/>
                <w:lang w:val="uk-UA"/>
              </w:rPr>
              <w:tab/>
              <w:tab/>
              <w:t>2.</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акт був прийнятий в межах компетенції органу?</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pPr>
            <w:r>
              <w:rPr>
                <w:rFonts w:cs="Times New Roman" w:ascii="Times New Roman" w:hAnsi="Times New Roman"/>
                <w:b/>
                <w:bCs/>
                <w:color w:val="000000"/>
                <w:sz w:val="24"/>
                <w:szCs w:val="24"/>
                <w:lang w:val="uk-UA"/>
              </w:rPr>
              <w:t xml:space="preserve">Так + </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Ні ___ </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lang w:val="ru-RU"/>
              </w:rPr>
            </w:pPr>
            <w:r>
              <w:rPr>
                <w:rFonts w:cs="Times New Roman" w:ascii="Times New Roman" w:hAnsi="Times New Roman"/>
                <w:b/>
                <w:color w:val="000000"/>
                <w:sz w:val="24"/>
                <w:szCs w:val="24"/>
                <w:lang w:val="uk-UA"/>
              </w:rPr>
              <w:t>Визначення мети (цілі) акта органу та проблеми, яку цей акт мав би вирішувати</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r>
          </w:p>
          <w:p>
            <w:pPr>
              <w:pStyle w:val="Normal"/>
              <w:widowControl w:val="false"/>
              <w:spacing w:lineRule="auto" w:line="240" w:before="0" w:after="0"/>
              <w:jc w:val="center"/>
              <w:rPr/>
            </w:pPr>
            <w:r>
              <w:rPr>
                <w:rFonts w:cs="Times New Roman" w:ascii="Times New Roman" w:hAnsi="Times New Roman"/>
                <w:color w:val="000000"/>
                <w:sz w:val="24"/>
                <w:szCs w:val="24"/>
                <w:lang w:val="uk-UA"/>
              </w:rPr>
              <w:t>1.</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Існуюче формулювання мети акта.</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Формулювання відсутнє ___</w:t>
            </w:r>
          </w:p>
          <w:p>
            <w:pPr>
              <w:pStyle w:val="Normal"/>
              <w:widowControl w:val="false"/>
              <w:spacing w:lineRule="auto" w:line="240" w:before="0" w:after="0"/>
              <w:rPr>
                <w:lang w:val="ru-RU"/>
              </w:rPr>
            </w:pPr>
            <w:r>
              <w:rPr>
                <w:rFonts w:cs="Times New Roman" w:ascii="Times New Roman" w:hAnsi="Times New Roman"/>
                <w:color w:val="000000"/>
                <w:sz w:val="24"/>
                <w:szCs w:val="24"/>
                <w:lang w:val="uk-UA"/>
              </w:rPr>
              <w:t>(робиться позначка)</w:t>
            </w:r>
          </w:p>
          <w:p>
            <w:pPr>
              <w:pStyle w:val="Normal"/>
              <w:widowControl w:val="false"/>
              <w:spacing w:lineRule="auto" w:line="240" w:before="0" w:after="0"/>
              <w:rPr>
                <w:lang w:val="ru-RU"/>
              </w:rPr>
            </w:pPr>
            <w:r>
              <w:rPr>
                <w:rFonts w:cs="Times New Roman" w:ascii="Times New Roman" w:hAnsi="Times New Roman"/>
                <w:color w:val="000000"/>
                <w:sz w:val="24"/>
                <w:szCs w:val="24"/>
                <w:lang w:val="uk-UA"/>
              </w:rPr>
              <w:t>або наводиться існуюче формулювання</w:t>
            </w:r>
          </w:p>
        </w:tc>
      </w:tr>
      <w:tr>
        <w:trPr>
          <w:trHeight w:val="862" w:hRule="atLeast"/>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pPr>
            <w:r>
              <w:rPr>
                <w:rFonts w:cs="Times New Roman" w:ascii="Times New Roman" w:hAnsi="Times New Roman"/>
                <w:color w:val="000000"/>
                <w:sz w:val="24"/>
                <w:szCs w:val="24"/>
                <w:lang w:val="uk-UA"/>
              </w:rPr>
              <w:t>2.</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Визначення мети акта за суб’єктивними чинниками.</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ab/>
              <w:tab/>
              <w:t>3.</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Визначення проблем, які акт повинен був би вирішувати.</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Оцінка діючого акта</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uk-UA"/>
              </w:rPr>
            </w:pPr>
            <w:r>
              <w:rPr>
                <w:rFonts w:cs="Times New Roman" w:ascii="Times New Roman" w:hAnsi="Times New Roman"/>
                <w:color w:val="000000"/>
                <w:sz w:val="24"/>
                <w:szCs w:val="24"/>
                <w:lang w:val="uk-UA"/>
              </w:rPr>
              <w:t>Якими є обов’язкові вимоги що повинні виконуватися?</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14"/>
              <w:rPr>
                <w:lang w:val="ru-RU"/>
              </w:rPr>
            </w:pPr>
            <w:r>
              <w:rPr>
                <w:rFonts w:cs="Times New Roman" w:ascii="Times New Roman" w:hAnsi="Times New Roman"/>
                <w:color w:val="000000"/>
                <w:sz w:val="24"/>
                <w:szCs w:val="24"/>
                <w:lang w:val="uk-UA"/>
              </w:rPr>
              <w:t>Приблизна оцінка вартості виконання всіх вимог для одного суб’єкта регулювання.</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6.</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7.</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8.</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9.</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акт чи практика його виконання обмежує конкуренцію іншим методом, не описаним вище?</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10.</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11.</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12.</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13.</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14.</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____</w:t>
            </w:r>
          </w:p>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47"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center"/>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15.</w:t>
            </w:r>
          </w:p>
        </w:tc>
        <w:tc>
          <w:tcPr>
            <w:tcW w:w="4852"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Співвідношення масштабу регуляторного режиму та рівня фактичного вирішення проблеми.</w:t>
            </w:r>
          </w:p>
        </w:tc>
        <w:tc>
          <w:tcPr>
            <w:tcW w:w="441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567"/>
              <w:jc w:val="left"/>
              <w:rPr/>
            </w:pPr>
            <w:r>
              <w:rPr>
                <w:rFonts w:cs="Times New Roman" w:ascii="Times New Roman" w:hAnsi="Times New Roman"/>
                <w:b/>
                <w:sz w:val="24"/>
                <w:szCs w:val="24"/>
                <w:lang w:val="uk-UA"/>
              </w:rPr>
              <w:t>Рекомендації:</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Style36"/>
              <w:widowControl w:val="false"/>
              <w:spacing w:lineRule="auto" w:line="240" w:before="0" w:after="0"/>
              <w:ind w:left="22" w:right="0" w:hanging="0"/>
              <w:contextualSpacing/>
              <w:jc w:val="both"/>
              <w:rPr>
                <w:rFonts w:ascii="Times New Roman" w:hAnsi="Times New Roman" w:cs="Times New Roman"/>
                <w:iCs/>
                <w:sz w:val="24"/>
                <w:szCs w:val="24"/>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6"/>
              <w:widowControl w:val="false"/>
              <w:spacing w:lineRule="auto" w:line="240" w:before="0" w:after="0"/>
              <w:ind w:left="0" w:right="0" w:firstLine="567"/>
              <w:contextualSpacing/>
              <w:jc w:val="both"/>
              <w:rPr/>
            </w:pPr>
            <w:r>
              <w:rPr>
                <w:rFonts w:cs="Times New Roman" w:ascii="Times New Roman" w:hAnsi="Times New Roman"/>
                <w:iCs/>
                <w:color w:val="000000"/>
                <w:sz w:val="24"/>
                <w:szCs w:val="24"/>
              </w:rPr>
              <w:t>• </w:t>
            </w:r>
            <w:r>
              <w:rPr>
                <w:rFonts w:eastAsia="Times New Roman" w:cs="Times New Roman" w:ascii="Times New Roman" w:hAnsi="Times New Roman"/>
                <w:iCs/>
                <w:color w:val="000000"/>
                <w:sz w:val="24"/>
                <w:szCs w:val="24"/>
              </w:rPr>
              <w:t>З</w:t>
            </w:r>
            <w:r>
              <w:rPr>
                <w:rFonts w:cs="Times New Roman" w:ascii="Times New Roman" w:hAnsi="Times New Roman"/>
                <w:iCs/>
                <w:color w:val="000000"/>
                <w:sz w:val="24"/>
                <w:szCs w:val="24"/>
              </w:rPr>
              <w:t>алишити акт без змін.</w:t>
            </w:r>
          </w:p>
          <w:p>
            <w:pPr>
              <w:pStyle w:val="Style36"/>
              <w:widowControl w:val="false"/>
              <w:spacing w:lineRule="auto" w:line="240" w:before="0" w:after="0"/>
              <w:ind w:left="0" w:right="0" w:firstLine="567"/>
              <w:contextualSpacing/>
              <w:jc w:val="both"/>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 xml:space="preserve">Внести зміни до діючого акта </w:t>
            </w:r>
          </w:p>
          <w:p>
            <w:pPr>
              <w:pStyle w:val="Style36"/>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6"/>
              <w:widowControl w:val="false"/>
              <w:spacing w:lineRule="auto" w:line="240" w:before="0" w:after="0"/>
              <w:ind w:left="0" w:right="0" w:firstLine="567"/>
              <w:contextualSpacing/>
              <w:jc w:val="both"/>
              <w:rPr/>
            </w:pPr>
            <w:r>
              <w:rPr>
                <w:rFonts w:cs="Times New Roman" w:ascii="Times New Roman" w:hAnsi="Times New Roman"/>
                <w:b/>
                <w:bCs/>
                <w:iCs/>
                <w:color w:val="000000"/>
                <w:sz w:val="24"/>
                <w:szCs w:val="24"/>
              </w:rPr>
              <w:t>•</w:t>
            </w:r>
            <w:r>
              <w:rPr>
                <w:rFonts w:eastAsia="Times New Roman" w:cs="Times New Roman" w:ascii="Times New Roman" w:hAnsi="Times New Roman"/>
                <w:b/>
                <w:bCs/>
                <w:iCs/>
                <w:color w:val="000000"/>
                <w:sz w:val="24"/>
                <w:szCs w:val="24"/>
              </w:rPr>
              <w:t> </w:t>
            </w:r>
            <w:r>
              <w:rPr>
                <w:rFonts w:cs="Times New Roman" w:ascii="Times New Roman" w:hAnsi="Times New Roman"/>
                <w:b/>
                <w:bCs/>
                <w:iCs/>
                <w:color w:val="000000"/>
                <w:sz w:val="24"/>
                <w:szCs w:val="24"/>
              </w:rPr>
              <w:t>Повністю визнати таким, що втратив чинн</w:t>
            </w:r>
            <w:r>
              <w:rPr>
                <w:rFonts w:cs="Times New Roman" w:ascii="Times New Roman" w:hAnsi="Times New Roman"/>
                <w:b/>
                <w:bCs/>
                <w:iCs/>
                <w:color w:val="000000"/>
                <w:sz w:val="24"/>
                <w:szCs w:val="24"/>
                <w:u w:val="none"/>
              </w:rPr>
              <w:t>ість.</w:t>
            </w:r>
          </w:p>
        </w:tc>
      </w:tr>
      <w:tr>
        <w:trPr/>
        <w:tc>
          <w:tcPr>
            <w:tcW w:w="9810"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uppressAutoHyphens w:val="true"/>
              <w:bidi w:val="0"/>
              <w:spacing w:lineRule="auto" w:line="240" w:before="0" w:after="0"/>
              <w:ind w:left="0" w:right="0" w:firstLine="510"/>
              <w:contextualSpacing/>
              <w:jc w:val="left"/>
              <w:rPr/>
            </w:pPr>
            <w:r>
              <w:rPr>
                <w:rFonts w:cs="Times New Roman" w:ascii="Times New Roman" w:hAnsi="Times New Roman"/>
                <w:b/>
                <w:bCs/>
                <w:sz w:val="24"/>
                <w:szCs w:val="24"/>
                <w:lang w:val="uk-UA"/>
              </w:rPr>
              <w:t>Обґрунтування:</w:t>
            </w:r>
          </w:p>
          <w:p>
            <w:pPr>
              <w:pStyle w:val="Normal"/>
              <w:widowControl w:val="false"/>
              <w:spacing w:lineRule="auto" w:line="240" w:before="0" w:after="0"/>
              <w:ind w:firstLine="510"/>
              <w:contextualSpacing/>
              <w:jc w:val="both"/>
              <w:rPr/>
            </w:pPr>
            <w:r>
              <w:rPr>
                <w:rFonts w:cs="Times New Roman" w:ascii="Times New Roman" w:hAnsi="Times New Roman"/>
                <w:color w:val="000000"/>
                <w:sz w:val="24"/>
                <w:szCs w:val="24"/>
                <w:lang w:val="uk-UA"/>
              </w:rPr>
              <w:t>Норми акта поширюються</w:t>
            </w:r>
            <w:r>
              <w:rPr>
                <w:rFonts w:cs="Times New Roman" w:ascii="Times New Roman" w:hAnsi="Times New Roman"/>
                <w:sz w:val="24"/>
                <w:szCs w:val="24"/>
                <w:lang w:val="uk-UA"/>
              </w:rPr>
              <w:t xml:space="preserve"> на будь - яких суб’єктів господарювання, які є учасниками відносин, на регулювання яких спрямовано цей акт. </w:t>
            </w:r>
            <w:r>
              <w:rPr>
                <w:rFonts w:cs="Times New Roman" w:ascii="Times New Roman" w:hAnsi="Times New Roman"/>
                <w:color w:val="000000"/>
                <w:sz w:val="24"/>
                <w:szCs w:val="24"/>
                <w:lang w:val="uk-UA"/>
              </w:rPr>
              <w:t>Даним рішенням було прийнято обмеження проїзду автомобільного транспорту на територію Державного історико-культурного заповідника в  місті Луцьку (до 200 транспортних засобів за одну годину). Встановлено період :</w:t>
            </w:r>
          </w:p>
          <w:p>
            <w:pPr>
              <w:pStyle w:val="Normal"/>
              <w:widowControl w:val="false"/>
              <w:spacing w:lineRule="auto" w:line="240" w:before="0" w:after="0"/>
              <w:ind w:firstLine="510"/>
              <w:contextualSpacing/>
              <w:jc w:val="both"/>
              <w:rPr>
                <w:lang w:val="ru-RU"/>
              </w:rPr>
            </w:pPr>
            <w:r>
              <w:rPr>
                <w:rFonts w:cs="Times New Roman" w:ascii="Times New Roman" w:hAnsi="Times New Roman"/>
                <w:color w:val="000000"/>
                <w:sz w:val="24"/>
                <w:szCs w:val="24"/>
                <w:lang w:val="uk-UA"/>
              </w:rPr>
              <w:t>- обмеженого проїзду на територію Державного історико-культурного заповідника з 06.00 год. до 16.00 год.;</w:t>
            </w:r>
          </w:p>
          <w:p>
            <w:pPr>
              <w:pStyle w:val="Normal"/>
              <w:widowControl w:val="false"/>
              <w:spacing w:lineRule="auto" w:line="240" w:before="0" w:after="0"/>
              <w:ind w:left="491" w:hanging="0"/>
              <w:contextualSpacing/>
              <w:jc w:val="both"/>
              <w:rPr>
                <w:lang w:val="ru-RU"/>
              </w:rPr>
            </w:pPr>
            <w:r>
              <w:rPr>
                <w:rFonts w:cs="Times New Roman" w:ascii="Times New Roman" w:hAnsi="Times New Roman"/>
                <w:color w:val="000000"/>
                <w:sz w:val="24"/>
                <w:szCs w:val="24"/>
                <w:lang w:val="uk-UA"/>
              </w:rPr>
              <w:t xml:space="preserve">- вільного  проїзду на територію Державного історико-культурного заповідника з </w:t>
            </w:r>
          </w:p>
          <w:p>
            <w:pPr>
              <w:pStyle w:val="Normal"/>
              <w:widowControl w:val="false"/>
              <w:spacing w:lineRule="auto" w:line="240" w:before="0" w:after="0"/>
              <w:contextualSpacing/>
              <w:jc w:val="both"/>
              <w:rPr/>
            </w:pPr>
            <w:r>
              <w:rPr>
                <w:rFonts w:cs="Times New Roman" w:ascii="Times New Roman" w:hAnsi="Times New Roman"/>
                <w:color w:val="000000"/>
                <w:sz w:val="24"/>
                <w:szCs w:val="24"/>
                <w:lang w:val="uk-UA"/>
              </w:rPr>
              <w:t>16.00 год. до 06.00 год.</w:t>
            </w:r>
          </w:p>
          <w:p>
            <w:pPr>
              <w:pStyle w:val="Normal"/>
              <w:widowControl w:val="false"/>
              <w:suppressAutoHyphens w:val="true"/>
              <w:bidi w:val="0"/>
              <w:spacing w:lineRule="auto" w:line="240" w:before="0" w:after="0"/>
              <w:ind w:left="0" w:right="0" w:firstLine="567"/>
              <w:contextualSpacing/>
              <w:jc w:val="both"/>
              <w:rPr/>
            </w:pPr>
            <w:r>
              <w:rPr>
                <w:rFonts w:cs="Times New Roman" w:ascii="Times New Roman" w:hAnsi="Times New Roman"/>
                <w:color w:val="000000"/>
                <w:sz w:val="24"/>
                <w:szCs w:val="24"/>
                <w:lang w:val="uk-UA"/>
              </w:rPr>
              <w:t>Регуляторний акт розповсюджується на суб’єктів господарювання, що здійснюють</w:t>
            </w:r>
          </w:p>
          <w:p>
            <w:pPr>
              <w:pStyle w:val="Normal"/>
              <w:widowControl w:val="false"/>
              <w:suppressAutoHyphens w:val="true"/>
              <w:bidi w:val="0"/>
              <w:spacing w:lineRule="auto" w:line="240" w:before="0" w:after="0"/>
              <w:ind w:left="0" w:right="0" w:hanging="0"/>
              <w:contextualSpacing/>
              <w:jc w:val="both"/>
              <w:rPr/>
            </w:pPr>
            <w:r>
              <w:rPr>
                <w:rFonts w:cs="Times New Roman" w:ascii="Times New Roman" w:hAnsi="Times New Roman"/>
                <w:color w:val="000000"/>
                <w:sz w:val="24"/>
                <w:szCs w:val="24"/>
                <w:lang w:val="uk-UA"/>
              </w:rPr>
              <w:t>свою діяльність в центральній частині міста та передбачає</w:t>
            </w:r>
            <w:r>
              <w:rPr>
                <w:rFonts w:cs="Times New Roman" w:ascii="Times New Roman" w:hAnsi="Times New Roman"/>
                <w:color w:val="000000"/>
                <w:sz w:val="24"/>
                <w:szCs w:val="24"/>
                <w:lang w:val="ru-RU"/>
              </w:rPr>
              <w:t xml:space="preserve"> </w:t>
            </w:r>
            <w:r>
              <w:rPr>
                <w:rFonts w:cs="Times New Roman" w:ascii="Times New Roman" w:hAnsi="Times New Roman"/>
                <w:color w:val="000000"/>
                <w:sz w:val="24"/>
                <w:szCs w:val="24"/>
                <w:lang w:val="uk-UA"/>
              </w:rPr>
              <w:t xml:space="preserve">обмеження проїзду автомобільного транспорту на територію Державного історико-культурного заповідника в місті Луцьку для інших, </w:t>
            </w:r>
            <w:r>
              <w:rPr>
                <w:rFonts w:cs="Times New Roman" w:ascii="Times New Roman" w:hAnsi="Times New Roman"/>
                <w:bCs/>
                <w:color w:val="000000"/>
                <w:sz w:val="24"/>
                <w:szCs w:val="24"/>
                <w:lang w:val="uk-UA"/>
              </w:rPr>
              <w:t xml:space="preserve">з метою </w:t>
            </w:r>
            <w:r>
              <w:rPr>
                <w:rFonts w:cs="Times New Roman" w:ascii="Times New Roman" w:hAnsi="Times New Roman"/>
                <w:color w:val="000000"/>
                <w:sz w:val="24"/>
                <w:szCs w:val="24"/>
                <w:lang w:val="uk-UA"/>
              </w:rPr>
              <w:t xml:space="preserve">впорядкування дорожнього руху </w:t>
            </w:r>
            <w:r>
              <w:rPr>
                <w:rFonts w:cs="Times New Roman" w:ascii="Times New Roman" w:hAnsi="Times New Roman"/>
                <w:bCs/>
                <w:color w:val="000000"/>
                <w:sz w:val="24"/>
                <w:szCs w:val="24"/>
                <w:lang w:val="uk-UA"/>
              </w:rPr>
              <w:t xml:space="preserve">і передбачає </w:t>
            </w:r>
            <w:r>
              <w:rPr>
                <w:rFonts w:cs="Times New Roman" w:ascii="Times New Roman" w:hAnsi="Times New Roman"/>
                <w:color w:val="000000"/>
                <w:sz w:val="24"/>
                <w:szCs w:val="24"/>
                <w:lang w:val="uk-UA"/>
              </w:rPr>
              <w:t>- встановлення системи обмеження руху транспорту та паркомати для сплати вартості утримання майданчиків для паркування.</w:t>
            </w:r>
            <w:r>
              <w:rPr>
                <w:rFonts w:cs="Times New Roman" w:ascii="Times New Roman" w:hAnsi="Times New Roman"/>
                <w:color w:val="000000"/>
                <w:sz w:val="24"/>
                <w:szCs w:val="24"/>
                <w:shd w:fill="FFFFFF" w:val="clear"/>
                <w:lang w:val="uk-UA"/>
              </w:rPr>
              <w:t xml:space="preserve"> </w:t>
            </w:r>
            <w:r>
              <w:rPr>
                <w:rFonts w:cs="Times New Roman" w:ascii="Times New Roman" w:hAnsi="Times New Roman"/>
                <w:sz w:val="24"/>
                <w:szCs w:val="24"/>
                <w:shd w:fill="FFFFFF" w:val="clear"/>
                <w:lang w:val="uk-UA"/>
              </w:rPr>
              <w:t xml:space="preserve">В'їзд, та виїзд із території Державного історико-культурного заповідника автотранспорту суб’єктів господарювання, а також їх контрагентів, згідно впроваджених даним актом норм здійснюється шляхом укладення тристоронніх угод, що передбачають надання спеціального обладнання для реєстрації у системі обліку, </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uk-UA"/>
              </w:rPr>
              <w:t>магнітних перепусток або внесення державного номерного знака транспортного засобу</w:t>
            </w:r>
            <w:r>
              <w:rPr>
                <w:rFonts w:cs="Times New Roman" w:ascii="Times New Roman" w:hAnsi="Times New Roman"/>
                <w:sz w:val="24"/>
                <w:szCs w:val="24"/>
                <w:shd w:fill="FFFFFF" w:val="clear"/>
              </w:rPr>
              <w:t> </w:t>
            </w:r>
            <w:r>
              <w:rPr>
                <w:rFonts w:cs="Times New Roman" w:ascii="Times New Roman" w:hAnsi="Times New Roman"/>
                <w:sz w:val="24"/>
                <w:szCs w:val="24"/>
                <w:shd w:fill="FFFFFF" w:val="clear"/>
                <w:lang w:val="uk-UA"/>
              </w:rPr>
              <w:t xml:space="preserve"> до бази даних системи обмеження руху.</w:t>
            </w:r>
          </w:p>
          <w:p>
            <w:pPr>
              <w:pStyle w:val="Normal"/>
              <w:widowControl w:val="false"/>
              <w:suppressAutoHyphens w:val="true"/>
              <w:bidi w:val="0"/>
              <w:spacing w:lineRule="auto" w:line="240" w:before="0" w:after="0"/>
              <w:ind w:left="0" w:right="0" w:firstLine="510"/>
              <w:contextualSpacing/>
              <w:jc w:val="both"/>
              <w:rPr/>
            </w:pPr>
            <w:r>
              <w:rPr>
                <w:rFonts w:cs="Times New Roman" w:ascii="Times New Roman" w:hAnsi="Times New Roman"/>
                <w:sz w:val="24"/>
                <w:szCs w:val="24"/>
                <w:shd w:fill="FFFFFF" w:val="clear"/>
                <w:lang w:val="uk-UA"/>
              </w:rPr>
              <w:t>Регуляторний акт повністю пройшов регуляторну процедуру відповідно до Закону України “Про засади державної регуляторної політики у сфері господарської діяльності” та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uppressAutoHyphens w:val="true"/>
              <w:bidi w:val="0"/>
              <w:spacing w:lineRule="auto" w:line="240" w:before="0" w:after="0"/>
              <w:ind w:left="0" w:right="0" w:firstLine="510"/>
              <w:contextualSpacing/>
              <w:jc w:val="both"/>
              <w:rPr>
                <w:rFonts w:ascii="Times New Roman" w:hAnsi="Times New Roman" w:cs="Times New Roman"/>
                <w:sz w:val="24"/>
                <w:szCs w:val="24"/>
                <w:highlight w:val="white"/>
                <w:lang w:val="uk-UA"/>
              </w:rPr>
            </w:pPr>
            <w:r>
              <w:rPr>
                <w:rFonts w:cs="Times New Roman" w:ascii="Times New Roman" w:hAnsi="Times New Roman"/>
                <w:sz w:val="24"/>
                <w:szCs w:val="24"/>
                <w:highlight w:val="white"/>
                <w:lang w:val="uk-UA"/>
              </w:rPr>
            </w:r>
          </w:p>
          <w:p>
            <w:pPr>
              <w:pStyle w:val="Normal"/>
              <w:widowControl w:val="false"/>
              <w:suppressAutoHyphens w:val="true"/>
              <w:bidi w:val="0"/>
              <w:spacing w:lineRule="auto" w:line="240" w:before="0" w:after="0"/>
              <w:ind w:left="0" w:right="0" w:firstLine="510"/>
              <w:contextualSpacing/>
              <w:jc w:val="both"/>
              <w:rPr/>
            </w:pPr>
            <w:r>
              <w:rPr>
                <w:rFonts w:eastAsia="Calibri" w:cs="Times New Roman" w:ascii="Times New Roman" w:hAnsi="Times New Roman"/>
                <w:iCs/>
                <w:color w:val="000000"/>
                <w:kern w:val="0"/>
                <w:sz w:val="24"/>
                <w:szCs w:val="24"/>
                <w:lang w:val="uk-UA" w:eastAsia="zh-CN" w:bidi="ar-SA"/>
              </w:rPr>
              <w:t>Під час проведення відстеження результативності дії даного регуляторного акта, виявлено, що</w:t>
            </w:r>
            <w:r>
              <w:rPr>
                <w:rFonts w:cs="Times New Roman" w:ascii="Times New Roman" w:hAnsi="Times New Roman"/>
                <w:sz w:val="24"/>
                <w:szCs w:val="24"/>
                <w:shd w:fill="FFFFFF" w:val="clear"/>
                <w:lang w:val="uk-UA"/>
              </w:rPr>
              <w:t xml:space="preserve"> головних цілей досягнуто не було, а </w:t>
            </w:r>
            <w:r>
              <w:rPr>
                <w:rFonts w:eastAsia="Calibri" w:cs="Times New Roman" w:ascii="Times New Roman" w:hAnsi="Times New Roman"/>
                <w:color w:val="000000"/>
                <w:kern w:val="0"/>
                <w:sz w:val="24"/>
                <w:szCs w:val="24"/>
                <w:shd w:fill="FFFFFF" w:val="clear"/>
                <w:lang w:val="uk-UA" w:eastAsia="zh-CN" w:bidi="ar-SA"/>
              </w:rPr>
              <w:t>саме</w:t>
            </w:r>
            <w:r>
              <w:rPr>
                <w:rFonts w:cs="Times New Roman" w:ascii="Times New Roman" w:hAnsi="Times New Roman"/>
                <w:sz w:val="24"/>
                <w:szCs w:val="24"/>
                <w:shd w:fill="FFFFFF" w:val="clear"/>
                <w:lang w:val="uk-UA"/>
              </w:rPr>
              <w:t>:</w:t>
            </w:r>
          </w:p>
          <w:p>
            <w:pPr>
              <w:pStyle w:val="Normal"/>
              <w:widowControl w:val="false"/>
              <w:suppressAutoHyphens w:val="true"/>
              <w:bidi w:val="0"/>
              <w:spacing w:lineRule="auto" w:line="240" w:before="0" w:after="0"/>
              <w:ind w:left="0" w:right="0" w:firstLine="510"/>
              <w:contextualSpacing/>
              <w:jc w:val="both"/>
              <w:rPr/>
            </w:pPr>
            <w:r>
              <w:rPr>
                <w:rFonts w:cs="Times New Roman" w:ascii="Times New Roman" w:hAnsi="Times New Roman"/>
                <w:sz w:val="24"/>
                <w:szCs w:val="24"/>
                <w:highlight w:val="white"/>
                <w:lang w:val="uk-UA"/>
              </w:rPr>
              <w:t>- </w:t>
            </w:r>
            <w:r>
              <w:rPr>
                <w:rFonts w:cs="Times New Roman" w:ascii="Times New Roman" w:hAnsi="Times New Roman"/>
                <w:sz w:val="24"/>
                <w:szCs w:val="24"/>
                <w:lang w:val="uk-UA"/>
              </w:rPr>
              <w:t>заїзд автомобільного транспорту в історико-культурну частину міста залишається не контрольованим, не відбулося впорядкування заїзду транспортних засобів в історико-культурну частину міста Луцька зменшення</w:t>
            </w:r>
            <w:r>
              <w:rPr>
                <w:rFonts w:cs="Times New Roman" w:ascii="Times New Roman" w:hAnsi="Times New Roman"/>
                <w:bCs/>
                <w:sz w:val="24"/>
                <w:szCs w:val="24"/>
                <w:lang w:val="uk-UA"/>
              </w:rPr>
              <w:t xml:space="preserve"> кількості машин, які унеможливлюють доїзди до будинків</w:t>
            </w:r>
            <w:r>
              <w:rPr>
                <w:rFonts w:cs="Times New Roman" w:ascii="Times New Roman" w:hAnsi="Times New Roman"/>
                <w:sz w:val="24"/>
                <w:szCs w:val="24"/>
                <w:lang w:val="uk-UA"/>
              </w:rPr>
              <w:t>;</w:t>
            </w:r>
          </w:p>
          <w:p>
            <w:pPr>
              <w:pStyle w:val="Normal"/>
              <w:widowControl w:val="false"/>
              <w:suppressAutoHyphens w:val="true"/>
              <w:bidi w:val="0"/>
              <w:spacing w:lineRule="auto" w:line="240" w:before="0" w:after="0"/>
              <w:ind w:left="0" w:right="0" w:firstLine="510"/>
              <w:contextualSpacing/>
              <w:jc w:val="both"/>
              <w:rPr/>
            </w:pPr>
            <w:r>
              <w:rPr>
                <w:rFonts w:cs="Times New Roman" w:ascii="Times New Roman" w:hAnsi="Times New Roman"/>
                <w:sz w:val="24"/>
                <w:szCs w:val="24"/>
                <w:lang w:val="uk-UA"/>
              </w:rPr>
              <w:t>- за період дії не відбувалося поповнення міського бюджету, протягом 2016-2021 років, рівень надходжень до міського бюджету становить - 0,00 грн.</w:t>
            </w:r>
          </w:p>
          <w:p>
            <w:pPr>
              <w:pStyle w:val="Normal"/>
              <w:widowControl w:val="false"/>
              <w:suppressAutoHyphens w:val="true"/>
              <w:bidi w:val="0"/>
              <w:spacing w:lineRule="auto" w:line="240" w:before="0" w:after="0"/>
              <w:ind w:left="0" w:right="0" w:firstLine="510"/>
              <w:contextualSpacing/>
              <w:jc w:val="both"/>
              <w:rPr>
                <w:i/>
                <w:i/>
                <w:iCs/>
              </w:rPr>
            </w:pPr>
            <w:r>
              <w:rPr>
                <w:rFonts w:cs="Times New Roman" w:ascii="Times New Roman" w:hAnsi="Times New Roman"/>
                <w:i/>
                <w:iCs/>
                <w:sz w:val="24"/>
                <w:szCs w:val="24"/>
                <w:lang w:val="ru-RU"/>
              </w:rPr>
              <w:t xml:space="preserve">Можливість досягнення поставлених цілей передбачалося з чіткими умовами встановлення та експлуатації обмежувальних пристроїв, які не було встановлено. На основі викладеного, пропонується </w:t>
            </w:r>
            <w:r>
              <w:rPr>
                <w:rFonts w:cs="Times New Roman" w:ascii="Times New Roman" w:hAnsi="Times New Roman"/>
                <w:bCs/>
                <w:i/>
                <w:iCs/>
                <w:color w:val="000000"/>
                <w:sz w:val="24"/>
                <w:szCs w:val="24"/>
                <w:lang w:val="uk-UA"/>
              </w:rPr>
              <w:t>повністю визнати  рішення таким, що втрат</w:t>
            </w:r>
            <w:r>
              <w:rPr>
                <w:rFonts w:cs="Times New Roman" w:ascii="Times New Roman" w:hAnsi="Times New Roman"/>
                <w:bCs/>
                <w:i/>
                <w:iCs/>
                <w:color w:val="000000"/>
                <w:sz w:val="24"/>
                <w:szCs w:val="24"/>
                <w:lang w:val="uk-UA"/>
              </w:rPr>
              <w:t>ило</w:t>
            </w:r>
            <w:r>
              <w:rPr>
                <w:rFonts w:cs="Times New Roman" w:ascii="Times New Roman" w:hAnsi="Times New Roman"/>
                <w:bCs/>
                <w:i/>
                <w:iCs/>
                <w:color w:val="000000"/>
                <w:sz w:val="24"/>
                <w:szCs w:val="24"/>
                <w:lang w:val="uk-UA"/>
              </w:rPr>
              <w:t xml:space="preserve"> чинність.</w:t>
            </w:r>
          </w:p>
          <w:p>
            <w:pPr>
              <w:pStyle w:val="Normal"/>
              <w:widowControl w:val="false"/>
              <w:suppressAutoHyphens w:val="true"/>
              <w:bidi w:val="0"/>
              <w:spacing w:lineRule="auto" w:line="240" w:before="0" w:after="0"/>
              <w:ind w:left="0" w:right="0" w:firstLine="510"/>
              <w:contextualSpacing/>
              <w:jc w:val="both"/>
              <w:rPr>
                <w:rFonts w:ascii="Times New Roman" w:hAnsi="Times New Roman" w:cs="Times New Roman"/>
                <w:sz w:val="24"/>
                <w:szCs w:val="24"/>
                <w:lang w:val="uk-UA"/>
              </w:rPr>
            </w:pPr>
            <w:r>
              <w:rPr>
                <w:rFonts w:cs="Times New Roman" w:ascii="Times New Roman" w:hAnsi="Times New Roman"/>
                <w:sz w:val="24"/>
                <w:szCs w:val="24"/>
                <w:lang w:val="uk-UA"/>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jc w:val="center"/>
      <w:rPr/>
    </w:pPr>
    <w:r>
      <w:rPr/>
      <w:fldChar w:fldCharType="begin"/>
    </w:r>
    <w:r>
      <w:rPr/>
      <w:instrText> PAGE </w:instrText>
    </w:r>
    <w:r>
      <w:rPr/>
      <w:fldChar w:fldCharType="separate"/>
    </w:r>
    <w:r>
      <w:rPr/>
      <w:t>4</w:t>
    </w:r>
    <w:r>
      <w:rPr/>
      <w:fldChar w:fldCharType="end"/>
    </w:r>
  </w:p>
  <w:p>
    <w:pPr>
      <w:pStyle w:val="Style4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szCs w:val="24"/>
        <w:lang w:val="uk-U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7"/>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sz w:val="24"/>
      <w:szCs w:val="24"/>
      <w:lang w:val="uk-UA"/>
    </w:rPr>
  </w:style>
  <w:style w:type="character" w:styleId="Style13">
    <w:name w:val="Основной шрифт абзаца"/>
    <w:qFormat/>
    <w:rPr/>
  </w:style>
  <w:style w:type="character" w:styleId="2">
    <w:name w:val="Основной шрифт абзаца2"/>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character" w:styleId="Style25">
    <w:name w:val="Виділення"/>
    <w:qFormat/>
    <w:rPr>
      <w:i/>
      <w:iCs/>
    </w:rPr>
  </w:style>
  <w:style w:type="paragraph" w:styleId="Style26">
    <w:name w:val="Заголовок"/>
    <w:basedOn w:val="Normal"/>
    <w:next w:val="Style27"/>
    <w:qFormat/>
    <w:pPr>
      <w:keepNext w:val="true"/>
      <w:spacing w:before="240" w:after="120"/>
    </w:pPr>
    <w:rPr>
      <w:rFonts w:ascii="Liberation Sans" w:hAnsi="Liberation Sans"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Покажчик"/>
    <w:basedOn w:val="Normal"/>
    <w:qFormat/>
    <w:pPr>
      <w:suppressLineNumbers/>
    </w:pPr>
    <w:rPr>
      <w:rFonts w:cs="Arial"/>
    </w:rPr>
  </w:style>
  <w:style w:type="paragraph" w:styleId="12">
    <w:name w:val="Заголовок1"/>
    <w:basedOn w:val="Normal"/>
    <w:next w:val="Style27"/>
    <w:qFormat/>
    <w:pPr>
      <w:keepNext w:val="true"/>
      <w:spacing w:before="240" w:after="120"/>
    </w:pPr>
    <w:rPr>
      <w:rFonts w:ascii="Liberation Sans;Arial" w:hAnsi="Liberation Sans;Arial" w:eastAsia="Microsoft YaHei" w:cs="Arial"/>
      <w:sz w:val="28"/>
      <w:szCs w:val="28"/>
    </w:rPr>
  </w:style>
  <w:style w:type="paragraph" w:styleId="Style31">
    <w:name w:val="Название объекта"/>
    <w:basedOn w:val="Normal"/>
    <w:qFormat/>
    <w:pPr>
      <w:suppressLineNumbers/>
      <w:spacing w:before="120" w:after="120"/>
    </w:pPr>
    <w:rPr>
      <w:rFonts w:cs="Arial"/>
      <w:i/>
      <w:iCs/>
      <w:sz w:val="24"/>
      <w:szCs w:val="24"/>
    </w:rPr>
  </w:style>
  <w:style w:type="paragraph" w:styleId="21">
    <w:name w:val="Название объекта2"/>
    <w:basedOn w:val="Normal"/>
    <w:qFormat/>
    <w:pPr>
      <w:suppressLineNumbers/>
      <w:spacing w:before="120" w:after="120"/>
    </w:pPr>
    <w:rPr>
      <w:rFonts w:cs="Arial"/>
      <w:i/>
      <w:iCs/>
      <w:sz w:val="24"/>
      <w:szCs w:val="24"/>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2">
    <w:name w:val="Текст примітки"/>
    <w:basedOn w:val="Normal"/>
    <w:qFormat/>
    <w:pPr>
      <w:spacing w:lineRule="auto" w:line="240"/>
    </w:pPr>
    <w:rPr>
      <w:sz w:val="20"/>
      <w:szCs w:val="20"/>
      <w:lang w:val="uk-UA"/>
    </w:rPr>
  </w:style>
  <w:style w:type="paragraph" w:styleId="Style33">
    <w:name w:val="Тема примітки"/>
    <w:basedOn w:val="Style32"/>
    <w:next w:val="Style32"/>
    <w:qFormat/>
    <w:pPr/>
    <w:rPr>
      <w:b/>
      <w:bCs/>
      <w:lang w:val="uk-UA"/>
    </w:rPr>
  </w:style>
  <w:style w:type="paragraph" w:styleId="Style34">
    <w:name w:val="Текст у виносці"/>
    <w:basedOn w:val="Normal"/>
    <w:qFormat/>
    <w:pPr>
      <w:spacing w:lineRule="auto" w:line="240" w:before="0" w:after="0"/>
    </w:pPr>
    <w:rPr>
      <w:rFonts w:ascii="Segoe UI" w:hAnsi="Segoe UI" w:cs="Segoe UI"/>
      <w:sz w:val="18"/>
      <w:szCs w:val="18"/>
      <w:lang w:val="uk-UA"/>
    </w:rPr>
  </w:style>
  <w:style w:type="paragraph" w:styleId="Style35">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6">
    <w:name w:val="Абзац списку"/>
    <w:basedOn w:val="Normal"/>
    <w:qFormat/>
    <w:pPr>
      <w:spacing w:lineRule="auto" w:line="276" w:before="0" w:after="200"/>
      <w:ind w:left="720" w:right="0" w:hanging="0"/>
      <w:contextualSpacing/>
    </w:pPr>
    <w:rPr>
      <w:lang w:val="uk-UA"/>
    </w:rPr>
  </w:style>
  <w:style w:type="paragraph" w:styleId="Style37">
    <w:name w:val="Верхній і нижній колонтитули"/>
    <w:basedOn w:val="Normal"/>
    <w:qFormat/>
    <w:pPr/>
    <w:rPr/>
  </w:style>
  <w:style w:type="paragraph" w:styleId="Style38">
    <w:name w:val="Footer"/>
    <w:basedOn w:val="Normal"/>
    <w:pPr>
      <w:spacing w:lineRule="auto" w:line="240" w:before="0" w:after="0"/>
    </w:pPr>
    <w:rPr>
      <w:sz w:val="20"/>
      <w:szCs w:val="20"/>
      <w:lang w:val="uk-UA"/>
    </w:rPr>
  </w:style>
  <w:style w:type="paragraph" w:styleId="Style39">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40">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1">
    <w:name w:val="Header"/>
    <w:basedOn w:val="Normal"/>
    <w:pPr>
      <w:tabs>
        <w:tab w:val="clear" w:pos="720"/>
        <w:tab w:val="center" w:pos="4677" w:leader="none"/>
        <w:tab w:val="right" w:pos="9355" w:leader="none"/>
      </w:tabs>
      <w:spacing w:lineRule="auto" w:line="240" w:before="0" w:after="0"/>
    </w:pPr>
    <w:rPr/>
  </w:style>
  <w:style w:type="paragraph" w:styleId="Style42">
    <w:name w:val="Вміст таблиці"/>
    <w:basedOn w:val="Normal"/>
    <w:qFormat/>
    <w:pPr>
      <w:suppressLineNumbers/>
    </w:pPr>
    <w:rPr/>
  </w:style>
  <w:style w:type="paragraph" w:styleId="Style43">
    <w:name w:val="Заголовок таблиці"/>
    <w:basedOn w:val="Style42"/>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Normal_x005F_x005F_x005F_x005F_x005F_x005F_x005F_x0000_</Template>
  <TotalTime>56</TotalTime>
  <Application>LibreOffice/7.1.3.2$Windows_X86_64 LibreOffice_project/47f78053abe362b9384784d31a6e56f8511eb1c1</Application>
  <AppVersion>15.0000</AppVersion>
  <Pages>4</Pages>
  <Words>1067</Words>
  <Characters>7289</Characters>
  <CharactersWithSpaces>8269</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2021-12-17T16:14:55Z</cp:lastPrinted>
  <dcterms:modified xsi:type="dcterms:W3CDTF">2021-12-17T16:47:30Z</dcterms:modified>
  <cp:revision>19</cp:revision>
  <dc:subject/>
  <dc:title/>
</cp:coreProperties>
</file>