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4565DF" w:rsidRPr="006B7722" w:rsidRDefault="00245621">
      <w:pPr>
        <w:spacing w:after="0" w:line="240" w:lineRule="auto"/>
        <w:ind w:firstLine="851"/>
        <w:jc w:val="right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Додаток  до протоколу</w:t>
      </w:r>
    </w:p>
    <w:p w:rsidR="004565DF" w:rsidRDefault="00245621">
      <w:pPr>
        <w:spacing w:after="0" w:line="240" w:lineRule="auto"/>
        <w:ind w:firstLine="851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від________№_______</w:t>
      </w:r>
    </w:p>
    <w:p w:rsidR="004565DF" w:rsidRDefault="004565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565DF" w:rsidRDefault="002456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Форма паспорту оцінки регуляторного акта</w:t>
      </w:r>
    </w:p>
    <w:p w:rsidR="004565DF" w:rsidRDefault="004565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9975" w:type="dxa"/>
        <w:tblInd w:w="-198" w:type="dxa"/>
        <w:tblLayout w:type="fixed"/>
        <w:tblLook w:val="0000" w:firstRow="0" w:lastRow="0" w:firstColumn="0" w:lastColumn="0" w:noHBand="0" w:noVBand="0"/>
      </w:tblPr>
      <w:tblGrid>
        <w:gridCol w:w="562"/>
        <w:gridCol w:w="5103"/>
        <w:gridCol w:w="4310"/>
      </w:tblGrid>
      <w:tr w:rsidR="004565DF">
        <w:tc>
          <w:tcPr>
            <w:tcW w:w="9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5DF" w:rsidRPr="006B7722" w:rsidRDefault="00245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</w:pPr>
            <w:r w:rsidRPr="006B7722"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  <w:t xml:space="preserve">Найменування органу </w:t>
            </w:r>
            <w:r w:rsidRPr="006B7722"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  <w:t>місцевого самоврядування</w:t>
            </w:r>
          </w:p>
          <w:p w:rsidR="004565DF" w:rsidRDefault="00245621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Луцька міська рада </w:t>
            </w:r>
          </w:p>
          <w:p w:rsidR="004565DF" w:rsidRDefault="004565DF">
            <w:pPr>
              <w:spacing w:after="0" w:line="240" w:lineRule="auto"/>
              <w:ind w:firstLine="851"/>
              <w:jc w:val="center"/>
            </w:pPr>
          </w:p>
        </w:tc>
      </w:tr>
      <w:tr w:rsidR="004565DF" w:rsidRPr="006B7722">
        <w:tc>
          <w:tcPr>
            <w:tcW w:w="9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5DF" w:rsidRPr="006B7722" w:rsidRDefault="00245621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</w:pPr>
            <w:r w:rsidRPr="006B7722"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  <w:t>Назва, дата прийняття та номер акта</w:t>
            </w:r>
          </w:p>
          <w:p w:rsidR="004565DF" w:rsidRDefault="00245621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Рішення виконавчого комітету</w:t>
            </w:r>
          </w:p>
          <w:p w:rsidR="004565DF" w:rsidRDefault="00245621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“Про затвердження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форми тристороннього договору про організацію та обслуговування електронних систем в громадському транспорті ЛМТГ на приміських автобусних маршрутах” від 07.04.2021 № 261-1</w:t>
            </w:r>
          </w:p>
          <w:p w:rsidR="006B7722" w:rsidRPr="006B7722" w:rsidRDefault="006B7722">
            <w:pPr>
              <w:spacing w:after="0" w:line="240" w:lineRule="auto"/>
              <w:ind w:firstLine="851"/>
              <w:jc w:val="center"/>
              <w:rPr>
                <w:lang w:val="ru-RU"/>
              </w:rPr>
            </w:pPr>
          </w:p>
        </w:tc>
      </w:tr>
      <w:tr w:rsidR="004565DF">
        <w:tc>
          <w:tcPr>
            <w:tcW w:w="9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5DF" w:rsidRDefault="00245621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Чи є акт регуляторним</w:t>
            </w:r>
          </w:p>
        </w:tc>
      </w:tr>
      <w:tr w:rsidR="004565DF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7722" w:rsidRDefault="006B77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565DF" w:rsidRDefault="00245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65DF" w:rsidRDefault="002456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Чи є акт обов’язковими для виконання двома та більше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суб’єктами господарювання?</w:t>
            </w:r>
          </w:p>
          <w:p w:rsidR="004565DF" w:rsidRDefault="004565DF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5DF" w:rsidRDefault="00245621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Ні ___</w:t>
            </w:r>
          </w:p>
          <w:p w:rsidR="004565DF" w:rsidRDefault="00245621">
            <w:pPr>
              <w:spacing w:after="0" w:line="240" w:lineRule="auto"/>
              <w:ind w:firstLine="851"/>
              <w:jc w:val="both"/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Так +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</w:p>
        </w:tc>
      </w:tr>
      <w:tr w:rsidR="004565DF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7722" w:rsidRDefault="006B77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B7722" w:rsidRDefault="006B77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565DF" w:rsidRDefault="00245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65DF" w:rsidRDefault="002456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Чи встановлює акт обов’язкові для виконання вимоги (наприклад, вимірювані параметри, вимоги щодо кваліфікаційного рівня, вимоги щодо зовнішнього вигляду тощо)?</w:t>
            </w:r>
          </w:p>
          <w:p w:rsidR="004565DF" w:rsidRDefault="004565DF">
            <w:pPr>
              <w:spacing w:after="0" w:line="240" w:lineRule="auto"/>
              <w:ind w:left="85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5DF" w:rsidRDefault="00245621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Ні ___</w:t>
            </w:r>
          </w:p>
          <w:p w:rsidR="004565DF" w:rsidRDefault="00245621">
            <w:pPr>
              <w:spacing w:after="0" w:line="240" w:lineRule="auto"/>
              <w:ind w:firstLine="851"/>
              <w:jc w:val="both"/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Так +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</w:p>
          <w:p w:rsidR="004565DF" w:rsidRDefault="004565DF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4565DF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65DF" w:rsidRDefault="004565D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B7722" w:rsidRDefault="006B77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B7722" w:rsidRDefault="006B77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565DF" w:rsidRDefault="00245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65DF" w:rsidRDefault="002456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Чи визначає акт механізми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забезпечення дотримання вимог (обов’язок отримання дозволу, погодження або отримання іншої адміністративної послуги, надання підтверджуючого документу, проведення експертизи, здійснення заходів контролю, подання звітності, тощо)?</w:t>
            </w:r>
          </w:p>
          <w:p w:rsidR="004565DF" w:rsidRDefault="004565DF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5DF" w:rsidRDefault="00245621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Ні ___</w:t>
            </w:r>
          </w:p>
          <w:p w:rsidR="004565DF" w:rsidRDefault="00245621">
            <w:pPr>
              <w:spacing w:after="0" w:line="240" w:lineRule="auto"/>
              <w:ind w:firstLine="851"/>
              <w:jc w:val="both"/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Так +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</w:p>
        </w:tc>
      </w:tr>
      <w:tr w:rsidR="004565DF" w:rsidRPr="006B7722">
        <w:trPr>
          <w:trHeight w:val="982"/>
        </w:trPr>
        <w:tc>
          <w:tcPr>
            <w:tcW w:w="9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5DF" w:rsidRDefault="002456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Висн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овок: </w:t>
            </w:r>
          </w:p>
          <w:p w:rsidR="004565DF" w:rsidRDefault="00245621">
            <w:pPr>
              <w:pStyle w:val="af7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акт є регуляторним;</w:t>
            </w:r>
          </w:p>
          <w:p w:rsidR="004565DF" w:rsidRDefault="00245621">
            <w:pPr>
              <w:pStyle w:val="af7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акт не є регуляторним та не потребує подальшого аналізу </w:t>
            </w:r>
          </w:p>
          <w:p w:rsidR="004565DF" w:rsidRDefault="004565DF">
            <w:pPr>
              <w:pStyle w:val="af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5DF" w:rsidRPr="006B7722">
        <w:tc>
          <w:tcPr>
            <w:tcW w:w="9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5DF" w:rsidRDefault="00245621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  <w:lang w:val="uk-UA"/>
              </w:rPr>
              <w:t>Відповідність вимогам актів вищої юридичної сили, а також компетенції відповідного органу</w:t>
            </w:r>
          </w:p>
        </w:tc>
      </w:tr>
      <w:tr w:rsidR="004565DF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65DF" w:rsidRDefault="004565DF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565DF" w:rsidRDefault="00245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65DF" w:rsidRDefault="002456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Чи відповідає акт вимогам актів вищої юридичної сили?</w:t>
            </w:r>
          </w:p>
          <w:p w:rsidR="004565DF" w:rsidRDefault="004565DF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5DF" w:rsidRDefault="00245621">
            <w:pPr>
              <w:spacing w:after="0" w:line="240" w:lineRule="auto"/>
              <w:ind w:firstLine="851"/>
              <w:jc w:val="both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Т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ак+</w:t>
            </w:r>
          </w:p>
          <w:p w:rsidR="004565DF" w:rsidRDefault="004565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4565DF" w:rsidRDefault="00245621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Ні___ </w:t>
            </w:r>
          </w:p>
        </w:tc>
      </w:tr>
      <w:tr w:rsidR="004565DF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65DF" w:rsidRDefault="00245621">
            <w:pPr>
              <w:tabs>
                <w:tab w:val="right" w:pos="252"/>
                <w:tab w:val="center" w:pos="551"/>
              </w:tabs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  <w:t>2.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65DF" w:rsidRDefault="002456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Чи акт був прийнятий в межах компетенції органу?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5DF" w:rsidRDefault="00245621">
            <w:pPr>
              <w:spacing w:after="0" w:line="240" w:lineRule="auto"/>
              <w:ind w:firstLine="851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Так + </w:t>
            </w:r>
          </w:p>
          <w:p w:rsidR="004565DF" w:rsidRDefault="00245621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Ні ___ </w:t>
            </w:r>
          </w:p>
          <w:p w:rsidR="004565DF" w:rsidRDefault="004565DF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4565DF" w:rsidRPr="006B7722">
        <w:tc>
          <w:tcPr>
            <w:tcW w:w="9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5DF" w:rsidRDefault="00245621">
            <w:pPr>
              <w:spacing w:after="0" w:line="240" w:lineRule="auto"/>
              <w:ind w:firstLine="851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uk-UA"/>
              </w:rPr>
              <w:t>У разі, якщо виявлено невідповідність хоча б одному із зазначених критеріїв подальші розділи паспорту не заповнюються (за винятком розділу «Рекомендації» у якому наводиться відповідне обґрун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uk-UA"/>
              </w:rPr>
              <w:t>тування).</w:t>
            </w:r>
          </w:p>
        </w:tc>
      </w:tr>
      <w:tr w:rsidR="004565DF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7722" w:rsidRDefault="006B77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565DF" w:rsidRDefault="00245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65DF" w:rsidRDefault="002456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Чи були дотримані вимоги законодавства щодо процедури прийняття регуляторних актів?</w:t>
            </w:r>
          </w:p>
          <w:p w:rsidR="004565DF" w:rsidRDefault="004565DF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5DF" w:rsidRDefault="00245621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Так + </w:t>
            </w:r>
          </w:p>
          <w:p w:rsidR="004565DF" w:rsidRDefault="00245621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Ні ___ </w:t>
            </w:r>
          </w:p>
        </w:tc>
      </w:tr>
      <w:tr w:rsidR="004565DF">
        <w:tc>
          <w:tcPr>
            <w:tcW w:w="9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5DF" w:rsidRDefault="00245621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uk-UA"/>
              </w:rPr>
              <w:lastRenderedPageBreak/>
              <w:t xml:space="preserve">У разі, якщо виявлено невідповідність цьому критерію, продовжується заповнення наступних розділів паспорту, а у розділі «Рекомендації», за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uk-UA"/>
              </w:rPr>
              <w:t>умови доцільності даного регулювання, зазначається про необхідність визнати цей акт таким, що потребує втрати чинності з одночасним розробленням нового регулювання з дотриманням всіх необхідних регуляторних процедур.</w:t>
            </w:r>
          </w:p>
          <w:p w:rsidR="004565DF" w:rsidRDefault="004565DF">
            <w:pPr>
              <w:spacing w:after="0" w:line="240" w:lineRule="auto"/>
              <w:ind w:firstLine="851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uk-UA"/>
              </w:rPr>
            </w:pPr>
          </w:p>
        </w:tc>
      </w:tr>
      <w:tr w:rsidR="004565DF" w:rsidRPr="006B7722">
        <w:tc>
          <w:tcPr>
            <w:tcW w:w="9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5DF" w:rsidRDefault="002456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Визначення мети (цілі) акта органу 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проблеми, яку цей акт мав би вирішувати</w:t>
            </w:r>
          </w:p>
        </w:tc>
      </w:tr>
      <w:tr w:rsidR="004565DF" w:rsidRPr="006B772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7722" w:rsidRDefault="006B77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565DF" w:rsidRDefault="00245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65DF" w:rsidRDefault="002456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Існуюче формулювання мети акта.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5DF" w:rsidRDefault="002456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Формулювання відсутнє ___</w:t>
            </w:r>
          </w:p>
          <w:p w:rsidR="004565DF" w:rsidRDefault="002456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(робиться позначка)</w:t>
            </w:r>
          </w:p>
          <w:p w:rsidR="004565DF" w:rsidRDefault="002456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або наводиться існуюче формулювання</w:t>
            </w:r>
          </w:p>
          <w:p w:rsidR="004565DF" w:rsidRDefault="004565DF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4565DF" w:rsidRPr="006B7722">
        <w:trPr>
          <w:trHeight w:val="86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7722" w:rsidRDefault="006B77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565DF" w:rsidRDefault="00245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65DF" w:rsidRDefault="002456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Визначення мети акта за суб’єктивними чинниками.</w:t>
            </w:r>
          </w:p>
          <w:p w:rsidR="004565DF" w:rsidRDefault="00456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5DF" w:rsidRDefault="004565DF">
            <w:pPr>
              <w:snapToGrid w:val="0"/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4565DF" w:rsidRPr="006B772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65DF" w:rsidRDefault="004565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565DF" w:rsidRDefault="00245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65DF" w:rsidRDefault="002456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Визначення проблем, які акт повинен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був би вирішувати.</w:t>
            </w:r>
          </w:p>
          <w:p w:rsidR="004565DF" w:rsidRDefault="00456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565DF" w:rsidRDefault="00456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565DF" w:rsidRDefault="00456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5DF" w:rsidRDefault="004565DF">
            <w:pPr>
              <w:snapToGrid w:val="0"/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4565DF">
        <w:tc>
          <w:tcPr>
            <w:tcW w:w="9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5DF" w:rsidRDefault="00245621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Оцінка діючого акта</w:t>
            </w:r>
          </w:p>
        </w:tc>
      </w:tr>
      <w:tr w:rsidR="004565DF" w:rsidRPr="006B772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65DF" w:rsidRDefault="004565D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565DF" w:rsidRDefault="00245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65DF" w:rsidRDefault="002456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Хто є суб’єктами цього регулювання, скільки цих суб’єктів приблизно є?</w:t>
            </w:r>
          </w:p>
          <w:p w:rsidR="004565DF" w:rsidRDefault="004565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5DF" w:rsidRDefault="004565DF">
            <w:pPr>
              <w:snapToGrid w:val="0"/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4565DF" w:rsidRPr="006B772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65DF" w:rsidRDefault="004565D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565DF" w:rsidRDefault="00245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65DF" w:rsidRDefault="002456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Якими є обов’язкові вимоги що повинні виконуватися?</w:t>
            </w:r>
          </w:p>
          <w:p w:rsidR="004565DF" w:rsidRDefault="004565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5DF" w:rsidRDefault="004565DF">
            <w:pPr>
              <w:snapToGrid w:val="0"/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4565DF" w:rsidRPr="006B772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65DF" w:rsidRDefault="00245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65DF" w:rsidRDefault="002456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Які регуляторні інструменти використовуються (отримання дозволу, подача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звітності, проведення заході контролю тощо)?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5DF" w:rsidRDefault="004565DF">
            <w:pPr>
              <w:snapToGrid w:val="0"/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4565DF" w:rsidRPr="006B772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65DF" w:rsidRDefault="00245621">
            <w:pPr>
              <w:tabs>
                <w:tab w:val="right" w:pos="252"/>
                <w:tab w:val="center" w:pos="5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65DF" w:rsidRDefault="00245621">
            <w:pPr>
              <w:spacing w:after="0" w:line="240" w:lineRule="auto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Приблизна оцінка вартості виконання всіх вимог для одного суб’єкта регулювання.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5DF" w:rsidRDefault="004565DF">
            <w:pPr>
              <w:snapToGrid w:val="0"/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4565DF" w:rsidRPr="006B772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65DF" w:rsidRDefault="00245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65DF" w:rsidRDefault="002456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Скільки коштує адміністрування цього регулювання органом влади або місцевого самоврядування (затрати робочого часу на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видачу дозволів, погодження та перевірки)?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5DF" w:rsidRDefault="004565DF">
            <w:pPr>
              <w:snapToGrid w:val="0"/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4565DF" w:rsidRPr="006B772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65DF" w:rsidRDefault="00245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65DF" w:rsidRDefault="002456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Чи акт повністю забороняє, обмежує через квоти, зонування, дозвільну систему високі тарифи певні сектори чи види підприємницької діяльності (наприклад мобільні кав’ярні, мобільні заклади харчування, квартири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 надаються послуги тимчасового розміщення, послуги гідів, перевізників, переносну торгівлю, тощо)?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5DF" w:rsidRDefault="00245621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Ні ____</w:t>
            </w:r>
          </w:p>
          <w:p w:rsidR="004565DF" w:rsidRDefault="00245621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Так ___ (пояснення наводиться у обґрунтуванні розділу «Рекомендації»)</w:t>
            </w:r>
          </w:p>
        </w:tc>
      </w:tr>
      <w:tr w:rsidR="004565DF" w:rsidRPr="006B772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7722" w:rsidRDefault="006B77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565DF" w:rsidRDefault="00245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65DF" w:rsidRDefault="002456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Чи акт встановлює вимогу обов’язкової послуги що повинна надаватись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окремими суб’єктами господарювання (комунальними підприємствами, установами тощо) у сферах, де такі послуги можуть надаватись приватними підприємствами в умовах вільного ринку?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5DF" w:rsidRDefault="00245621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Ні ____</w:t>
            </w:r>
          </w:p>
          <w:p w:rsidR="004565DF" w:rsidRDefault="00245621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Так ___ (пояснення наводиться у обґрунтуванні розділу «Рекомендації»)</w:t>
            </w:r>
          </w:p>
        </w:tc>
      </w:tr>
      <w:tr w:rsidR="004565DF" w:rsidRPr="006B772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7722" w:rsidRDefault="006B77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B7722" w:rsidRDefault="006B77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565DF" w:rsidRDefault="00245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="006B77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65DF" w:rsidRDefault="002456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Чи акт встановлює вимоги які настроєні під діючі підприємства у тій чи іншій сферах, чи дискримінує підприємства за розміром (строку діяльності кількість працівників, використання комунальної послуги, довготривалі договори оренди, розмір матеріальних акт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ивів тощо)?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5DF" w:rsidRDefault="00245621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Ні ____</w:t>
            </w:r>
          </w:p>
          <w:p w:rsidR="004565DF" w:rsidRDefault="00245621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Так ___ (пояснення наводиться у обґрунтуванні розділу «Рекомендації»)</w:t>
            </w:r>
          </w:p>
        </w:tc>
      </w:tr>
      <w:tr w:rsidR="004565DF" w:rsidRPr="006B772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65DF" w:rsidRDefault="004565D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565DF" w:rsidRDefault="00245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 w:rsidR="006B77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65DF" w:rsidRDefault="002456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Чи акт чи практика його виконання обмежує конкуренцію іншим методом, не описаним вище?</w:t>
            </w:r>
          </w:p>
          <w:p w:rsidR="004565DF" w:rsidRDefault="004565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5DF" w:rsidRDefault="00245621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Ні ____</w:t>
            </w:r>
          </w:p>
          <w:p w:rsidR="004565DF" w:rsidRDefault="00245621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Так ___ (пояснення наводиться у обґрунтуванні розділу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«Рекомендації»)</w:t>
            </w:r>
          </w:p>
        </w:tc>
      </w:tr>
      <w:tr w:rsidR="004565DF" w:rsidRPr="006B772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65DF" w:rsidRDefault="00245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65DF" w:rsidRDefault="002456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Чи акт визначає процедуру за якою індивідуальні рішення що стосуються суб’єктів господарювання (про видачу дозволу, погодження, іншого документу) приймається колегіально?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5DF" w:rsidRDefault="00245621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Ні ____</w:t>
            </w:r>
          </w:p>
          <w:p w:rsidR="004565DF" w:rsidRDefault="00245621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Так ___ (пояснення наводиться у обґрунтуванні розділу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«Рекомендації»)</w:t>
            </w:r>
          </w:p>
          <w:p w:rsidR="004565DF" w:rsidRDefault="004565DF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4565DF" w:rsidRPr="006B772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7722" w:rsidRDefault="006B77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B7722" w:rsidRDefault="006B77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565DF" w:rsidRDefault="00245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65DF" w:rsidRDefault="002456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Чи акт встановлює процедуру, за якою індивідуальні рішення що стосуються суб’єктів господарювання приймаються посадовими особами без чіткого та вичерпного переліку критеріїв для прийняття таких рішень (можливість прийняття дискретних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волюнтаристських рішень)?</w:t>
            </w:r>
          </w:p>
          <w:p w:rsidR="004565DF" w:rsidRDefault="004565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5DF" w:rsidRDefault="00245621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Ні ____</w:t>
            </w:r>
          </w:p>
          <w:p w:rsidR="004565DF" w:rsidRDefault="00245621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Так ___ (пояснення наводиться у обґрунтуванні розділу «Рекомендації»)</w:t>
            </w:r>
          </w:p>
        </w:tc>
      </w:tr>
      <w:tr w:rsidR="004565DF" w:rsidRPr="006B772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7722" w:rsidRDefault="006B77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B7722" w:rsidRDefault="006B77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565DF" w:rsidRDefault="00245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65DF" w:rsidRDefault="002456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Чи акт делегує виконання регуляторної функції чи її частини (включно з наданням обов’язкових послуг) певному суб’єкту господарювання (комунальному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підприємству, установі, тощо)?</w:t>
            </w:r>
          </w:p>
          <w:p w:rsidR="004565DF" w:rsidRDefault="004565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5DF" w:rsidRDefault="00245621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Ні ____</w:t>
            </w:r>
          </w:p>
          <w:p w:rsidR="004565DF" w:rsidRDefault="00245621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Так ___ (пояснення наводиться у обґрунтуванні розділу «Рекомендації»)</w:t>
            </w:r>
          </w:p>
        </w:tc>
      </w:tr>
      <w:tr w:rsidR="004565DF" w:rsidRPr="006B772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65DF" w:rsidRDefault="00245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65DF" w:rsidRDefault="002456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Чи акт вимагає придбання обладнання товарів чи послуг певного зразка чи у певних суб’єктів господарювання?</w:t>
            </w:r>
          </w:p>
          <w:p w:rsidR="004565DF" w:rsidRDefault="004565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5DF" w:rsidRDefault="00245621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Ні ____</w:t>
            </w:r>
          </w:p>
          <w:p w:rsidR="004565DF" w:rsidRDefault="00245621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Так ___ (пояснення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наводиться у обґрунтуванні розділу «Рекомендації»)</w:t>
            </w:r>
          </w:p>
        </w:tc>
      </w:tr>
      <w:tr w:rsidR="004565DF" w:rsidRPr="006B772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65DF" w:rsidRDefault="00245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65DF" w:rsidRDefault="002456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Чи акт чи практика його призводить до збільшення корупційних можливостей іншими методами не описаним вище?</w:t>
            </w:r>
          </w:p>
          <w:p w:rsidR="004565DF" w:rsidRDefault="004565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5DF" w:rsidRDefault="00245621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Ні ____</w:t>
            </w:r>
          </w:p>
          <w:p w:rsidR="004565DF" w:rsidRDefault="00245621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Так ___ (пояснення наводиться у обґрунтуванні розділу «Рекомендації»)</w:t>
            </w:r>
          </w:p>
        </w:tc>
      </w:tr>
      <w:tr w:rsidR="004565DF" w:rsidRPr="006B772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65DF" w:rsidRDefault="00245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65DF" w:rsidRDefault="002456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Співвідношення масштабу регуляторного режиму та рівня фактичного вирішення проблеми.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5DF" w:rsidRDefault="004565DF">
            <w:pPr>
              <w:snapToGrid w:val="0"/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4565DF">
        <w:tc>
          <w:tcPr>
            <w:tcW w:w="9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5DF" w:rsidRDefault="00245621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Рекомендації</w:t>
            </w:r>
          </w:p>
        </w:tc>
      </w:tr>
      <w:tr w:rsidR="004565DF" w:rsidRPr="006B7722">
        <w:tc>
          <w:tcPr>
            <w:tcW w:w="9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5DF" w:rsidRDefault="00245621">
            <w:pPr>
              <w:pStyle w:val="af7"/>
              <w:spacing w:after="0" w:line="240" w:lineRule="auto"/>
              <w:ind w:left="22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       Зазначається один з наступних варіантів:</w:t>
            </w:r>
          </w:p>
          <w:p w:rsidR="004565DF" w:rsidRDefault="00245621">
            <w:pPr>
              <w:pStyle w:val="af7"/>
              <w:spacing w:after="0" w:line="240" w:lineRule="auto"/>
              <w:ind w:left="0" w:firstLine="567"/>
            </w:pPr>
            <w:r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•</w:t>
            </w:r>
            <w:r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Залишити акт без змін.</w:t>
            </w:r>
          </w:p>
          <w:p w:rsidR="004565DF" w:rsidRDefault="00245621">
            <w:pPr>
              <w:pStyle w:val="af7"/>
              <w:spacing w:after="0" w:line="240" w:lineRule="auto"/>
              <w:ind w:left="0" w:firstLine="567"/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•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Внести зміни до діючого акта в частині приєднання сільських територій до міста</w:t>
            </w:r>
          </w:p>
          <w:p w:rsidR="004565DF" w:rsidRDefault="00245621">
            <w:pPr>
              <w:pStyle w:val="af7"/>
              <w:spacing w:after="0" w:line="240" w:lineRule="auto"/>
              <w:ind w:left="0" w:firstLine="567"/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•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Визнати таким, що втратив чинність, діючий акт та прийняти новий із дотриманням вимогам законодавства щодо змісту акта та процедури його прийняття.</w:t>
            </w:r>
          </w:p>
          <w:p w:rsidR="004565DF" w:rsidRDefault="00245621">
            <w:pPr>
              <w:pStyle w:val="af7"/>
              <w:spacing w:after="0" w:line="240" w:lineRule="auto"/>
              <w:ind w:left="0" w:firstLine="56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•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Повністю визнати таким, що втратив чинні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сть.</w:t>
            </w:r>
          </w:p>
          <w:p w:rsidR="006B7722" w:rsidRDefault="006B7722">
            <w:pPr>
              <w:pStyle w:val="af7"/>
              <w:spacing w:after="0" w:line="240" w:lineRule="auto"/>
              <w:ind w:left="0" w:firstLine="567"/>
            </w:pPr>
          </w:p>
          <w:p w:rsidR="004565DF" w:rsidRDefault="004565DF">
            <w:pPr>
              <w:pStyle w:val="af7"/>
              <w:spacing w:after="0" w:line="240" w:lineRule="auto"/>
              <w:ind w:left="0" w:firstLine="567"/>
              <w:rPr>
                <w:rFonts w:ascii="Times New Roman" w:hAnsi="Times New Roman" w:cs="Times New Roman"/>
                <w:iCs/>
                <w:sz w:val="24"/>
                <w:szCs w:val="24"/>
                <w:u w:val="single"/>
              </w:rPr>
            </w:pPr>
          </w:p>
        </w:tc>
      </w:tr>
      <w:tr w:rsidR="004565DF" w:rsidRPr="006B7722">
        <w:tc>
          <w:tcPr>
            <w:tcW w:w="9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5DF" w:rsidRPr="006B7722" w:rsidRDefault="006B7722" w:rsidP="006B7722">
            <w:pPr>
              <w:spacing w:after="0" w:line="240" w:lineRule="auto"/>
              <w:ind w:left="1080" w:hanging="564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 </w:t>
            </w:r>
            <w:r w:rsidR="00245621" w:rsidRPr="006B772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Обґрунтування</w:t>
            </w:r>
          </w:p>
          <w:p w:rsidR="004565DF" w:rsidRDefault="00245621" w:rsidP="006B7722">
            <w:pPr>
              <w:spacing w:after="0" w:line="240" w:lineRule="auto"/>
              <w:ind w:firstLine="570"/>
              <w:jc w:val="both"/>
              <w:rPr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Норми акта поширюються на будь - яких  суб’єктів господарювання, які є учасниками відносин, на регулювання яких спрямовано цей акт</w:t>
            </w:r>
            <w:r w:rsidRPr="006B772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  <w:r w:rsidR="006B772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Метою прийняття рішення була організація справляння плати за проїзд в громадському транспорті Луцької міської територіальної громади.</w:t>
            </w:r>
          </w:p>
          <w:p w:rsidR="004565DF" w:rsidRDefault="00245621" w:rsidP="006B7722">
            <w:pPr>
              <w:spacing w:after="0" w:line="240" w:lineRule="auto"/>
              <w:ind w:firstLine="570"/>
              <w:jc w:val="both"/>
              <w:rPr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Предметом дого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вору є впровадження Оператором автоматизованої системи обліку оплати проїзду </w:t>
            </w:r>
            <w:r w:rsidR="006B772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(АСООП)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на пасажирському транспорті (тролейбус, автобус) </w:t>
            </w: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uk-UA"/>
              </w:rPr>
              <w:t>міської  територіальної громади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</w:p>
          <w:p w:rsidR="004565DF" w:rsidRPr="006B7722" w:rsidRDefault="00245621" w:rsidP="006B7722">
            <w:pPr>
              <w:spacing w:after="0" w:line="240" w:lineRule="auto"/>
              <w:ind w:firstLine="570"/>
              <w:contextualSpacing/>
              <w:jc w:val="both"/>
              <w:rPr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Рішення розроблено відповідно до законів України “Про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місцеве самоврядування в Україні”, “Про автомобільний транспорт”, </w:t>
            </w:r>
            <w:r w:rsidR="006B772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Правил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надання послуг пасажирського автомобільного транспорту, затвердженими постановою Кабінету Міністрів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України </w:t>
            </w:r>
            <w:r>
              <w:rPr>
                <w:rStyle w:val="rvts44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від 18.02.1997 № 176</w:t>
            </w:r>
            <w:r>
              <w:rPr>
                <w:rStyle w:val="rvts44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>.</w:t>
            </w:r>
          </w:p>
          <w:p w:rsidR="004565DF" w:rsidRDefault="00245621" w:rsidP="006B7722">
            <w:pPr>
              <w:spacing w:after="0" w:line="240" w:lineRule="auto"/>
              <w:ind w:firstLine="570"/>
              <w:contextualSpacing/>
              <w:jc w:val="both"/>
              <w:rPr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Рішення визначає механізми забезпечення дотримання вимог організатора перевезень та перевізника (п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риймати необхідні рішення про введення в дію та належне функціонування АСООП та інших електронних систем в громадському транспорті </w:t>
            </w: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  <w:lang w:val="uk-UA"/>
              </w:rPr>
              <w:t>міської  територіальної громади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у в</w:t>
            </w:r>
            <w:r w:rsidR="006B77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ідповідності до вимог законодавства, конт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ролювати неухильне дотримання Сторонами До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говору вимог законодавчих та інших нормативно-правових актів щодо перевезень пасаж</w:t>
            </w:r>
            <w:r w:rsidR="006B77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ирів та щодо функціонування АСООП, сп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ільно з Оператором встановлювати зовнішній вигляд та інші істотні вимоги до електронних квитків, робочих електронних квитків для водіїв, 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онтролерів, проводити аналіз роботи громадського транспорту на основі даних з АСООП та системи GPS-монітори</w:t>
            </w:r>
            <w:r w:rsidR="006B772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нгу громадсько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го транспорту тощо</w:t>
            </w:r>
            <w:bookmarkStart w:id="0" w:name="_GoBack"/>
            <w:bookmarkEnd w:id="0"/>
            <w:r w:rsidR="006B7722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).</w:t>
            </w:r>
          </w:p>
          <w:p w:rsidR="004565DF" w:rsidRDefault="006B7722" w:rsidP="006B7722">
            <w:pPr>
              <w:tabs>
                <w:tab w:val="left" w:pos="0"/>
              </w:tabs>
              <w:spacing w:after="0" w:line="240" w:lineRule="auto"/>
              <w:ind w:firstLine="57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00"/>
                <w:lang w:val="uk-UA"/>
              </w:rPr>
            </w:pPr>
            <w:bookmarkStart w:id="1" w:name="__DdeLink__324_2529035838"/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  <w:lang w:val="uk-UA"/>
              </w:rPr>
              <w:t>Регуляторний акт пройшов повністю регуляторну процедуру відповідно до Закону України “Про засади державної регуляторної політики у сфері господарської діяльності”. Відповідає ст. 19. Конституції України (органи державної влади та органи місцевого самоврядування, їх посадові особи зобов’язані діяти лише на підставі, в межах повноважень та у спосіб, що передбачено Конституцією та законами України).</w:t>
            </w:r>
            <w:bookmarkEnd w:id="1"/>
          </w:p>
        </w:tc>
      </w:tr>
    </w:tbl>
    <w:p w:rsidR="004565DF" w:rsidRDefault="004565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565DF" w:rsidRPr="006B7722" w:rsidRDefault="004565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4565DF" w:rsidRPr="006B7722">
      <w:headerReference w:type="default" r:id="rId7"/>
      <w:headerReference w:type="first" r:id="rId8"/>
      <w:pgSz w:w="12240" w:h="15840"/>
      <w:pgMar w:top="851" w:right="850" w:bottom="851" w:left="1701" w:header="708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245621">
      <w:pPr>
        <w:spacing w:after="0" w:line="240" w:lineRule="auto"/>
      </w:pPr>
      <w:r>
        <w:separator/>
      </w:r>
    </w:p>
  </w:endnote>
  <w:endnote w:type="continuationSeparator" w:id="0">
    <w:p w:rsidR="00000000" w:rsidRDefault="002456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;Century Gothic">
    <w:panose1 w:val="00000000000000000000"/>
    <w:charset w:val="00"/>
    <w:family w:val="roman"/>
    <w:notTrueType/>
    <w:pitch w:val="default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245621">
      <w:pPr>
        <w:spacing w:after="0" w:line="240" w:lineRule="auto"/>
      </w:pPr>
      <w:r>
        <w:separator/>
      </w:r>
    </w:p>
  </w:footnote>
  <w:footnote w:type="continuationSeparator" w:id="0">
    <w:p w:rsidR="00000000" w:rsidRDefault="002456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65DF" w:rsidRDefault="00245621">
    <w:pPr>
      <w:pStyle w:val="afc"/>
      <w:jc w:val="center"/>
    </w:pPr>
    <w:r>
      <w:fldChar w:fldCharType="begin"/>
    </w:r>
    <w:r>
      <w:instrText>PAGE</w:instrText>
    </w:r>
    <w:r>
      <w:fldChar w:fldCharType="separate"/>
    </w:r>
    <w:r>
      <w:rPr>
        <w:noProof/>
      </w:rPr>
      <w:t>4</w:t>
    </w:r>
    <w:r>
      <w:fldChar w:fldCharType="end"/>
    </w:r>
  </w:p>
  <w:p w:rsidR="004565DF" w:rsidRDefault="004565DF">
    <w:pPr>
      <w:pStyle w:val="afc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65DF" w:rsidRDefault="004565DF">
    <w:pPr>
      <w:pStyle w:val="af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587DA1"/>
    <w:multiLevelType w:val="multilevel"/>
    <w:tmpl w:val="B08A1FC8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4FD6DEE"/>
    <w:multiLevelType w:val="multilevel"/>
    <w:tmpl w:val="1604EF2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5DF"/>
    <w:rsid w:val="00245621"/>
    <w:rsid w:val="004565DF"/>
    <w:rsid w:val="006B7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BAE31"/>
  <w15:docId w15:val="{7AFFD7B6-F405-4A68-829E-90E091040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Arial Unicode MS"/>
        <w:sz w:val="24"/>
        <w:szCs w:val="24"/>
        <w:lang w:val="uk-UA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2" w:lineRule="auto"/>
    </w:pPr>
    <w:rPr>
      <w:rFonts w:ascii="Calibri" w:eastAsia="Calibri" w:hAnsi="Calibri" w:cs="Calibri"/>
      <w:sz w:val="22"/>
      <w:szCs w:val="22"/>
      <w:lang w:val="en-US" w:bidi="ar-SA"/>
    </w:rPr>
  </w:style>
  <w:style w:type="paragraph" w:styleId="3">
    <w:name w:val="heading 3"/>
    <w:basedOn w:val="a"/>
    <w:next w:val="a0"/>
    <w:qFormat/>
    <w:pPr>
      <w:numPr>
        <w:ilvl w:val="2"/>
        <w:numId w:val="1"/>
      </w:numPr>
      <w:spacing w:before="280" w:after="280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Cambria" w:hAnsi="Cambria" w:cs="Times New Roman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4z0">
    <w:name w:val="WW8Num4z0"/>
    <w:qFormat/>
    <w:rPr>
      <w:rFonts w:cs="Times New Roman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a4">
    <w:name w:val="Шрифт абзацу за замовчуванням"/>
    <w:qFormat/>
  </w:style>
  <w:style w:type="character" w:customStyle="1" w:styleId="a5">
    <w:name w:val="Знак примітки"/>
    <w:qFormat/>
    <w:rPr>
      <w:sz w:val="16"/>
      <w:szCs w:val="16"/>
    </w:rPr>
  </w:style>
  <w:style w:type="character" w:customStyle="1" w:styleId="a6">
    <w:name w:val="Текст примітки Знак"/>
    <w:qFormat/>
    <w:rPr>
      <w:sz w:val="20"/>
      <w:szCs w:val="20"/>
    </w:rPr>
  </w:style>
  <w:style w:type="character" w:customStyle="1" w:styleId="a7">
    <w:name w:val="Тема примітки Знак"/>
    <w:qFormat/>
    <w:rPr>
      <w:b/>
      <w:bCs/>
      <w:sz w:val="20"/>
      <w:szCs w:val="20"/>
    </w:rPr>
  </w:style>
  <w:style w:type="character" w:customStyle="1" w:styleId="a8">
    <w:name w:val="Текст у виносці Знак"/>
    <w:qFormat/>
    <w:rPr>
      <w:rFonts w:ascii="Segoe UI" w:hAnsi="Segoe UI" w:cs="Segoe UI"/>
      <w:sz w:val="18"/>
      <w:szCs w:val="18"/>
    </w:rPr>
  </w:style>
  <w:style w:type="character" w:customStyle="1" w:styleId="a9">
    <w:name w:val="Нормальний текст Знак"/>
    <w:qFormat/>
    <w:rPr>
      <w:rFonts w:ascii="Antiqua;Century Gothic" w:hAnsi="Antiqua;Century Gothic" w:cs="Antiqua;Century Gothic"/>
      <w:sz w:val="26"/>
      <w:szCs w:val="20"/>
    </w:rPr>
  </w:style>
  <w:style w:type="character" w:customStyle="1" w:styleId="rvts9">
    <w:name w:val="rvts9"/>
    <w:qFormat/>
    <w:rPr>
      <w:rFonts w:ascii="Times New Roman" w:hAnsi="Times New Roman" w:cs="Times New Roman"/>
    </w:rPr>
  </w:style>
  <w:style w:type="character" w:customStyle="1" w:styleId="rvts23">
    <w:name w:val="rvts23"/>
    <w:qFormat/>
    <w:rPr>
      <w:rFonts w:ascii="Times New Roman" w:hAnsi="Times New Roman" w:cs="Times New Roman"/>
    </w:rPr>
  </w:style>
  <w:style w:type="character" w:customStyle="1" w:styleId="aa">
    <w:name w:val="Основной текст_"/>
    <w:qFormat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b">
    <w:name w:val="Гіперпосилання"/>
    <w:rPr>
      <w:color w:val="0563C1"/>
      <w:u w:val="single"/>
    </w:rPr>
  </w:style>
  <w:style w:type="character" w:customStyle="1" w:styleId="1">
    <w:name w:val="Незакрита згадка1"/>
    <w:qFormat/>
    <w:rPr>
      <w:color w:val="808080"/>
      <w:shd w:val="clear" w:color="auto" w:fill="E6E6E6"/>
    </w:rPr>
  </w:style>
  <w:style w:type="character" w:customStyle="1" w:styleId="ac">
    <w:name w:val="Нижній колонтитул Знак"/>
    <w:qFormat/>
    <w:rPr>
      <w:lang w:val="uk-UA"/>
    </w:rPr>
  </w:style>
  <w:style w:type="character" w:customStyle="1" w:styleId="ad">
    <w:name w:val="Відвідане гіперпосилання"/>
    <w:rPr>
      <w:color w:val="954F72"/>
      <w:u w:val="single"/>
    </w:rPr>
  </w:style>
  <w:style w:type="character" w:customStyle="1" w:styleId="30">
    <w:name w:val="Заголовок 3 Знак"/>
    <w:qFormat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TML">
    <w:name w:val="Стандартний HTML Знак"/>
    <w:qFormat/>
    <w:rPr>
      <w:rFonts w:ascii="Consolas" w:hAnsi="Consolas" w:cs="Consolas"/>
      <w:sz w:val="20"/>
      <w:szCs w:val="20"/>
    </w:rPr>
  </w:style>
  <w:style w:type="character" w:customStyle="1" w:styleId="31">
    <w:name w:val="Основний текст з відступом 3 Знак"/>
    <w:qFormat/>
    <w:rPr>
      <w:rFonts w:ascii="Times New Roman" w:eastAsia="Times New Roman" w:hAnsi="Times New Roman" w:cs="Times New Roman"/>
      <w:color w:val="000000"/>
      <w:sz w:val="24"/>
      <w:szCs w:val="20"/>
      <w:lang w:val="ru-RU"/>
    </w:rPr>
  </w:style>
  <w:style w:type="character" w:customStyle="1" w:styleId="ae">
    <w:name w:val="Верхній колонтитул Знак"/>
    <w:basedOn w:val="a4"/>
    <w:qFormat/>
  </w:style>
  <w:style w:type="character" w:customStyle="1" w:styleId="rvts44">
    <w:name w:val="rvts44"/>
    <w:qFormat/>
    <w:rPr>
      <w:rFonts w:cs="Times New Roman"/>
    </w:rPr>
  </w:style>
  <w:style w:type="paragraph" w:styleId="af">
    <w:name w:val="Title"/>
    <w:basedOn w:val="a"/>
    <w:next w:val="a0"/>
    <w:qFormat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0">
    <w:name w:val="List"/>
    <w:basedOn w:val="a0"/>
    <w:rPr>
      <w:rFonts w:cs="Arial"/>
    </w:rPr>
  </w:style>
  <w:style w:type="paragraph" w:styleId="af1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f2">
    <w:name w:val="Покажчик"/>
    <w:basedOn w:val="a"/>
    <w:qFormat/>
    <w:pPr>
      <w:suppressLineNumbers/>
    </w:pPr>
    <w:rPr>
      <w:rFonts w:cs="Arial"/>
    </w:rPr>
  </w:style>
  <w:style w:type="paragraph" w:customStyle="1" w:styleId="10">
    <w:name w:val="Заголовок1"/>
    <w:basedOn w:val="a"/>
    <w:next w:val="a0"/>
    <w:qFormat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paragraph" w:customStyle="1" w:styleId="af3">
    <w:name w:val="Текст примітки"/>
    <w:basedOn w:val="a"/>
    <w:qFormat/>
    <w:pPr>
      <w:spacing w:line="240" w:lineRule="auto"/>
    </w:pPr>
    <w:rPr>
      <w:sz w:val="20"/>
      <w:szCs w:val="20"/>
      <w:lang w:val="uk-UA"/>
    </w:rPr>
  </w:style>
  <w:style w:type="paragraph" w:customStyle="1" w:styleId="af4">
    <w:name w:val="Тема примітки"/>
    <w:basedOn w:val="af3"/>
    <w:next w:val="af3"/>
    <w:qFormat/>
    <w:rPr>
      <w:b/>
      <w:bCs/>
    </w:rPr>
  </w:style>
  <w:style w:type="paragraph" w:customStyle="1" w:styleId="af5">
    <w:name w:val="Текст у виносці"/>
    <w:basedOn w:val="a"/>
    <w:qFormat/>
    <w:pPr>
      <w:spacing w:after="0" w:line="240" w:lineRule="auto"/>
    </w:pPr>
    <w:rPr>
      <w:rFonts w:ascii="Segoe UI" w:hAnsi="Segoe UI" w:cs="Segoe UI"/>
      <w:sz w:val="18"/>
      <w:szCs w:val="18"/>
      <w:lang w:val="uk-UA"/>
    </w:rPr>
  </w:style>
  <w:style w:type="paragraph" w:customStyle="1" w:styleId="af6">
    <w:name w:val="Нормальний текст"/>
    <w:basedOn w:val="a"/>
    <w:qFormat/>
    <w:pPr>
      <w:spacing w:before="120" w:after="0" w:line="240" w:lineRule="auto"/>
      <w:ind w:firstLine="567"/>
      <w:jc w:val="both"/>
    </w:pPr>
    <w:rPr>
      <w:rFonts w:ascii="Antiqua;Century Gothic" w:hAnsi="Antiqua;Century Gothic" w:cs="Antiqua;Century Gothic"/>
      <w:sz w:val="26"/>
      <w:szCs w:val="20"/>
      <w:lang w:val="uk-UA"/>
    </w:rPr>
  </w:style>
  <w:style w:type="paragraph" w:customStyle="1" w:styleId="4">
    <w:name w:val="Основной текст4"/>
    <w:basedOn w:val="a"/>
    <w:qFormat/>
    <w:pPr>
      <w:widowControl w:val="0"/>
      <w:shd w:val="clear" w:color="auto" w:fill="FFFFFF"/>
      <w:spacing w:before="4500" w:after="0" w:line="475" w:lineRule="exact"/>
      <w:ind w:hanging="460"/>
    </w:pPr>
    <w:rPr>
      <w:rFonts w:ascii="Times New Roman" w:eastAsia="Times New Roman" w:hAnsi="Times New Roman" w:cs="Times New Roman"/>
      <w:sz w:val="23"/>
      <w:szCs w:val="23"/>
      <w:lang w:val="uk-UA"/>
    </w:rPr>
  </w:style>
  <w:style w:type="paragraph" w:customStyle="1" w:styleId="af7">
    <w:name w:val="Абзац списку"/>
    <w:basedOn w:val="a"/>
    <w:qFormat/>
    <w:pPr>
      <w:spacing w:after="200" w:line="276" w:lineRule="auto"/>
      <w:ind w:left="720"/>
      <w:contextualSpacing/>
    </w:pPr>
    <w:rPr>
      <w:lang w:val="uk-UA"/>
    </w:rPr>
  </w:style>
  <w:style w:type="paragraph" w:customStyle="1" w:styleId="af8">
    <w:name w:val="Верхній і нижній колонтитули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9">
    <w:name w:val="footer"/>
    <w:basedOn w:val="a"/>
    <w:pPr>
      <w:spacing w:after="0" w:line="240" w:lineRule="auto"/>
    </w:pPr>
    <w:rPr>
      <w:sz w:val="20"/>
      <w:szCs w:val="20"/>
      <w:lang w:val="uk-UA"/>
    </w:rPr>
  </w:style>
  <w:style w:type="paragraph" w:customStyle="1" w:styleId="afa">
    <w:name w:val="Без інтервалів"/>
    <w:qFormat/>
    <w:rPr>
      <w:rFonts w:ascii="Calibri" w:eastAsia="Calibri" w:hAnsi="Calibri" w:cs="Calibri"/>
      <w:sz w:val="22"/>
      <w:szCs w:val="22"/>
      <w:lang w:val="en-US" w:bidi="ar-SA"/>
    </w:rPr>
  </w:style>
  <w:style w:type="paragraph" w:customStyle="1" w:styleId="afb">
    <w:name w:val="Звичайний (веб)"/>
    <w:basedOn w:val="a"/>
    <w:qFormat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TML0">
    <w:name w:val="Стандартний HTML"/>
    <w:basedOn w:val="a"/>
    <w:qFormat/>
    <w:pPr>
      <w:spacing w:after="0" w:line="240" w:lineRule="auto"/>
    </w:pPr>
    <w:rPr>
      <w:rFonts w:ascii="Consolas" w:hAnsi="Consolas" w:cs="Consolas"/>
      <w:sz w:val="20"/>
      <w:szCs w:val="20"/>
      <w:lang w:val="uk-UA"/>
    </w:rPr>
  </w:style>
  <w:style w:type="paragraph" w:customStyle="1" w:styleId="32">
    <w:name w:val="Основний текст з відступом 3"/>
    <w:basedOn w:val="a"/>
    <w:qFormat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ru-RU"/>
    </w:rPr>
  </w:style>
  <w:style w:type="paragraph" w:styleId="afc">
    <w:name w:val="header"/>
    <w:basedOn w:val="a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d">
    <w:name w:val="Вміст таблиці"/>
    <w:basedOn w:val="a"/>
    <w:qFormat/>
    <w:pPr>
      <w:suppressLineNumbers/>
    </w:pPr>
  </w:style>
  <w:style w:type="paragraph" w:customStyle="1" w:styleId="afe">
    <w:name w:val="Заголовок таблиці"/>
    <w:basedOn w:val="afd"/>
    <w:qFormat/>
    <w:pPr>
      <w:jc w:val="center"/>
    </w:pPr>
    <w:rPr>
      <w:b/>
      <w:bCs/>
    </w:rPr>
  </w:style>
  <w:style w:type="paragraph" w:customStyle="1" w:styleId="LO-normal">
    <w:name w:val="LO-normal"/>
    <w:qFormat/>
    <w:pPr>
      <w:widowControl w:val="0"/>
    </w:pPr>
    <w:rPr>
      <w:rFonts w:ascii="Times New Roman" w:eastAsia="Times New Roman" w:hAnsi="Times New Roman" w:cs="Times New Roman"/>
      <w:color w:val="000000"/>
      <w:kern w:val="2"/>
      <w:szCs w:val="20"/>
      <w:lang w:bidi="ar-SA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4876</Words>
  <Characters>2780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dc:description/>
  <cp:lastModifiedBy>Користувач</cp:lastModifiedBy>
  <cp:revision>12</cp:revision>
  <cp:lastPrinted>1995-11-21T17:41:00Z</cp:lastPrinted>
  <dcterms:created xsi:type="dcterms:W3CDTF">1995-11-21T17:41:00Z</dcterms:created>
  <dcterms:modified xsi:type="dcterms:W3CDTF">2021-12-18T18:19:00Z</dcterms:modified>
  <dc:language>uk-UA</dc:language>
</cp:coreProperties>
</file>