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0677D" w:rsidRDefault="00A61771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до протоколу</w:t>
      </w:r>
    </w:p>
    <w:p w:rsidR="00F0677D" w:rsidRDefault="00A61771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від_____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___№_______</w:t>
      </w:r>
    </w:p>
    <w:p w:rsidR="00F0677D" w:rsidRDefault="00F0677D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F0677D" w:rsidRDefault="00F0677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F0677D" w:rsidRDefault="00A617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Форма паспорту оцінки регуляторного акта</w:t>
      </w:r>
    </w:p>
    <w:p w:rsidR="00F0677D" w:rsidRDefault="00F067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585" w:type="dxa"/>
        <w:tblInd w:w="19" w:type="dxa"/>
        <w:tblLook w:val="0000"/>
      </w:tblPr>
      <w:tblGrid>
        <w:gridCol w:w="629"/>
        <w:gridCol w:w="4590"/>
        <w:gridCol w:w="4366"/>
      </w:tblGrid>
      <w:tr w:rsidR="00F0677D" w:rsidRPr="00A61771">
        <w:tc>
          <w:tcPr>
            <w:tcW w:w="9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7D" w:rsidRPr="00A61771" w:rsidRDefault="00A617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A61771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 xml:space="preserve">Найменування органу </w:t>
            </w:r>
            <w:r w:rsidRPr="00A61771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місцевого самоврядування</w:t>
            </w:r>
          </w:p>
          <w:p w:rsidR="00F0677D" w:rsidRDefault="00A61771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Луцька міська рада</w:t>
            </w:r>
          </w:p>
          <w:p w:rsidR="00F0677D" w:rsidRPr="00A61771" w:rsidRDefault="00F0677D">
            <w:pPr>
              <w:spacing w:after="0" w:line="240" w:lineRule="auto"/>
              <w:ind w:firstLine="851"/>
              <w:jc w:val="center"/>
              <w:rPr>
                <w:lang w:val="ru-RU"/>
              </w:rPr>
            </w:pPr>
          </w:p>
        </w:tc>
      </w:tr>
      <w:tr w:rsidR="00F0677D" w:rsidRPr="00A61771">
        <w:tc>
          <w:tcPr>
            <w:tcW w:w="9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Назва, дата прийняття та номер акта</w:t>
            </w:r>
          </w:p>
          <w:p w:rsidR="00F0677D" w:rsidRDefault="00A61771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Рішення виконавчого комітету міської ради від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20.10.2021 № 820-1</w:t>
            </w:r>
          </w:p>
          <w:p w:rsidR="00F0677D" w:rsidRPr="00A61771" w:rsidRDefault="00A61771">
            <w:pPr>
              <w:spacing w:after="0" w:line="240" w:lineRule="auto"/>
              <w:ind w:firstLine="851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“Про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вартість проїзду в автобусах, що працюють на міських маршрутах у звичайному режимі руху ”</w:t>
            </w:r>
          </w:p>
          <w:p w:rsidR="00F0677D" w:rsidRDefault="00F0677D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  <w:tr w:rsidR="00F0677D">
        <w:tc>
          <w:tcPr>
            <w:tcW w:w="9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Чи є акт регуляторним</w:t>
            </w:r>
          </w:p>
        </w:tc>
      </w:tr>
      <w:tr w:rsidR="00F0677D" w:rsidRPr="00A6177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F067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0677D" w:rsidRDefault="00A617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є акт обов’язковими для виконання двома та більше суб’єктами господарювання?</w:t>
            </w:r>
          </w:p>
          <w:p w:rsidR="00F0677D" w:rsidRDefault="00F0677D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</w:t>
            </w:r>
          </w:p>
          <w:p w:rsidR="00F0677D" w:rsidRPr="00A61771" w:rsidRDefault="00A61771">
            <w:pPr>
              <w:spacing w:after="0" w:line="240" w:lineRule="auto"/>
              <w:ind w:firstLine="851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Так +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(пояснення наводиться у обґрунтуванні розділу «Рекомендації»)</w:t>
            </w:r>
          </w:p>
        </w:tc>
      </w:tr>
      <w:tr w:rsidR="00F0677D" w:rsidRPr="00A6177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F067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0677D" w:rsidRDefault="00F067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0677D" w:rsidRDefault="00A617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встановлює акт обов’язкові для виконання вимоги (наприклад, вимірювані параметри, вимоги щодо кваліфікаційного рівня, вимоги щодо зовнішнього вигляду тощо)?</w:t>
            </w:r>
          </w:p>
          <w:p w:rsidR="00F0677D" w:rsidRDefault="00F0677D">
            <w:pPr>
              <w:spacing w:after="0" w:line="24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</w:t>
            </w:r>
          </w:p>
          <w:p w:rsidR="00F0677D" w:rsidRPr="00A61771" w:rsidRDefault="00A61771">
            <w:pPr>
              <w:spacing w:after="0" w:line="240" w:lineRule="auto"/>
              <w:ind w:firstLine="851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Так +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(пояснення наводиться у обґрунтуванні розділу «Рекомендації»)</w:t>
            </w:r>
          </w:p>
          <w:p w:rsidR="00F0677D" w:rsidRDefault="00F0677D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0677D" w:rsidRPr="00A6177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визначає акт механізми забезпечення дотримання вимог (обов’язок отримання дозволу, погодження або отримання іншої адміністративної послуги, надання підтверджуючого документу, проведення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експертизи, здійснення заходів контролю, подання звітності, тощо)?</w:t>
            </w:r>
          </w:p>
          <w:p w:rsidR="00F0677D" w:rsidRDefault="00F0677D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</w:t>
            </w:r>
          </w:p>
          <w:p w:rsidR="00F0677D" w:rsidRPr="00A61771" w:rsidRDefault="00A61771">
            <w:pPr>
              <w:spacing w:after="0" w:line="240" w:lineRule="auto"/>
              <w:ind w:firstLine="851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Так +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(пояснення наводиться у обґрунтуванні розділу «Рекомендації»)</w:t>
            </w:r>
          </w:p>
        </w:tc>
      </w:tr>
      <w:tr w:rsidR="00F0677D" w:rsidRPr="00A61771">
        <w:trPr>
          <w:trHeight w:val="931"/>
        </w:trPr>
        <w:tc>
          <w:tcPr>
            <w:tcW w:w="9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Висновок: </w:t>
            </w:r>
          </w:p>
          <w:p w:rsidR="00F0677D" w:rsidRDefault="00A61771">
            <w:pPr>
              <w:pStyle w:val="af9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акт є регуляторним;</w:t>
            </w:r>
          </w:p>
          <w:p w:rsidR="00F0677D" w:rsidRDefault="00A61771">
            <w:pPr>
              <w:pStyle w:val="af9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 не є регуляторним та не потребує подальшого аналізу </w:t>
            </w:r>
          </w:p>
        </w:tc>
      </w:tr>
      <w:tr w:rsidR="00F0677D" w:rsidRPr="00A61771">
        <w:tc>
          <w:tcPr>
            <w:tcW w:w="9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/>
              </w:rPr>
              <w:t xml:space="preserve">Відповідність вимогам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/>
              </w:rPr>
              <w:t>актів вищої юридичної сили, а також компетенції відповідного органу</w:t>
            </w:r>
          </w:p>
        </w:tc>
      </w:tr>
      <w:tr w:rsidR="00F0677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F067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0677D" w:rsidRDefault="00A617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відповідає акт вимогам актів вищої юридичної сили?</w:t>
            </w:r>
          </w:p>
          <w:p w:rsidR="00F0677D" w:rsidRDefault="00F0677D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7D" w:rsidRPr="00A61771" w:rsidRDefault="00A61771">
            <w:pPr>
              <w:spacing w:after="0" w:line="240" w:lineRule="auto"/>
              <w:ind w:firstLine="851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 xml:space="preserve">ак +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(пояснення наводиться у обґрунтуванні розділу «Рекомендації»)</w:t>
            </w:r>
          </w:p>
          <w:p w:rsidR="00F0677D" w:rsidRDefault="00A6177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Ні___ </w:t>
            </w:r>
          </w:p>
        </w:tc>
      </w:tr>
      <w:tr w:rsidR="00F0677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tabs>
                <w:tab w:val="right" w:pos="252"/>
                <w:tab w:val="center" w:pos="551"/>
              </w:tabs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>2.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 акт був прийнятий в межах компетенції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органу?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7D" w:rsidRPr="00A61771" w:rsidRDefault="00A61771">
            <w:pPr>
              <w:spacing w:after="0" w:line="240" w:lineRule="auto"/>
              <w:ind w:firstLine="851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Так +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(пояснення наводиться у обґрунтуванні розділу «Рекомендації»)</w:t>
            </w:r>
          </w:p>
          <w:p w:rsidR="00F0677D" w:rsidRDefault="00A6177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Ні ___ </w:t>
            </w:r>
          </w:p>
          <w:p w:rsidR="00F0677D" w:rsidRDefault="00F0677D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0677D" w:rsidRPr="00A61771">
        <w:tc>
          <w:tcPr>
            <w:tcW w:w="9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 xml:space="preserve">У разі, якщо виявлено невідповідність хоча б одному із зазначених критеріїв подальші розділи паспорту не заповнюються (за винятком розділу «Рекомендації» у якому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>наводиться відповідне обґрунтування).</w:t>
            </w:r>
          </w:p>
        </w:tc>
      </w:tr>
      <w:tr w:rsidR="00F0677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 були дотримані вимоги законодавства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щодо процедури прийняття регуляторних актів?</w:t>
            </w:r>
          </w:p>
          <w:p w:rsidR="00F0677D" w:rsidRDefault="00F0677D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 xml:space="preserve">Так + </w:t>
            </w:r>
          </w:p>
          <w:p w:rsidR="00F0677D" w:rsidRDefault="00A6177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Ні ___ </w:t>
            </w:r>
          </w:p>
        </w:tc>
      </w:tr>
      <w:tr w:rsidR="00F0677D">
        <w:tc>
          <w:tcPr>
            <w:tcW w:w="9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lastRenderedPageBreak/>
              <w:t xml:space="preserve">У разі, якщо виявлено невідповідність цьому критерію, продовжується заповнення наступних розділів паспорту, а у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  <w:t>розділі «Рекомендації», за умови доцільності даного регулювання, зазначається про необхідність визнати цей акт таким, що потребує втрати чинності з одночасним розробленням нового регулювання з дотриманням всіх необхідних регуляторних процедур.</w:t>
            </w:r>
          </w:p>
          <w:p w:rsidR="00F0677D" w:rsidRDefault="00F0677D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uk-UA"/>
              </w:rPr>
            </w:pPr>
          </w:p>
        </w:tc>
      </w:tr>
      <w:tr w:rsidR="00F0677D" w:rsidRPr="00A61771">
        <w:tc>
          <w:tcPr>
            <w:tcW w:w="9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Визначення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мети (цілі) акта органу та проблеми, яку цей акт мав би вирішувати</w:t>
            </w:r>
          </w:p>
        </w:tc>
      </w:tr>
      <w:tr w:rsidR="00F0677D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Існуюче формулювання мети акта.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7D" w:rsidRDefault="00F067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0677D" w:rsidRPr="00A61771">
        <w:trPr>
          <w:trHeight w:val="862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F0677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0677D" w:rsidRDefault="00A617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Визначення мети акта за суб’єктивними чинниками.</w:t>
            </w:r>
          </w:p>
          <w:p w:rsidR="00F0677D" w:rsidRDefault="00F06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7D" w:rsidRDefault="00F067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0677D" w:rsidRPr="00A6177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Визначення проблем, які акт повинен був би вирішувати.</w:t>
            </w:r>
          </w:p>
          <w:p w:rsidR="00F0677D" w:rsidRDefault="00F067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7D" w:rsidRDefault="00F067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0677D">
        <w:tc>
          <w:tcPr>
            <w:tcW w:w="9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Оцінка діючого акта</w:t>
            </w:r>
          </w:p>
        </w:tc>
      </w:tr>
      <w:tr w:rsidR="00F0677D" w:rsidRPr="00A6177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Хто є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суб’єктами цього регулювання, скільки цих суб’єктів приблизно є?</w:t>
            </w:r>
          </w:p>
          <w:p w:rsidR="00F0677D" w:rsidRDefault="00F067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7D" w:rsidRDefault="00F0677D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</w:tr>
      <w:tr w:rsidR="00F0677D" w:rsidRPr="00A6177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  <w:p w:rsidR="00F0677D" w:rsidRDefault="00F067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Якими є обов’язкові вимоги що повинні виконуватися?</w:t>
            </w:r>
          </w:p>
          <w:p w:rsidR="00F0677D" w:rsidRDefault="00F067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7D" w:rsidRDefault="00F067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</w:tr>
      <w:tr w:rsidR="00F0677D" w:rsidRPr="00A6177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Які регуляторні інструменти використовуються (отримання дозволу, подача звітності, проведення заході контролю тощо)?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7D" w:rsidRDefault="00F0677D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  <w:p w:rsidR="00F0677D" w:rsidRDefault="00F067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</w:tr>
      <w:tr w:rsidR="00F0677D" w:rsidRPr="00A6177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Приблизна оцінка вартості виконання всіх вимог для одного суб’єкта регулювання.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7D" w:rsidRDefault="00F0677D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</w:tr>
      <w:tr w:rsidR="00F0677D" w:rsidRPr="00A6177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Скільки коштує адміністрування цього регулювання органом влади або місцевого самоврядування (затрати робочого часу на видачу дозволів, погодження та перевірки)?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7D" w:rsidRDefault="00F0677D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0677D" w:rsidRPr="00A6177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tabs>
                <w:tab w:val="left" w:pos="5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акт повністю забороняє, обмежує через квоти, зонування, дозвільну систему високі тарифи певні сектори чи види підприємницької діяльності (наприклад мобільні кав’ярні, мобільні заклади харчування, квартири де надаються послуги тимчасового розміщення, послуг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 гідів, перевізників, переносну торгівлю, тощо)?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F0677D" w:rsidRDefault="00A6177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F0677D" w:rsidRPr="00A6177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 акт встановлює вимогу обов’язкової послуги що повинна надаватись окремими суб’єктами господарювання (комунальними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підприємствами, установами тощо) у сферах, де такі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послуги можуть надаватись приватними підприємствами в умовах вільного ринку?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Ні ____</w:t>
            </w:r>
          </w:p>
          <w:p w:rsidR="00F0677D" w:rsidRDefault="00A6177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</w:t>
            </w:r>
          </w:p>
          <w:p w:rsidR="00F0677D" w:rsidRPr="00A61771" w:rsidRDefault="00A61771">
            <w:pPr>
              <w:spacing w:after="0" w:line="240" w:lineRule="auto"/>
              <w:ind w:firstLine="851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(пояснення наводиться у обґрунтуванні розділу «Рекомендації»)</w:t>
            </w:r>
          </w:p>
        </w:tc>
      </w:tr>
      <w:tr w:rsidR="00F0677D" w:rsidRPr="00A6177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8.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 акт встановлює вимоги які настроєні під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діючі підприємства у тій чи іншій сферах, чи дискримінує підприємства за розміром (строку діяльності кількість працівників, використання комунальної послуги, довготривалі договори оренди, розмір матеріальних активів тощо)?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F0677D" w:rsidRDefault="00A6177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 (пояснення наводи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ться у обґрунтуванні розділу «Рекомендації»)</w:t>
            </w:r>
          </w:p>
        </w:tc>
      </w:tr>
      <w:tr w:rsidR="00F0677D" w:rsidRPr="00A6177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акт чи практика його виконання обмежує конкуренцію іншим методом, не описаним вище?</w:t>
            </w:r>
          </w:p>
          <w:p w:rsidR="00F0677D" w:rsidRDefault="00F067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F0677D" w:rsidRDefault="00A6177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F0677D" w:rsidRPr="00A6177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 акт визначає процедуру за якою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індивідуальні рішення що стосуються суб’єктів господарювання (про видачу дозволу, погодження, іншого документу) приймається колегіально?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F0677D" w:rsidRDefault="00A6177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  <w:p w:rsidR="00F0677D" w:rsidRDefault="00F0677D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0677D" w:rsidRPr="00A6177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Чи акт встановлює процедуру, за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якою індивідуальні рішення що стосуються суб’єктів господарювання приймаються посадовими особами без чіткого та вичерпного переліку критеріїв для прийняття таких рішень (можливість прийняття дискретних волюнтаристських рішень)?</w:t>
            </w:r>
          </w:p>
          <w:p w:rsidR="00F0677D" w:rsidRDefault="00F067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F0677D" w:rsidRDefault="00A6177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Так ___ (пояснення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наводиться у обґрунтуванні розділу «Рекомендації»)</w:t>
            </w:r>
          </w:p>
        </w:tc>
      </w:tr>
      <w:tr w:rsidR="00F0677D" w:rsidRPr="00A6177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акт делегує виконання регуляторної функції чи її частини (включно з наданням обов’язкових послуг) певному суб’єкту господарювання (комунальному підприємству, установі, тощо)?</w:t>
            </w:r>
          </w:p>
          <w:p w:rsidR="00F0677D" w:rsidRDefault="00F067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F0677D" w:rsidRDefault="00A6177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Так ___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(пояснення наводиться у обґрунтуванні розділу «Рекомендації»)</w:t>
            </w:r>
          </w:p>
        </w:tc>
      </w:tr>
      <w:tr w:rsidR="00F0677D" w:rsidRPr="00A6177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акт вимагає придбання обладнання товарів чи послуг певного зразка чи у певних суб’єктів господарювання?</w:t>
            </w:r>
          </w:p>
          <w:p w:rsidR="00F0677D" w:rsidRDefault="00F067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F0677D" w:rsidRDefault="00A6177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F0677D" w:rsidRPr="00A6177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 акт чи практика його призводить до збільшення корупційних можливостей іншими методами не описаним вище?</w:t>
            </w:r>
          </w:p>
          <w:p w:rsidR="00F0677D" w:rsidRDefault="00F067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____</w:t>
            </w:r>
          </w:p>
          <w:p w:rsidR="00F0677D" w:rsidRDefault="00A61771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 ___ (пояснення наводиться у обґрунтуванні розділу «Рекомендації»)</w:t>
            </w:r>
          </w:p>
        </w:tc>
      </w:tr>
      <w:tr w:rsidR="00F0677D" w:rsidRPr="00A6177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Співвідношення масштабу регуляторного режиму та рівня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фактичного вирішення проблеми.</w:t>
            </w:r>
          </w:p>
          <w:p w:rsidR="00A61771" w:rsidRDefault="00A617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7D" w:rsidRDefault="00F0677D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0677D">
        <w:tc>
          <w:tcPr>
            <w:tcW w:w="9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7D" w:rsidRDefault="00A617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Рекомендації</w:t>
            </w:r>
          </w:p>
        </w:tc>
      </w:tr>
      <w:tr w:rsidR="00F0677D" w:rsidRPr="00A61771">
        <w:tc>
          <w:tcPr>
            <w:tcW w:w="9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7D" w:rsidRDefault="00A61771">
            <w:pPr>
              <w:pStyle w:val="af9"/>
              <w:spacing w:after="0" w:line="240" w:lineRule="auto"/>
              <w:ind w:left="22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Зазначається один з наступних варіантів:</w:t>
            </w:r>
          </w:p>
          <w:p w:rsidR="00F0677D" w:rsidRDefault="00A61771">
            <w:pPr>
              <w:pStyle w:val="af9"/>
              <w:spacing w:after="0" w:line="240" w:lineRule="auto"/>
              <w:ind w:left="0" w:firstLine="567"/>
            </w:pPr>
            <w:proofErr w:type="spellStart"/>
            <w: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•Залишити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 акт без змін.</w:t>
            </w:r>
          </w:p>
          <w:p w:rsidR="00F0677D" w:rsidRDefault="00A61771">
            <w:pPr>
              <w:pStyle w:val="af9"/>
              <w:spacing w:after="0" w:line="240" w:lineRule="auto"/>
              <w:ind w:left="0" w:firstLine="567"/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•Внести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зміни до діючого акта в частині приєднання сільських територій до міста.</w:t>
            </w:r>
          </w:p>
          <w:p w:rsidR="00F0677D" w:rsidRDefault="00A61771">
            <w:pPr>
              <w:pStyle w:val="af9"/>
              <w:spacing w:after="0" w:line="240" w:lineRule="auto"/>
              <w:ind w:left="0" w:firstLine="567"/>
            </w:pP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•Визнати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таким, що втратив чинність, діючий акт та прийняти новий із дотриманням вимогам законодавства щодо змісту акта та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процедури його прийняття</w:t>
            </w:r>
          </w:p>
          <w:p w:rsidR="00F0677D" w:rsidRDefault="00A61771">
            <w:pPr>
              <w:pStyle w:val="af9"/>
              <w:spacing w:after="0" w:line="240" w:lineRule="auto"/>
              <w:ind w:left="0" w:firstLine="567"/>
            </w:pP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•Повністю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визнати таким, що втратив чинність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>.</w:t>
            </w:r>
          </w:p>
        </w:tc>
      </w:tr>
      <w:tr w:rsidR="00F0677D" w:rsidRPr="00A61771">
        <w:tc>
          <w:tcPr>
            <w:tcW w:w="9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677D" w:rsidRPr="00A61771" w:rsidRDefault="00A61771">
            <w:pPr>
              <w:spacing w:after="0" w:line="240" w:lineRule="auto"/>
              <w:ind w:firstLine="709"/>
              <w:contextualSpacing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>Обґрунтування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</w:p>
          <w:p w:rsidR="00F0677D" w:rsidRDefault="00A6177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Норми акту поширюються на 12 суб’єктів господарювання, які є учасниками відносин, на регулювання яких спрямовано цей акт.</w:t>
            </w:r>
          </w:p>
          <w:p w:rsidR="00F0677D" w:rsidRPr="00A61771" w:rsidRDefault="00A61771">
            <w:pPr>
              <w:spacing w:after="0" w:line="240" w:lineRule="auto"/>
              <w:ind w:firstLine="709"/>
              <w:contextualSpacing/>
              <w:jc w:val="both"/>
              <w:rPr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Акт  встановлює вартість перевезення пасажирів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автобусами містом в звичайному режимі руху на  економічно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обгрунтованому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рівні — 8,0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що у повному обсязі має покривати витрати перевізників на надання таких послуг. У разі не приведення  вартості проїзду до економічно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обгрунтованого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рівня перевізники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змушені були б відмовлятись від здійснення перевезень, оскільки б отримали значні збитки, а мешканці громади не отримували б послуги з перевезення по місту. </w:t>
            </w:r>
          </w:p>
          <w:p w:rsidR="00F0677D" w:rsidRPr="00A61771" w:rsidRDefault="00A61771">
            <w:pPr>
              <w:spacing w:after="0" w:line="240" w:lineRule="auto"/>
              <w:ind w:firstLine="709"/>
              <w:contextualSpacing/>
              <w:jc w:val="both"/>
              <w:rPr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Дія регуляторного акту поширюється на усіх перевізників, що здійснюють перевезення на міських та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риміських маршрутах Луцької міської територіальної громади. </w:t>
            </w:r>
          </w:p>
          <w:p w:rsidR="00F0677D" w:rsidRPr="00A61771" w:rsidRDefault="00A61771">
            <w:pPr>
              <w:spacing w:after="0" w:line="240" w:lineRule="auto"/>
              <w:ind w:firstLine="709"/>
              <w:contextualSpacing/>
              <w:jc w:val="both"/>
              <w:rPr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Акт відповідає:</w:t>
            </w:r>
          </w:p>
          <w:p w:rsidR="00F0677D" w:rsidRPr="00A61771" w:rsidRDefault="00A61771">
            <w:pPr>
              <w:spacing w:after="0" w:line="240" w:lineRule="auto"/>
              <w:ind w:firstLine="709"/>
              <w:contextualSpacing/>
              <w:jc w:val="both"/>
              <w:rPr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- Закону України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“Про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автомобільний транспорт» який передбачає, те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uk-UA"/>
              </w:rPr>
              <w:t>що на  міські ради в межах території відповідної адміністративно-територіальної одиниці покладено забезпечення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uk-UA"/>
              </w:rPr>
              <w:t>рганізації міських та приміських (в межах певної ОТГ) перевезень,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а 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арифна політика на автомобільному транспорті має задовольняти підприємницький інтерес, забезпечувати розвиток автомобільного транспорту, стимулювати впровадження новітніх технологій перев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езень, застосування сучасних типів транспортних засобів, а також сприяти вирішенню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основногозавдання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: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uk-UA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uk-UA"/>
              </w:rPr>
              <w:t xml:space="preserve">арифи на перевезення  мають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  <w:lang w:val="uk-UA"/>
              </w:rPr>
              <w:t>забезпечувати баланс між платоспроможним попитом на послуги та обсягом витрат на їх надання;</w:t>
            </w:r>
          </w:p>
          <w:p w:rsidR="00F0677D" w:rsidRDefault="00A61771">
            <w:pPr>
              <w:spacing w:after="0" w:line="240" w:lineRule="auto"/>
              <w:ind w:firstLine="709"/>
              <w:contextualSpacing/>
              <w:jc w:val="both"/>
              <w:rPr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- наказу Міністерства транспорту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та зв’язку України від 17 листопада 2009 року            № 1175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“Про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затвердження Методики розрахунку тарифів на послуги пасажирського автомобільного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транспорту”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  <w:p w:rsidR="00F0677D" w:rsidRDefault="00A6177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Регуляторний акт пройшов повністю регуляторну процедуру відповідно до Закону України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“Про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сади державної регуляторної політики у сфері господарської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діяльності”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Такожакт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відповідає ст. 19. Конституції України (органи державної влади та органи місцевого самоврядування, їх посадові особи зобов’язані діяти лише на підставі, в межах повноважень 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у спосіб ,що передбачено Конституцією та законами України).</w:t>
            </w:r>
          </w:p>
        </w:tc>
      </w:tr>
    </w:tbl>
    <w:p w:rsidR="00F0677D" w:rsidRDefault="00F0677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0677D" w:rsidRPr="00A61771" w:rsidRDefault="00F0677D">
      <w:pPr>
        <w:spacing w:after="0" w:line="240" w:lineRule="auto"/>
        <w:ind w:firstLine="709"/>
        <w:contextualSpacing/>
        <w:jc w:val="both"/>
        <w:rPr>
          <w:lang w:val="uk-UA"/>
        </w:rPr>
      </w:pPr>
    </w:p>
    <w:sectPr w:rsidR="00F0677D" w:rsidRPr="00A61771" w:rsidSect="00F0677D">
      <w:headerReference w:type="default" r:id="rId7"/>
      <w:headerReference w:type="first" r:id="rId8"/>
      <w:pgSz w:w="12240" w:h="15840"/>
      <w:pgMar w:top="851" w:right="850" w:bottom="851" w:left="1701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77D" w:rsidRDefault="00F0677D" w:rsidP="00F0677D">
      <w:pPr>
        <w:spacing w:after="0" w:line="240" w:lineRule="auto"/>
      </w:pPr>
      <w:r>
        <w:separator/>
      </w:r>
    </w:p>
  </w:endnote>
  <w:endnote w:type="continuationSeparator" w:id="1">
    <w:p w:rsidR="00F0677D" w:rsidRDefault="00F0677D" w:rsidP="00F06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roman"/>
    <w:pitch w:val="variable"/>
    <w:sig w:usb0="00000000" w:usb1="00000000" w:usb2="00000000" w:usb3="00000000" w:csb0="00000000" w:csb1="00000000"/>
  </w:font>
  <w:font w:name="Antiqua;Century Gothi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nsolas">
    <w:panose1 w:val="020B0609020204030204"/>
    <w:charset w:val="CC"/>
    <w:family w:val="roman"/>
    <w:pitch w:val="variable"/>
    <w:sig w:usb0="00000000" w:usb1="00000000" w:usb2="00000000" w:usb3="00000000" w:csb0="00000000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77D" w:rsidRDefault="00F0677D" w:rsidP="00F0677D">
      <w:pPr>
        <w:spacing w:after="0" w:line="240" w:lineRule="auto"/>
      </w:pPr>
      <w:r>
        <w:separator/>
      </w:r>
    </w:p>
  </w:footnote>
  <w:footnote w:type="continuationSeparator" w:id="1">
    <w:p w:rsidR="00F0677D" w:rsidRDefault="00F0677D" w:rsidP="00F06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77D" w:rsidRDefault="00F0677D">
    <w:pPr>
      <w:pStyle w:val="Header"/>
      <w:jc w:val="center"/>
    </w:pPr>
    <w:r>
      <w:fldChar w:fldCharType="begin"/>
    </w:r>
    <w:r w:rsidR="00A61771">
      <w:instrText>PAGE</w:instrText>
    </w:r>
    <w:r>
      <w:fldChar w:fldCharType="separate"/>
    </w:r>
    <w:r w:rsidR="00A61771">
      <w:rPr>
        <w:noProof/>
      </w:rPr>
      <w:t>4</w:t>
    </w:r>
    <w:r>
      <w:fldChar w:fldCharType="end"/>
    </w:r>
  </w:p>
  <w:p w:rsidR="00F0677D" w:rsidRDefault="00F0677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77D" w:rsidRDefault="00F0677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D5B4B"/>
    <w:multiLevelType w:val="multilevel"/>
    <w:tmpl w:val="633E971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C3E3136"/>
    <w:multiLevelType w:val="multilevel"/>
    <w:tmpl w:val="487058EE"/>
    <w:lvl w:ilvl="0">
      <w:start w:val="1"/>
      <w:numFmt w:val="bullet"/>
      <w:lvlText w:val="-"/>
      <w:lvlJc w:val="left"/>
      <w:pPr>
        <w:ind w:left="720" w:hanging="360"/>
      </w:pPr>
      <w:rPr>
        <w:rFonts w:ascii="Cambria" w:hAnsi="Cambria" w:cs="Cambria" w:hint="default"/>
        <w:b/>
        <w:sz w:val="24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677D"/>
    <w:rsid w:val="00A61771"/>
    <w:rsid w:val="00F067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77D"/>
    <w:pPr>
      <w:suppressAutoHyphens/>
      <w:spacing w:after="160" w:line="252" w:lineRule="auto"/>
    </w:pPr>
    <w:rPr>
      <w:rFonts w:ascii="Calibri" w:eastAsia="Calibri" w:hAnsi="Calibri" w:cs="Calibri"/>
      <w:sz w:val="22"/>
      <w:szCs w:val="22"/>
      <w:lang w:val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3">
    <w:name w:val="Heading 3"/>
    <w:basedOn w:val="a"/>
    <w:next w:val="a3"/>
    <w:qFormat/>
    <w:rsid w:val="00F0677D"/>
    <w:pPr>
      <w:numPr>
        <w:ilvl w:val="2"/>
        <w:numId w:val="1"/>
      </w:numPr>
      <w:spacing w:before="280" w:after="28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/>
    </w:rPr>
  </w:style>
  <w:style w:type="character" w:customStyle="1" w:styleId="WW8Num1z0">
    <w:name w:val="WW8Num1z0"/>
    <w:qFormat/>
    <w:rsid w:val="00F0677D"/>
  </w:style>
  <w:style w:type="character" w:customStyle="1" w:styleId="WW8Num1z1">
    <w:name w:val="WW8Num1z1"/>
    <w:qFormat/>
    <w:rsid w:val="00F0677D"/>
  </w:style>
  <w:style w:type="character" w:customStyle="1" w:styleId="WW8Num1z2">
    <w:name w:val="WW8Num1z2"/>
    <w:qFormat/>
    <w:rsid w:val="00F0677D"/>
  </w:style>
  <w:style w:type="character" w:customStyle="1" w:styleId="WW8Num1z3">
    <w:name w:val="WW8Num1z3"/>
    <w:qFormat/>
    <w:rsid w:val="00F0677D"/>
  </w:style>
  <w:style w:type="character" w:customStyle="1" w:styleId="WW8Num1z4">
    <w:name w:val="WW8Num1z4"/>
    <w:qFormat/>
    <w:rsid w:val="00F0677D"/>
  </w:style>
  <w:style w:type="character" w:customStyle="1" w:styleId="WW8Num1z5">
    <w:name w:val="WW8Num1z5"/>
    <w:qFormat/>
    <w:rsid w:val="00F0677D"/>
  </w:style>
  <w:style w:type="character" w:customStyle="1" w:styleId="WW8Num1z6">
    <w:name w:val="WW8Num1z6"/>
    <w:qFormat/>
    <w:rsid w:val="00F0677D"/>
  </w:style>
  <w:style w:type="character" w:customStyle="1" w:styleId="WW8Num1z7">
    <w:name w:val="WW8Num1z7"/>
    <w:qFormat/>
    <w:rsid w:val="00F0677D"/>
  </w:style>
  <w:style w:type="character" w:customStyle="1" w:styleId="WW8Num1z8">
    <w:name w:val="WW8Num1z8"/>
    <w:qFormat/>
    <w:rsid w:val="00F0677D"/>
  </w:style>
  <w:style w:type="character" w:customStyle="1" w:styleId="WW8Num2z0">
    <w:name w:val="WW8Num2z0"/>
    <w:qFormat/>
    <w:rsid w:val="00F0677D"/>
    <w:rPr>
      <w:rFonts w:ascii="Cambria" w:hAnsi="Cambria" w:cs="Times New Roman"/>
      <w:lang w:val="uk-UA"/>
    </w:rPr>
  </w:style>
  <w:style w:type="character" w:customStyle="1" w:styleId="a4">
    <w:name w:val="Шрифт абзацу за промовчанням"/>
    <w:qFormat/>
    <w:rsid w:val="00F0677D"/>
  </w:style>
  <w:style w:type="character" w:customStyle="1" w:styleId="WW8Num2z1">
    <w:name w:val="WW8Num2z1"/>
    <w:qFormat/>
    <w:rsid w:val="00F0677D"/>
    <w:rPr>
      <w:rFonts w:ascii="Courier New" w:hAnsi="Courier New" w:cs="Courier New"/>
    </w:rPr>
  </w:style>
  <w:style w:type="character" w:customStyle="1" w:styleId="WW8Num2z2">
    <w:name w:val="WW8Num2z2"/>
    <w:qFormat/>
    <w:rsid w:val="00F0677D"/>
    <w:rPr>
      <w:rFonts w:ascii="Wingdings" w:hAnsi="Wingdings" w:cs="Wingdings"/>
    </w:rPr>
  </w:style>
  <w:style w:type="character" w:customStyle="1" w:styleId="WW8Num3z0">
    <w:name w:val="WW8Num3z0"/>
    <w:qFormat/>
    <w:rsid w:val="00F0677D"/>
    <w:rPr>
      <w:rFonts w:ascii="Symbol" w:hAnsi="Symbol" w:cs="Symbol"/>
    </w:rPr>
  </w:style>
  <w:style w:type="character" w:customStyle="1" w:styleId="WW8Num3z1">
    <w:name w:val="WW8Num3z1"/>
    <w:qFormat/>
    <w:rsid w:val="00F0677D"/>
    <w:rPr>
      <w:rFonts w:ascii="Courier New" w:hAnsi="Courier New" w:cs="Courier New"/>
    </w:rPr>
  </w:style>
  <w:style w:type="character" w:customStyle="1" w:styleId="WW8Num3z2">
    <w:name w:val="WW8Num3z2"/>
    <w:qFormat/>
    <w:rsid w:val="00F0677D"/>
    <w:rPr>
      <w:rFonts w:ascii="Wingdings" w:hAnsi="Wingdings" w:cs="Wingdings"/>
    </w:rPr>
  </w:style>
  <w:style w:type="character" w:customStyle="1" w:styleId="WW8Num4z0">
    <w:name w:val="WW8Num4z0"/>
    <w:qFormat/>
    <w:rsid w:val="00F0677D"/>
    <w:rPr>
      <w:rFonts w:cs="Times New Roman"/>
    </w:rPr>
  </w:style>
  <w:style w:type="character" w:customStyle="1" w:styleId="WW8Num4z1">
    <w:name w:val="WW8Num4z1"/>
    <w:qFormat/>
    <w:rsid w:val="00F0677D"/>
  </w:style>
  <w:style w:type="character" w:customStyle="1" w:styleId="WW8Num4z2">
    <w:name w:val="WW8Num4z2"/>
    <w:qFormat/>
    <w:rsid w:val="00F0677D"/>
  </w:style>
  <w:style w:type="character" w:customStyle="1" w:styleId="WW8Num4z3">
    <w:name w:val="WW8Num4z3"/>
    <w:qFormat/>
    <w:rsid w:val="00F0677D"/>
  </w:style>
  <w:style w:type="character" w:customStyle="1" w:styleId="WW8Num4z4">
    <w:name w:val="WW8Num4z4"/>
    <w:qFormat/>
    <w:rsid w:val="00F0677D"/>
  </w:style>
  <w:style w:type="character" w:customStyle="1" w:styleId="WW8Num4z5">
    <w:name w:val="WW8Num4z5"/>
    <w:qFormat/>
    <w:rsid w:val="00F0677D"/>
  </w:style>
  <w:style w:type="character" w:customStyle="1" w:styleId="WW8Num4z6">
    <w:name w:val="WW8Num4z6"/>
    <w:qFormat/>
    <w:rsid w:val="00F0677D"/>
  </w:style>
  <w:style w:type="character" w:customStyle="1" w:styleId="WW8Num4z7">
    <w:name w:val="WW8Num4z7"/>
    <w:qFormat/>
    <w:rsid w:val="00F0677D"/>
  </w:style>
  <w:style w:type="character" w:customStyle="1" w:styleId="WW8Num4z8">
    <w:name w:val="WW8Num4z8"/>
    <w:qFormat/>
    <w:rsid w:val="00F0677D"/>
  </w:style>
  <w:style w:type="character" w:customStyle="1" w:styleId="a5">
    <w:name w:val="Шрифт абзацу за замовчуванням"/>
    <w:qFormat/>
    <w:rsid w:val="00F0677D"/>
  </w:style>
  <w:style w:type="character" w:customStyle="1" w:styleId="1">
    <w:name w:val="Знак примітки1"/>
    <w:qFormat/>
    <w:rsid w:val="00F0677D"/>
    <w:rPr>
      <w:sz w:val="16"/>
      <w:szCs w:val="16"/>
    </w:rPr>
  </w:style>
  <w:style w:type="character" w:customStyle="1" w:styleId="a6">
    <w:name w:val="Текст примітки Знак"/>
    <w:qFormat/>
    <w:rsid w:val="00F0677D"/>
    <w:rPr>
      <w:sz w:val="20"/>
      <w:szCs w:val="20"/>
    </w:rPr>
  </w:style>
  <w:style w:type="character" w:customStyle="1" w:styleId="a7">
    <w:name w:val="Тема примітки Знак"/>
    <w:qFormat/>
    <w:rsid w:val="00F0677D"/>
    <w:rPr>
      <w:b/>
      <w:bCs/>
      <w:sz w:val="20"/>
      <w:szCs w:val="20"/>
    </w:rPr>
  </w:style>
  <w:style w:type="character" w:customStyle="1" w:styleId="a8">
    <w:name w:val="Текст у виносці Знак"/>
    <w:qFormat/>
    <w:rsid w:val="00F0677D"/>
    <w:rPr>
      <w:rFonts w:ascii="Segoe UI" w:hAnsi="Segoe UI" w:cs="Segoe UI"/>
      <w:sz w:val="18"/>
      <w:szCs w:val="18"/>
    </w:rPr>
  </w:style>
  <w:style w:type="character" w:customStyle="1" w:styleId="a9">
    <w:name w:val="Нормальний текст Знак"/>
    <w:qFormat/>
    <w:rsid w:val="00F0677D"/>
    <w:rPr>
      <w:rFonts w:ascii="Antiqua;Century Gothic" w:hAnsi="Antiqua;Century Gothic" w:cs="Antiqua;Century Gothic"/>
      <w:sz w:val="26"/>
      <w:szCs w:val="20"/>
    </w:rPr>
  </w:style>
  <w:style w:type="character" w:customStyle="1" w:styleId="rvts9">
    <w:name w:val="rvts9"/>
    <w:qFormat/>
    <w:rsid w:val="00F0677D"/>
    <w:rPr>
      <w:rFonts w:ascii="Times New Roman" w:hAnsi="Times New Roman" w:cs="Times New Roman"/>
    </w:rPr>
  </w:style>
  <w:style w:type="character" w:customStyle="1" w:styleId="rvts23">
    <w:name w:val="rvts23"/>
    <w:qFormat/>
    <w:rsid w:val="00F0677D"/>
    <w:rPr>
      <w:rFonts w:ascii="Times New Roman" w:hAnsi="Times New Roman" w:cs="Times New Roman"/>
    </w:rPr>
  </w:style>
  <w:style w:type="character" w:customStyle="1" w:styleId="aa">
    <w:name w:val="Основной текст_"/>
    <w:qFormat/>
    <w:rsid w:val="00F0677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b">
    <w:name w:val="Гіперпосилання"/>
    <w:rsid w:val="00F0677D"/>
    <w:rPr>
      <w:color w:val="0563C1"/>
      <w:u w:val="single"/>
    </w:rPr>
  </w:style>
  <w:style w:type="character" w:customStyle="1" w:styleId="10">
    <w:name w:val="Незакрита згадка1"/>
    <w:qFormat/>
    <w:rsid w:val="00F0677D"/>
    <w:rPr>
      <w:color w:val="808080"/>
      <w:shd w:val="clear" w:color="auto" w:fill="E6E6E6"/>
    </w:rPr>
  </w:style>
  <w:style w:type="character" w:customStyle="1" w:styleId="ac">
    <w:name w:val="Нижній колонтитул Знак"/>
    <w:qFormat/>
    <w:rsid w:val="00F0677D"/>
    <w:rPr>
      <w:lang w:val="uk-UA"/>
    </w:rPr>
  </w:style>
  <w:style w:type="character" w:customStyle="1" w:styleId="ad">
    <w:name w:val="Відвідане гіперпосилання"/>
    <w:rsid w:val="00F0677D"/>
    <w:rPr>
      <w:color w:val="954F72"/>
      <w:u w:val="single"/>
    </w:rPr>
  </w:style>
  <w:style w:type="character" w:customStyle="1" w:styleId="3">
    <w:name w:val="Заголовок 3 Знак"/>
    <w:qFormat/>
    <w:rsid w:val="00F0677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TML">
    <w:name w:val="Стандартний HTML Знак"/>
    <w:qFormat/>
    <w:rsid w:val="00F0677D"/>
    <w:rPr>
      <w:rFonts w:ascii="Consolas" w:hAnsi="Consolas" w:cs="Consolas"/>
      <w:sz w:val="20"/>
      <w:szCs w:val="20"/>
    </w:rPr>
  </w:style>
  <w:style w:type="character" w:customStyle="1" w:styleId="30">
    <w:name w:val="Основний текст з відступом 3 Знак"/>
    <w:qFormat/>
    <w:rsid w:val="00F0677D"/>
    <w:rPr>
      <w:rFonts w:ascii="Times New Roman" w:eastAsia="Times New Roman" w:hAnsi="Times New Roman" w:cs="Times New Roman"/>
      <w:color w:val="000000"/>
      <w:sz w:val="24"/>
      <w:szCs w:val="20"/>
      <w:lang w:val="ru-RU"/>
    </w:rPr>
  </w:style>
  <w:style w:type="character" w:customStyle="1" w:styleId="ae">
    <w:name w:val="Верхній колонтитул Знак"/>
    <w:basedOn w:val="a5"/>
    <w:qFormat/>
    <w:rsid w:val="00F0677D"/>
  </w:style>
  <w:style w:type="character" w:customStyle="1" w:styleId="af">
    <w:name w:val="Виділення жирним"/>
    <w:qFormat/>
    <w:rsid w:val="00F0677D"/>
    <w:rPr>
      <w:b/>
      <w:bCs/>
    </w:rPr>
  </w:style>
  <w:style w:type="character" w:customStyle="1" w:styleId="af0">
    <w:name w:val="Виділення"/>
    <w:qFormat/>
    <w:rsid w:val="00F0677D"/>
    <w:rPr>
      <w:i/>
      <w:iCs/>
    </w:rPr>
  </w:style>
  <w:style w:type="character" w:customStyle="1" w:styleId="ListLabel1">
    <w:name w:val="ListLabel 1"/>
    <w:qFormat/>
    <w:rsid w:val="00F0677D"/>
    <w:rPr>
      <w:rFonts w:ascii="Times New Roman" w:hAnsi="Times New Roman" w:cs="Cambria"/>
      <w:b/>
      <w:sz w:val="24"/>
      <w:lang w:val="uk-UA"/>
    </w:rPr>
  </w:style>
  <w:style w:type="character" w:customStyle="1" w:styleId="ListLabel2">
    <w:name w:val="ListLabel 2"/>
    <w:qFormat/>
    <w:rsid w:val="00F0677D"/>
    <w:rPr>
      <w:rFonts w:ascii="Arial" w:hAnsi="Arial" w:cs="Arial"/>
      <w:color w:val="0044CC"/>
      <w:sz w:val="26"/>
    </w:rPr>
  </w:style>
  <w:style w:type="character" w:customStyle="1" w:styleId="af1">
    <w:name w:val="Знак примітки"/>
    <w:qFormat/>
    <w:rsid w:val="00F0677D"/>
    <w:rPr>
      <w:sz w:val="16"/>
      <w:szCs w:val="16"/>
    </w:rPr>
  </w:style>
  <w:style w:type="character" w:customStyle="1" w:styleId="11">
    <w:name w:val="Основной шрифт абзаца1"/>
    <w:qFormat/>
    <w:rsid w:val="00F0677D"/>
  </w:style>
  <w:style w:type="character" w:customStyle="1" w:styleId="2">
    <w:name w:val="Основной шрифт абзаца2"/>
    <w:qFormat/>
    <w:rsid w:val="00F0677D"/>
  </w:style>
  <w:style w:type="paragraph" w:customStyle="1" w:styleId="af2">
    <w:name w:val="Заголовок"/>
    <w:basedOn w:val="a"/>
    <w:next w:val="a3"/>
    <w:qFormat/>
    <w:rsid w:val="00F0677D"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styleId="a3">
    <w:name w:val="Body Text"/>
    <w:basedOn w:val="a"/>
    <w:rsid w:val="00F0677D"/>
    <w:pPr>
      <w:spacing w:after="140" w:line="276" w:lineRule="auto"/>
    </w:pPr>
  </w:style>
  <w:style w:type="paragraph" w:styleId="af3">
    <w:name w:val="List"/>
    <w:basedOn w:val="a3"/>
    <w:rsid w:val="00F0677D"/>
    <w:rPr>
      <w:rFonts w:cs="Arial"/>
    </w:rPr>
  </w:style>
  <w:style w:type="paragraph" w:customStyle="1" w:styleId="Caption">
    <w:name w:val="Caption"/>
    <w:basedOn w:val="a"/>
    <w:qFormat/>
    <w:rsid w:val="00F0677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f4">
    <w:name w:val="Покажчик"/>
    <w:basedOn w:val="a"/>
    <w:qFormat/>
    <w:rsid w:val="00F0677D"/>
    <w:pPr>
      <w:suppressLineNumbers/>
    </w:pPr>
    <w:rPr>
      <w:rFonts w:cs="Arial"/>
    </w:rPr>
  </w:style>
  <w:style w:type="paragraph" w:customStyle="1" w:styleId="af5">
    <w:name w:val="Назва об'єкта"/>
    <w:basedOn w:val="a"/>
    <w:qFormat/>
    <w:rsid w:val="00F0677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2">
    <w:name w:val="Текст примітки1"/>
    <w:basedOn w:val="a"/>
    <w:qFormat/>
    <w:rsid w:val="00F0677D"/>
    <w:pPr>
      <w:spacing w:line="240" w:lineRule="auto"/>
    </w:pPr>
    <w:rPr>
      <w:sz w:val="20"/>
      <w:szCs w:val="20"/>
      <w:lang w:val="uk-UA"/>
    </w:rPr>
  </w:style>
  <w:style w:type="paragraph" w:customStyle="1" w:styleId="af6">
    <w:name w:val="Тема примітки"/>
    <w:basedOn w:val="12"/>
    <w:next w:val="12"/>
    <w:qFormat/>
    <w:rsid w:val="00F0677D"/>
    <w:rPr>
      <w:b/>
      <w:bCs/>
    </w:rPr>
  </w:style>
  <w:style w:type="paragraph" w:customStyle="1" w:styleId="af7">
    <w:name w:val="Текст у виносці"/>
    <w:basedOn w:val="a"/>
    <w:qFormat/>
    <w:rsid w:val="00F0677D"/>
    <w:pPr>
      <w:spacing w:after="0" w:line="240" w:lineRule="auto"/>
    </w:pPr>
    <w:rPr>
      <w:rFonts w:ascii="Segoe UI" w:hAnsi="Segoe UI" w:cs="Segoe UI"/>
      <w:sz w:val="18"/>
      <w:szCs w:val="18"/>
      <w:lang w:val="uk-UA"/>
    </w:rPr>
  </w:style>
  <w:style w:type="paragraph" w:customStyle="1" w:styleId="af8">
    <w:name w:val="Нормальний текст"/>
    <w:basedOn w:val="a"/>
    <w:qFormat/>
    <w:rsid w:val="00F0677D"/>
    <w:pPr>
      <w:spacing w:before="120" w:after="0" w:line="240" w:lineRule="auto"/>
      <w:ind w:firstLine="567"/>
      <w:jc w:val="both"/>
    </w:pPr>
    <w:rPr>
      <w:rFonts w:ascii="Antiqua;Century Gothic" w:hAnsi="Antiqua;Century Gothic" w:cs="Antiqua;Century Gothic"/>
      <w:sz w:val="26"/>
      <w:szCs w:val="20"/>
      <w:lang w:val="uk-UA"/>
    </w:rPr>
  </w:style>
  <w:style w:type="paragraph" w:customStyle="1" w:styleId="4">
    <w:name w:val="Основной текст4"/>
    <w:basedOn w:val="a"/>
    <w:qFormat/>
    <w:rsid w:val="00F0677D"/>
    <w:pPr>
      <w:widowControl w:val="0"/>
      <w:shd w:val="clear" w:color="auto" w:fill="FFFFFF"/>
      <w:spacing w:before="4500" w:after="0" w:line="475" w:lineRule="exact"/>
      <w:ind w:hanging="460"/>
    </w:pPr>
    <w:rPr>
      <w:rFonts w:ascii="Times New Roman" w:eastAsia="Times New Roman" w:hAnsi="Times New Roman" w:cs="Times New Roman"/>
      <w:sz w:val="23"/>
      <w:szCs w:val="23"/>
      <w:lang w:val="uk-UA"/>
    </w:rPr>
  </w:style>
  <w:style w:type="paragraph" w:customStyle="1" w:styleId="af9">
    <w:name w:val="Абзац списку"/>
    <w:basedOn w:val="a"/>
    <w:qFormat/>
    <w:rsid w:val="00F0677D"/>
    <w:pPr>
      <w:spacing w:after="200" w:line="276" w:lineRule="auto"/>
      <w:ind w:left="720"/>
      <w:contextualSpacing/>
    </w:pPr>
    <w:rPr>
      <w:lang w:val="uk-UA"/>
    </w:rPr>
  </w:style>
  <w:style w:type="paragraph" w:customStyle="1" w:styleId="afa">
    <w:name w:val="Верхній і нижній колонтитули"/>
    <w:basedOn w:val="a"/>
    <w:qFormat/>
    <w:rsid w:val="00F0677D"/>
    <w:pPr>
      <w:suppressLineNumbers/>
      <w:tabs>
        <w:tab w:val="center" w:pos="4819"/>
        <w:tab w:val="right" w:pos="9638"/>
      </w:tabs>
    </w:pPr>
  </w:style>
  <w:style w:type="paragraph" w:customStyle="1" w:styleId="Footer">
    <w:name w:val="Footer"/>
    <w:basedOn w:val="a"/>
    <w:rsid w:val="00F0677D"/>
    <w:pPr>
      <w:spacing w:after="0" w:line="240" w:lineRule="auto"/>
    </w:pPr>
    <w:rPr>
      <w:sz w:val="20"/>
      <w:szCs w:val="20"/>
      <w:lang w:val="uk-UA"/>
    </w:rPr>
  </w:style>
  <w:style w:type="paragraph" w:customStyle="1" w:styleId="afb">
    <w:name w:val="Без інтервалів"/>
    <w:qFormat/>
    <w:rsid w:val="00F0677D"/>
    <w:pPr>
      <w:suppressAutoHyphens/>
    </w:pPr>
    <w:rPr>
      <w:rFonts w:ascii="Calibri" w:eastAsia="Calibri" w:hAnsi="Calibri" w:cs="Calibri"/>
      <w:sz w:val="22"/>
      <w:szCs w:val="22"/>
      <w:lang w:val="en-US" w:bidi="ar-SA"/>
    </w:rPr>
  </w:style>
  <w:style w:type="paragraph" w:customStyle="1" w:styleId="afc">
    <w:name w:val="Звичайний (веб)"/>
    <w:basedOn w:val="a"/>
    <w:qFormat/>
    <w:rsid w:val="00F0677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TML0">
    <w:name w:val="Стандартний HTML"/>
    <w:basedOn w:val="a"/>
    <w:qFormat/>
    <w:rsid w:val="00F0677D"/>
    <w:pPr>
      <w:spacing w:after="0" w:line="240" w:lineRule="auto"/>
    </w:pPr>
    <w:rPr>
      <w:rFonts w:ascii="Consolas" w:hAnsi="Consolas" w:cs="Consolas"/>
      <w:sz w:val="20"/>
      <w:szCs w:val="20"/>
      <w:lang w:val="uk-UA"/>
    </w:rPr>
  </w:style>
  <w:style w:type="paragraph" w:customStyle="1" w:styleId="31">
    <w:name w:val="Основний текст з відступом 31"/>
    <w:basedOn w:val="a"/>
    <w:qFormat/>
    <w:rsid w:val="00F0677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ru-RU"/>
    </w:rPr>
  </w:style>
  <w:style w:type="paragraph" w:customStyle="1" w:styleId="Header">
    <w:name w:val="Header"/>
    <w:basedOn w:val="a"/>
    <w:rsid w:val="00F0677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d">
    <w:name w:val="Вміст таблиці"/>
    <w:basedOn w:val="a"/>
    <w:qFormat/>
    <w:rsid w:val="00F0677D"/>
    <w:pPr>
      <w:suppressLineNumbers/>
    </w:pPr>
  </w:style>
  <w:style w:type="paragraph" w:customStyle="1" w:styleId="afe">
    <w:name w:val="Заголовок таблиці"/>
    <w:basedOn w:val="afd"/>
    <w:qFormat/>
    <w:rsid w:val="00F0677D"/>
    <w:pPr>
      <w:jc w:val="center"/>
    </w:pPr>
    <w:rPr>
      <w:b/>
      <w:bCs/>
    </w:rPr>
  </w:style>
  <w:style w:type="paragraph" w:customStyle="1" w:styleId="aff">
    <w:name w:val="Вміст рамки"/>
    <w:basedOn w:val="a"/>
    <w:qFormat/>
    <w:rsid w:val="00F0677D"/>
  </w:style>
  <w:style w:type="paragraph" w:styleId="aff0">
    <w:name w:val="No Spacing"/>
    <w:qFormat/>
    <w:rsid w:val="00F0677D"/>
    <w:pPr>
      <w:suppressAutoHyphens/>
    </w:pPr>
    <w:rPr>
      <w:rFonts w:ascii="Calibri" w:eastAsia="Calibri" w:hAnsi="Calibri" w:cs="Calibri"/>
      <w:sz w:val="22"/>
      <w:szCs w:val="22"/>
      <w:lang w:val="en-US" w:bidi="ar-SA"/>
    </w:rPr>
  </w:style>
  <w:style w:type="paragraph" w:customStyle="1" w:styleId="32">
    <w:name w:val="Основний текст з відступом 3"/>
    <w:basedOn w:val="a"/>
    <w:qFormat/>
    <w:rsid w:val="00F0677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ru-RU"/>
    </w:rPr>
  </w:style>
  <w:style w:type="paragraph" w:customStyle="1" w:styleId="aff1">
    <w:name w:val="Текст примітки"/>
    <w:basedOn w:val="a"/>
    <w:qFormat/>
    <w:rsid w:val="00F0677D"/>
    <w:pPr>
      <w:spacing w:line="240" w:lineRule="auto"/>
    </w:pPr>
    <w:rPr>
      <w:sz w:val="20"/>
      <w:szCs w:val="20"/>
      <w:lang w:val="uk-UA"/>
    </w:rPr>
  </w:style>
  <w:style w:type="paragraph" w:customStyle="1" w:styleId="13">
    <w:name w:val="Название объекта1"/>
    <w:basedOn w:val="a"/>
    <w:qFormat/>
    <w:rsid w:val="00F0677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4">
    <w:name w:val="Заголовок1"/>
    <w:basedOn w:val="a"/>
    <w:next w:val="a3"/>
    <w:qFormat/>
    <w:rsid w:val="00F0677D"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20">
    <w:name w:val="Название объекта2"/>
    <w:basedOn w:val="a"/>
    <w:qFormat/>
    <w:rsid w:val="00F0677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1">
    <w:name w:val="Заголовок2"/>
    <w:basedOn w:val="a"/>
    <w:next w:val="a3"/>
    <w:qFormat/>
    <w:rsid w:val="00F0677D"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styleId="aff2">
    <w:name w:val="caption"/>
    <w:basedOn w:val="a"/>
    <w:qFormat/>
    <w:rsid w:val="00F0677D"/>
    <w:pPr>
      <w:suppressLineNumbers/>
      <w:spacing w:before="120" w:after="120"/>
    </w:pPr>
    <w:rPr>
      <w:rFonts w:cs="Arial"/>
      <w:i/>
      <w:iCs/>
      <w:sz w:val="24"/>
      <w:szCs w:val="24"/>
    </w:rPr>
  </w:style>
  <w:style w:type="numbering" w:customStyle="1" w:styleId="WW8Num1">
    <w:name w:val="WW8Num1"/>
    <w:qFormat/>
    <w:rsid w:val="00F0677D"/>
  </w:style>
  <w:style w:type="numbering" w:customStyle="1" w:styleId="WW8Num2">
    <w:name w:val="WW8Num2"/>
    <w:qFormat/>
    <w:rsid w:val="00F0677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4</Pages>
  <Words>5078</Words>
  <Characters>2895</Characters>
  <Application>Microsoft Office Word</Application>
  <DocSecurity>0</DocSecurity>
  <Lines>24</Lines>
  <Paragraphs>15</Paragraphs>
  <ScaleCrop>false</ScaleCrop>
  <Company>Reanimator Extreme Edition</Company>
  <LinksUpToDate>false</LinksUpToDate>
  <CharactersWithSpaces>7958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karpuko</cp:lastModifiedBy>
  <cp:revision>76</cp:revision>
  <cp:lastPrinted>2021-12-17T14:28:00Z</cp:lastPrinted>
  <dcterms:created xsi:type="dcterms:W3CDTF">1995-11-21T17:41:00Z</dcterms:created>
  <dcterms:modified xsi:type="dcterms:W3CDTF">2021-12-17T14:31:00Z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