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64F89" w:rsidRPr="00453E3B" w:rsidRDefault="00362508">
      <w:pPr>
        <w:spacing w:after="0" w:line="240" w:lineRule="auto"/>
        <w:ind w:firstLine="851"/>
        <w:jc w:val="right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до протоколу</w:t>
      </w:r>
    </w:p>
    <w:p w:rsidR="00864F89" w:rsidRPr="00453E3B" w:rsidRDefault="00362508">
      <w:pPr>
        <w:spacing w:after="0" w:line="240" w:lineRule="auto"/>
        <w:ind w:firstLine="851"/>
        <w:jc w:val="right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від______№________</w:t>
      </w:r>
    </w:p>
    <w:p w:rsidR="00864F89" w:rsidRDefault="00864F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4F89" w:rsidRDefault="003625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Форма паспорту оцінки регуляторного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акта</w:t>
      </w:r>
      <w:proofErr w:type="spellEnd"/>
    </w:p>
    <w:p w:rsidR="00864F89" w:rsidRDefault="00864F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0095" w:type="dxa"/>
        <w:tblInd w:w="-188" w:type="dxa"/>
        <w:tblLayout w:type="fixed"/>
        <w:tblLook w:val="0000" w:firstRow="0" w:lastRow="0" w:firstColumn="0" w:lastColumn="0" w:noHBand="0" w:noVBand="0"/>
      </w:tblPr>
      <w:tblGrid>
        <w:gridCol w:w="562"/>
        <w:gridCol w:w="5103"/>
        <w:gridCol w:w="4430"/>
      </w:tblGrid>
      <w:tr w:rsidR="00864F89">
        <w:tc>
          <w:tcPr>
            <w:tcW w:w="10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Найменування органу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місцевого самоврядування</w:t>
            </w:r>
          </w:p>
          <w:p w:rsidR="00864F89" w:rsidRPr="00362508" w:rsidRDefault="0036250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uk-UA"/>
              </w:rPr>
            </w:pPr>
            <w:r w:rsidRPr="00362508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uk-UA"/>
              </w:rPr>
              <w:t>Луцька міська рада</w:t>
            </w:r>
          </w:p>
          <w:p w:rsidR="00864F89" w:rsidRDefault="00864F89">
            <w:pPr>
              <w:spacing w:after="0" w:line="240" w:lineRule="auto"/>
              <w:ind w:firstLine="851"/>
              <w:jc w:val="center"/>
              <w:rPr>
                <w:lang w:val="uk-UA"/>
              </w:rPr>
            </w:pPr>
          </w:p>
        </w:tc>
      </w:tr>
      <w:tr w:rsidR="00864F89" w:rsidRPr="00453E3B">
        <w:tc>
          <w:tcPr>
            <w:tcW w:w="10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Pr="00453E3B" w:rsidRDefault="0036250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453E3B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Назва, дата прийняття та номер </w:t>
            </w:r>
            <w:proofErr w:type="spellStart"/>
            <w:r w:rsidRPr="00453E3B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акта</w:t>
            </w:r>
            <w:proofErr w:type="spellEnd"/>
          </w:p>
          <w:p w:rsidR="00864F89" w:rsidRDefault="0036250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Рішення виконавчого комітету</w:t>
            </w:r>
          </w:p>
          <w:p w:rsidR="00864F89" w:rsidRDefault="00362508">
            <w:pPr>
              <w:spacing w:after="0" w:line="240" w:lineRule="auto"/>
              <w:ind w:firstLine="851"/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“Про затвердження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Правил користування міським та приміським пасажирським транспортом ( тролейбусом,</w:t>
            </w:r>
            <w:r w:rsidR="00453E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автобусом) у Луцькій міській територіальній громаді 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новій редакції” від 17.03.2021№ 205-1</w:t>
            </w:r>
          </w:p>
          <w:p w:rsidR="00864F89" w:rsidRPr="00453E3B" w:rsidRDefault="00864F89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864F89">
        <w:tc>
          <w:tcPr>
            <w:tcW w:w="10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Чи є акт регуляторним</w:t>
            </w:r>
          </w:p>
        </w:tc>
      </w:tr>
      <w:tr w:rsidR="00864F89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864F8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4F89" w:rsidRDefault="0036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є акт обов’язковими для виконання двома та більше суб’єктами господарювання?</w:t>
            </w:r>
          </w:p>
          <w:p w:rsidR="00864F89" w:rsidRDefault="00864F89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864F89" w:rsidRDefault="00362508">
            <w:pPr>
              <w:spacing w:after="0" w:line="240" w:lineRule="auto"/>
              <w:ind w:firstLine="851"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Так +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864F89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E3B" w:rsidRDefault="00453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3E3B" w:rsidRDefault="00453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4F89" w:rsidRDefault="0036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встановлює акт обов’язкові для виконання вимоги (наприклад, вимірювані параметри, вимоги щодо кваліфікаційного рівня, вимоги щодо зовнішнього вигляду тощо)?</w:t>
            </w:r>
          </w:p>
          <w:p w:rsidR="00864F89" w:rsidRDefault="00864F89">
            <w:pPr>
              <w:spacing w:after="0" w:line="24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864F89" w:rsidRDefault="00362508">
            <w:pPr>
              <w:spacing w:after="0" w:line="240" w:lineRule="auto"/>
              <w:ind w:firstLine="851"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Так +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864F89" w:rsidRDefault="00864F89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64F89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E3B" w:rsidRDefault="00453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53E3B" w:rsidRDefault="00453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4F89" w:rsidRDefault="0036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визначає акт механізми забезпечення дотримання вимог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(обов’язок отримання дозволу, погодження або отримання іншої адміністративної послуги, надання підтверджуючого документу, проведення експертизи, здійснення заходів контролю, подання звітності, тощо)?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864F89" w:rsidRDefault="00362508">
            <w:pPr>
              <w:spacing w:after="0" w:line="240" w:lineRule="auto"/>
              <w:ind w:firstLine="851"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Так +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864F89" w:rsidRPr="00453E3B">
        <w:trPr>
          <w:trHeight w:val="1100"/>
        </w:trPr>
        <w:tc>
          <w:tcPr>
            <w:tcW w:w="10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Висновок: </w:t>
            </w:r>
          </w:p>
          <w:p w:rsidR="00864F89" w:rsidRDefault="00362508">
            <w:pPr>
              <w:pStyle w:val="af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 є регуляторним;</w:t>
            </w:r>
          </w:p>
          <w:p w:rsidR="00864F89" w:rsidRDefault="00362508">
            <w:pPr>
              <w:pStyle w:val="af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 не є регуляторним та не потребує подальшого аналізу </w:t>
            </w:r>
          </w:p>
          <w:p w:rsidR="00864F89" w:rsidRDefault="00864F89">
            <w:pPr>
              <w:pStyle w:val="af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F89" w:rsidRPr="00453E3B">
        <w:tc>
          <w:tcPr>
            <w:tcW w:w="10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>Відповідність вимогам актів вищої юридичної сили, а також компетенції відповідного органу</w:t>
            </w:r>
          </w:p>
        </w:tc>
      </w:tr>
      <w:tr w:rsidR="00864F89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864F89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4F89" w:rsidRDefault="0036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відповідає акт вимогам актів вищої юридичної сили?</w:t>
            </w:r>
          </w:p>
          <w:p w:rsidR="00864F89" w:rsidRDefault="00864F8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ind w:firstLine="851"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ак+</w:t>
            </w:r>
          </w:p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Ні___ </w:t>
            </w:r>
          </w:p>
        </w:tc>
      </w:tr>
      <w:tr w:rsidR="00864F89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tabs>
                <w:tab w:val="right" w:pos="252"/>
                <w:tab w:val="center" w:pos="551"/>
              </w:tabs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був прийнятий в межах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компетенції органу?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Так + </w:t>
            </w:r>
          </w:p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 ___ </w:t>
            </w:r>
          </w:p>
          <w:p w:rsidR="00864F89" w:rsidRDefault="00864F89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64F89" w:rsidRPr="00453E3B">
        <w:tc>
          <w:tcPr>
            <w:tcW w:w="10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У разі, якщо виявлено невідповідність хоча б одному із зазначених критеріїв подальші розділи паспорту не заповнюються (за винятком розділу «Рекомендації» у якому наводиться відповідне обґрунтовування).</w:t>
            </w:r>
          </w:p>
        </w:tc>
      </w:tr>
      <w:tr w:rsidR="00864F89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864F89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4F89" w:rsidRDefault="0036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були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дотримані вимоги законодавства щодо процедури прийняття регуляторних актів?</w:t>
            </w:r>
          </w:p>
          <w:p w:rsidR="00864F89" w:rsidRDefault="00864F89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Так + </w:t>
            </w:r>
          </w:p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 ___ </w:t>
            </w:r>
          </w:p>
        </w:tc>
      </w:tr>
      <w:tr w:rsidR="00864F89">
        <w:tc>
          <w:tcPr>
            <w:tcW w:w="10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ind w:firstLine="567"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lastRenderedPageBreak/>
              <w:t>У разі, якщо виявлено невідповідність цьому критерію, продовжується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заповнення наступних розділів паспорту, а у розділі «Рекомендації», за умови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доцільності даного регулювання, зазначається про необхідність визнати цей акт таким, що потребує втрати чинності з одночасним розробленням нового регулювання з дотриманням всіх необхідних регуляторних процедур.</w:t>
            </w:r>
          </w:p>
        </w:tc>
      </w:tr>
      <w:tr w:rsidR="00864F89" w:rsidRPr="00453E3B">
        <w:tc>
          <w:tcPr>
            <w:tcW w:w="10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Визначення мети (цілі)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акта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органу та пробле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ми, яку цей акт мав би вирішувати</w:t>
            </w:r>
          </w:p>
        </w:tc>
      </w:tr>
      <w:tr w:rsidR="00864F89" w:rsidRPr="00453E3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3E3B" w:rsidRDefault="00453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4F89" w:rsidRDefault="0036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Існуюче формулювання мети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відсутнє ___</w:t>
            </w:r>
          </w:p>
          <w:p w:rsidR="00864F89" w:rsidRDefault="00362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(робиться позначка)</w:t>
            </w:r>
          </w:p>
          <w:p w:rsidR="00864F89" w:rsidRDefault="00362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 наводиться існуюче формулювання</w:t>
            </w:r>
          </w:p>
          <w:p w:rsidR="00864F89" w:rsidRDefault="00864F89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64F89" w:rsidRPr="00453E3B">
        <w:trPr>
          <w:trHeight w:val="8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Визначення мети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суб’єктивними чинниками.</w:t>
            </w:r>
          </w:p>
          <w:p w:rsidR="00864F89" w:rsidRDefault="00864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864F89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64F89" w:rsidRPr="00453E3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453E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Визначення проблем, які акт повинен був би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вирішувати.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864F89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64F89">
        <w:tc>
          <w:tcPr>
            <w:tcW w:w="10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Оцінка діючого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акта</w:t>
            </w:r>
            <w:proofErr w:type="spellEnd"/>
          </w:p>
        </w:tc>
      </w:tr>
      <w:tr w:rsidR="00864F89" w:rsidRPr="00453E3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864F8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Хто є суб’єктами цього регулювання, скільки цих суб’єктів приблизно є?</w:t>
            </w:r>
          </w:p>
          <w:p w:rsidR="00864F89" w:rsidRDefault="00864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864F89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64F89" w:rsidRPr="00453E3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864F8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Якими є обов’язкові вимоги що повинні виконуватися?</w:t>
            </w:r>
          </w:p>
          <w:p w:rsidR="00864F89" w:rsidRDefault="00864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864F89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64F89" w:rsidRPr="00453E3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Які регуляторні інструменти використовуються (отримання дозволу, подача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звітності, проведення заході контролю тощо)?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864F89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64F89" w:rsidRPr="00453E3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Приблизна оцінка вартості виконання всіх вимог для одного суб’єкта регулювання.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864F89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64F89" w:rsidRPr="00453E3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Скільки коштує адміністрування цього регулювання органом влади або місцевого самоврядування (затрати робочого часу на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видачу дозволів, погодження та перевірки)?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864F89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64F89" w:rsidRPr="00453E3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864F8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повністю забороняє, обмежує через квоти, зонування, дозвільну систему високі тарифи певні сектори чи види підприємницької діяльності (наприклад мобільні кав’ярні, мобільні заклади харчування, квартири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 надаються послуги тимчасового розміщення, послуги гідів, перевізників, переносну торгівлю, тощо)?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864F89" w:rsidRPr="00453E3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встановлює вимогу обов’язкової послуги що повинна надаватись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окремими суб’єктами господарювання (комунальними підприємствами, установами тощо) у сферах, де такі послуги можуть надаватись приватними підприємствами в умовах вільного ринку?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864F89" w:rsidRPr="00453E3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встановлює вимоги які настроєні під діючі підприємства у тій чи іншій сферах, чи дискримінує підприємства за розміром (строку діяльності кількість працівників, використання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комунальної послуги, довготривалі договори оренди, розмір матеріальних ак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тивів тощо)?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Ні ____</w:t>
            </w:r>
          </w:p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864F89" w:rsidRPr="00453E3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чи практика його виконання обмежує конкуренцію іншим методом, не описаним вище?</w:t>
            </w:r>
          </w:p>
          <w:p w:rsidR="00864F89" w:rsidRDefault="00864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Так ___ (пояснення наводиться у обґрунтуванні розділу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«Рекомендації»)</w:t>
            </w:r>
          </w:p>
        </w:tc>
      </w:tr>
      <w:tr w:rsidR="00864F89" w:rsidRPr="00453E3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визначає процедуру за якою індивідуальні рішення що стосуються суб’єктів господарювання (про видачу дозволу, погодження, іншого документу) приймається колегіально?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екомендації»)</w:t>
            </w:r>
          </w:p>
          <w:p w:rsidR="00864F89" w:rsidRDefault="00864F89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64F89" w:rsidRPr="00453E3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встановлює процедуру, за якою індивідуальні рішення що стосуються суб’єктів господарювання приймаються посадовими особами без чіткого та вичерпного переліку критеріїв для прийняття таких рішень (можливість прийняття дискретних во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люнтаристських рішень)?</w:t>
            </w:r>
          </w:p>
          <w:p w:rsidR="00864F89" w:rsidRDefault="00864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864F89" w:rsidRPr="00453E3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делегує виконання регуляторної функції чи її частини (включно з наданням обов’язкових послуг) певному суб’єкту господарювання (комунальному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підприємству, установі, тощо)?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864F89" w:rsidRPr="00453E3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вимагає придбання обладнання товарів чи послуг певного зразка чи у певних суб’єктів господарювання?</w:t>
            </w:r>
          </w:p>
          <w:p w:rsidR="00864F89" w:rsidRDefault="00864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ься у обґрунтуванні розділу «Рекомендації»)</w:t>
            </w:r>
          </w:p>
        </w:tc>
      </w:tr>
      <w:tr w:rsidR="00864F89" w:rsidRPr="00453E3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чи практика його призводить до збільшення корупційних можливостей іншими методами не описаним вище?</w:t>
            </w:r>
          </w:p>
          <w:p w:rsidR="00864F89" w:rsidRDefault="00864F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864F89" w:rsidRDefault="00362508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864F89" w:rsidRPr="00453E3B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89" w:rsidRDefault="003625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Співвідношення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масштабу регуляторного режиму та рівня фактичного вирішення проблеми.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864F89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64F89">
        <w:tc>
          <w:tcPr>
            <w:tcW w:w="10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Рекомендації</w:t>
            </w:r>
          </w:p>
        </w:tc>
      </w:tr>
      <w:tr w:rsidR="00864F89" w:rsidRPr="00453E3B">
        <w:tc>
          <w:tcPr>
            <w:tcW w:w="10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89" w:rsidRDefault="00362508">
            <w:pPr>
              <w:pStyle w:val="af7"/>
              <w:spacing w:after="0" w:line="240" w:lineRule="auto"/>
              <w:ind w:left="22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Зазначається один з наступних варіантів:</w:t>
            </w:r>
          </w:p>
          <w:p w:rsidR="00864F89" w:rsidRDefault="00362508">
            <w:pPr>
              <w:pStyle w:val="af7"/>
              <w:spacing w:after="0" w:line="240" w:lineRule="auto"/>
              <w:ind w:left="0" w:firstLine="567"/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Залишити акт без змін.</w:t>
            </w:r>
          </w:p>
          <w:p w:rsidR="00864F89" w:rsidRDefault="00362508">
            <w:pPr>
              <w:pStyle w:val="af7"/>
              <w:spacing w:after="0" w:line="240" w:lineRule="auto"/>
              <w:ind w:left="0" w:firstLine="567"/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Внести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зміни до діючого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акта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в частині приєднання сільських територій до міста.</w:t>
            </w:r>
          </w:p>
          <w:p w:rsidR="00864F89" w:rsidRDefault="00362508">
            <w:pPr>
              <w:pStyle w:val="af7"/>
              <w:spacing w:after="0" w:line="240" w:lineRule="auto"/>
              <w:ind w:left="0" w:firstLine="567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Визнати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таким, що втратив чинність, діючий акт та прийняти новий із дотриманням вимогам законодавства щодо змісту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акта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та процедури його прийняття.</w:t>
            </w:r>
          </w:p>
          <w:p w:rsidR="00864F89" w:rsidRDefault="00362508">
            <w:pPr>
              <w:pStyle w:val="af7"/>
              <w:spacing w:after="0" w:line="240" w:lineRule="auto"/>
              <w:ind w:left="0" w:firstLine="567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Повністю визнати таким, що втратив чинність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</w:p>
        </w:tc>
      </w:tr>
      <w:tr w:rsidR="00864F89" w:rsidRPr="00362508">
        <w:tc>
          <w:tcPr>
            <w:tcW w:w="10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508" w:rsidRDefault="00362508" w:rsidP="0036250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Обґрунтування </w:t>
            </w:r>
          </w:p>
          <w:p w:rsidR="00864F89" w:rsidRPr="00453E3B" w:rsidRDefault="00362508">
            <w:pPr>
              <w:spacing w:after="0" w:line="240" w:lineRule="auto"/>
              <w:contextualSpacing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</w:t>
            </w:r>
            <w:r w:rsidRPr="0036250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Норми регуляторного </w:t>
            </w:r>
            <w:proofErr w:type="spellStart"/>
            <w:r w:rsidRPr="0036250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акта</w:t>
            </w:r>
            <w:proofErr w:type="spellEnd"/>
            <w:r w:rsidRPr="0036250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поширюються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будь - яких  суб’єктів господарювання, які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 учасниками відносин, на регулювання яких спрямовано цей акт. Рішення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розробле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но керуючись законами України “Про місцеве самоврядування в Україні”, “Про міський електричний транспорт”, “Про дорожній рух”, “Про автомобільний транспорт”,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Цивільним кодексом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України,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Правилами надання населенню послуг з перевезень міським електротранспортом, затвердженими постановою Кабінету Міністрів України </w:t>
            </w:r>
            <w:r>
              <w:rPr>
                <w:rStyle w:val="rvts4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від 23.12.2004 № 1735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Правилами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 xml:space="preserve">надання послуг пасажирського автомобільного транспорту, затвердженими постановою Кабінету Міністрів України </w:t>
            </w:r>
            <w:r>
              <w:rPr>
                <w:rStyle w:val="rvts4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від 18.02.1997 № 176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рішенням міської ради від 26.09.2018 № 47/48 “Про програму автоматизованої системи оплати проїзду та обліку пасажи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рів в громадському транспорті м. Луцька”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362508" w:rsidRDefault="00362508" w:rsidP="00362508">
            <w:pPr>
              <w:tabs>
                <w:tab w:val="left" w:pos="-13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Даним рішенням визначається порядок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користування міським та приміським пасажирським транспортом (тролейбусом, автобусом) у Луцькій міській територіальній громаді, порядок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проїзду пасажирів та його оплату, порядок обігу електронного квитка, взаємовідносини Перевізн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ика, Оператора та пасажирів, їх права та обов'язки, враховуючи особливості транспортної інфраструктури та наявність автоматизованої системи обліку оплати проїзду. Рішення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обов'язкове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для виконання усіма пасажирами, працівниками Перевізника та Оператора.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ацівники Перевізника чи Оператора не можуть надавати чи встановлювати інші умови користування транспортними послугами, ніж ті, що визначені даним рішенням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. </w:t>
            </w:r>
          </w:p>
          <w:p w:rsidR="00362508" w:rsidRDefault="00362508" w:rsidP="00362508">
            <w:pPr>
              <w:tabs>
                <w:tab w:val="left" w:pos="-130"/>
              </w:tabs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00"/>
                <w:lang w:val="uk-UA"/>
              </w:rPr>
            </w:pPr>
            <w:bookmarkStart w:id="1" w:name="__DdeLink__324_2529035838"/>
            <w:r>
              <w:rPr>
                <w:rFonts w:ascii="Times New Roman" w:hAnsi="Times New Roman"/>
                <w:color w:val="000000"/>
                <w:sz w:val="24"/>
                <w:szCs w:val="24"/>
                <w:highlight w:val="white"/>
                <w:lang w:val="uk-UA"/>
              </w:rPr>
              <w:t>Регуляторний акт пройшов повністю регуляторну процедуру відповідно до Закону України “Про засади державної регуляторної політики у сфері господарської діяльності”. Відповідає ст. 19. Конституції України (органи державної влади та органи місцевого самоврядування, їх посадові особи зобов’язані діяти лише на підставі, в межах повноважень та у спосіб, що передбачено Конституцією та законами України).</w:t>
            </w:r>
            <w:bookmarkEnd w:id="1"/>
          </w:p>
          <w:p w:rsidR="00864F89" w:rsidRDefault="00864F89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00"/>
                <w:lang w:val="uk-UA"/>
              </w:rPr>
            </w:pPr>
          </w:p>
        </w:tc>
      </w:tr>
    </w:tbl>
    <w:p w:rsidR="00864F89" w:rsidRDefault="00864F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4F89" w:rsidRPr="00362508" w:rsidRDefault="00864F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864F89" w:rsidRPr="00362508">
      <w:headerReference w:type="default" r:id="rId7"/>
      <w:headerReference w:type="first" r:id="rId8"/>
      <w:pgSz w:w="12240" w:h="15840"/>
      <w:pgMar w:top="851" w:right="850" w:bottom="851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62508">
      <w:pPr>
        <w:spacing w:after="0" w:line="240" w:lineRule="auto"/>
      </w:pPr>
      <w:r>
        <w:separator/>
      </w:r>
    </w:p>
  </w:endnote>
  <w:endnote w:type="continuationSeparator" w:id="0">
    <w:p w:rsidR="00000000" w:rsidRDefault="00362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;Century Gothic"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62508">
      <w:pPr>
        <w:spacing w:after="0" w:line="240" w:lineRule="auto"/>
      </w:pPr>
      <w:r>
        <w:separator/>
      </w:r>
    </w:p>
  </w:footnote>
  <w:footnote w:type="continuationSeparator" w:id="0">
    <w:p w:rsidR="00000000" w:rsidRDefault="00362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F89" w:rsidRDefault="00362508">
    <w:pPr>
      <w:pStyle w:val="afc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</w:p>
  <w:p w:rsidR="00864F89" w:rsidRDefault="00864F89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F89" w:rsidRDefault="00864F89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3A6BB5"/>
    <w:multiLevelType w:val="multilevel"/>
    <w:tmpl w:val="B7A249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BDA5BD7"/>
    <w:multiLevelType w:val="multilevel"/>
    <w:tmpl w:val="3ECA55A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F89"/>
    <w:rsid w:val="00362508"/>
    <w:rsid w:val="00453E3B"/>
    <w:rsid w:val="0086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A54F5"/>
  <w15:docId w15:val="{6313863E-7133-4360-B588-5B7294CAA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 Unicode MS"/>
        <w:sz w:val="24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2" w:lineRule="auto"/>
    </w:pPr>
    <w:rPr>
      <w:rFonts w:ascii="Calibri" w:eastAsia="Calibri" w:hAnsi="Calibri" w:cs="Calibri"/>
      <w:sz w:val="22"/>
      <w:szCs w:val="22"/>
      <w:lang w:val="en-US" w:bidi="ar-SA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mbria" w:hAnsi="Cambria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cs="Times New Roman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4">
    <w:name w:val="Шрифт абзацу за замовчуванням"/>
    <w:qFormat/>
  </w:style>
  <w:style w:type="character" w:customStyle="1" w:styleId="a5">
    <w:name w:val="Знак примітки"/>
    <w:qFormat/>
    <w:rPr>
      <w:sz w:val="16"/>
      <w:szCs w:val="16"/>
    </w:rPr>
  </w:style>
  <w:style w:type="character" w:customStyle="1" w:styleId="a6">
    <w:name w:val="Текст примітки Знак"/>
    <w:qFormat/>
    <w:rPr>
      <w:sz w:val="20"/>
      <w:szCs w:val="20"/>
    </w:rPr>
  </w:style>
  <w:style w:type="character" w:customStyle="1" w:styleId="a7">
    <w:name w:val="Тема примітки Знак"/>
    <w:qFormat/>
    <w:rPr>
      <w:b/>
      <w:bCs/>
      <w:sz w:val="20"/>
      <w:szCs w:val="20"/>
    </w:rPr>
  </w:style>
  <w:style w:type="character" w:customStyle="1" w:styleId="a8">
    <w:name w:val="Текст у виносці Знак"/>
    <w:qFormat/>
    <w:rPr>
      <w:rFonts w:ascii="Segoe UI" w:hAnsi="Segoe UI" w:cs="Segoe UI"/>
      <w:sz w:val="18"/>
      <w:szCs w:val="18"/>
    </w:rPr>
  </w:style>
  <w:style w:type="character" w:customStyle="1" w:styleId="a9">
    <w:name w:val="Нормальний текст Знак"/>
    <w:qFormat/>
    <w:rPr>
      <w:rFonts w:ascii="Antiqua;Century Gothic" w:hAnsi="Antiqua;Century Gothic" w:cs="Antiqua;Century Gothic"/>
      <w:sz w:val="26"/>
      <w:szCs w:val="20"/>
    </w:rPr>
  </w:style>
  <w:style w:type="character" w:customStyle="1" w:styleId="rvts9">
    <w:name w:val="rvts9"/>
    <w:qFormat/>
    <w:rPr>
      <w:rFonts w:ascii="Times New Roman" w:hAnsi="Times New Roman" w:cs="Times New Roman"/>
    </w:rPr>
  </w:style>
  <w:style w:type="character" w:customStyle="1" w:styleId="rvts23">
    <w:name w:val="rvts23"/>
    <w:qFormat/>
    <w:rPr>
      <w:rFonts w:ascii="Times New Roman" w:hAnsi="Times New Roman" w:cs="Times New Roman"/>
    </w:rPr>
  </w:style>
  <w:style w:type="character" w:customStyle="1" w:styleId="aa">
    <w:name w:val="Основной текст_"/>
    <w:qFormat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b">
    <w:name w:val="Гіперпосилання"/>
    <w:rPr>
      <w:color w:val="0563C1"/>
      <w:u w:val="single"/>
    </w:rPr>
  </w:style>
  <w:style w:type="character" w:customStyle="1" w:styleId="1">
    <w:name w:val="Незакрита згадка1"/>
    <w:qFormat/>
    <w:rPr>
      <w:color w:val="808080"/>
      <w:shd w:val="clear" w:color="auto" w:fill="E6E6E6"/>
    </w:rPr>
  </w:style>
  <w:style w:type="character" w:customStyle="1" w:styleId="ac">
    <w:name w:val="Нижній колонтитул Знак"/>
    <w:qFormat/>
    <w:rPr>
      <w:lang w:val="uk-UA"/>
    </w:rPr>
  </w:style>
  <w:style w:type="character" w:customStyle="1" w:styleId="ad">
    <w:name w:val="Відвідане гіперпосилання"/>
    <w:rPr>
      <w:color w:val="954F72"/>
      <w:u w:val="single"/>
    </w:rPr>
  </w:style>
  <w:style w:type="character" w:customStyle="1" w:styleId="30">
    <w:name w:val="Заголовок 3 Знак"/>
    <w:qFormat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TML">
    <w:name w:val="Стандартний HTML Знак"/>
    <w:qFormat/>
    <w:rPr>
      <w:rFonts w:ascii="Consolas" w:hAnsi="Consolas" w:cs="Consolas"/>
      <w:sz w:val="20"/>
      <w:szCs w:val="20"/>
    </w:rPr>
  </w:style>
  <w:style w:type="character" w:customStyle="1" w:styleId="31">
    <w:name w:val="Основний текст з відступом 3 Знак"/>
    <w:qFormat/>
    <w:rPr>
      <w:rFonts w:ascii="Times New Roman" w:eastAsia="Times New Roman" w:hAnsi="Times New Roman" w:cs="Times New Roman"/>
      <w:color w:val="000000"/>
      <w:sz w:val="24"/>
      <w:szCs w:val="20"/>
      <w:lang w:val="ru-RU"/>
    </w:rPr>
  </w:style>
  <w:style w:type="character" w:customStyle="1" w:styleId="ae">
    <w:name w:val="Верхній колонтитул Знак"/>
    <w:basedOn w:val="a4"/>
    <w:qFormat/>
  </w:style>
  <w:style w:type="character" w:customStyle="1" w:styleId="rvts44">
    <w:name w:val="rvts44"/>
    <w:qFormat/>
    <w:rPr>
      <w:rFonts w:cs="Times New Roman"/>
    </w:rPr>
  </w:style>
  <w:style w:type="paragraph" w:styleId="af">
    <w:name w:val="Title"/>
    <w:basedOn w:val="a"/>
    <w:next w:val="a0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0">
    <w:name w:val="List"/>
    <w:basedOn w:val="a0"/>
    <w:rPr>
      <w:rFonts w:cs="Arial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2">
    <w:name w:val="Покажчик"/>
    <w:basedOn w:val="a"/>
    <w:qFormat/>
    <w:pPr>
      <w:suppressLineNumbers/>
    </w:pPr>
    <w:rPr>
      <w:rFonts w:cs="Arial"/>
    </w:rPr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af3">
    <w:name w:val="Текст примітки"/>
    <w:basedOn w:val="a"/>
    <w:qFormat/>
    <w:pPr>
      <w:spacing w:line="240" w:lineRule="auto"/>
    </w:pPr>
    <w:rPr>
      <w:sz w:val="20"/>
      <w:szCs w:val="20"/>
      <w:lang w:val="uk-UA"/>
    </w:rPr>
  </w:style>
  <w:style w:type="paragraph" w:customStyle="1" w:styleId="af4">
    <w:name w:val="Тема примітки"/>
    <w:basedOn w:val="af3"/>
    <w:next w:val="af3"/>
    <w:qFormat/>
    <w:rPr>
      <w:b/>
      <w:bCs/>
    </w:rPr>
  </w:style>
  <w:style w:type="paragraph" w:customStyle="1" w:styleId="af5">
    <w:name w:val="Текст у виносці"/>
    <w:basedOn w:val="a"/>
    <w:qFormat/>
    <w:pPr>
      <w:spacing w:after="0" w:line="240" w:lineRule="auto"/>
    </w:pPr>
    <w:rPr>
      <w:rFonts w:ascii="Segoe UI" w:hAnsi="Segoe UI" w:cs="Segoe UI"/>
      <w:sz w:val="18"/>
      <w:szCs w:val="18"/>
      <w:lang w:val="uk-UA"/>
    </w:rPr>
  </w:style>
  <w:style w:type="paragraph" w:customStyle="1" w:styleId="af6">
    <w:name w:val="Нормальний текст"/>
    <w:basedOn w:val="a"/>
    <w:qFormat/>
    <w:pPr>
      <w:spacing w:before="120" w:after="0" w:line="240" w:lineRule="auto"/>
      <w:ind w:firstLine="567"/>
      <w:jc w:val="both"/>
    </w:pPr>
    <w:rPr>
      <w:rFonts w:ascii="Antiqua;Century Gothic" w:hAnsi="Antiqua;Century Gothic" w:cs="Antiqua;Century Gothic"/>
      <w:sz w:val="26"/>
      <w:szCs w:val="20"/>
      <w:lang w:val="uk-UA"/>
    </w:rPr>
  </w:style>
  <w:style w:type="paragraph" w:customStyle="1" w:styleId="4">
    <w:name w:val="Основной текст4"/>
    <w:basedOn w:val="a"/>
    <w:qFormat/>
    <w:pPr>
      <w:widowControl w:val="0"/>
      <w:shd w:val="clear" w:color="auto" w:fill="FFFFFF"/>
      <w:spacing w:before="4500" w:after="0" w:line="475" w:lineRule="exact"/>
      <w:ind w:hanging="460"/>
    </w:pPr>
    <w:rPr>
      <w:rFonts w:ascii="Times New Roman" w:eastAsia="Times New Roman" w:hAnsi="Times New Roman" w:cs="Times New Roman"/>
      <w:sz w:val="23"/>
      <w:szCs w:val="23"/>
      <w:lang w:val="uk-UA"/>
    </w:rPr>
  </w:style>
  <w:style w:type="paragraph" w:customStyle="1" w:styleId="af7">
    <w:name w:val="Абзац списку"/>
    <w:basedOn w:val="a"/>
    <w:qFormat/>
    <w:pPr>
      <w:spacing w:after="200" w:line="276" w:lineRule="auto"/>
      <w:ind w:left="720"/>
      <w:contextualSpacing/>
    </w:pPr>
    <w:rPr>
      <w:lang w:val="uk-UA"/>
    </w:rPr>
  </w:style>
  <w:style w:type="paragraph" w:customStyle="1" w:styleId="af8">
    <w:name w:val="Верхній і нижній колонтитули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9">
    <w:name w:val="footer"/>
    <w:basedOn w:val="a"/>
    <w:pPr>
      <w:spacing w:after="0" w:line="240" w:lineRule="auto"/>
    </w:pPr>
    <w:rPr>
      <w:sz w:val="20"/>
      <w:szCs w:val="20"/>
      <w:lang w:val="uk-UA"/>
    </w:rPr>
  </w:style>
  <w:style w:type="paragraph" w:customStyle="1" w:styleId="afa">
    <w:name w:val="Без інтервалів"/>
    <w:qFormat/>
    <w:rPr>
      <w:rFonts w:ascii="Calibri" w:eastAsia="Calibri" w:hAnsi="Calibri" w:cs="Calibri"/>
      <w:sz w:val="22"/>
      <w:szCs w:val="22"/>
      <w:lang w:val="en-US" w:bidi="ar-SA"/>
    </w:rPr>
  </w:style>
  <w:style w:type="paragraph" w:customStyle="1" w:styleId="afb">
    <w:name w:val="Звичайний (веб)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0">
    <w:name w:val="Стандартний HTML"/>
    <w:basedOn w:val="a"/>
    <w:qFormat/>
    <w:pPr>
      <w:spacing w:after="0" w:line="240" w:lineRule="auto"/>
    </w:pPr>
    <w:rPr>
      <w:rFonts w:ascii="Consolas" w:hAnsi="Consolas" w:cs="Consolas"/>
      <w:sz w:val="20"/>
      <w:szCs w:val="20"/>
      <w:lang w:val="uk-UA"/>
    </w:rPr>
  </w:style>
  <w:style w:type="paragraph" w:customStyle="1" w:styleId="32">
    <w:name w:val="Основний текст з відступом 3"/>
    <w:basedOn w:val="a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ru-RU"/>
    </w:rPr>
  </w:style>
  <w:style w:type="paragraph" w:styleId="afc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d">
    <w:name w:val="Вміст таблиці"/>
    <w:basedOn w:val="a"/>
    <w:qFormat/>
    <w:pPr>
      <w:suppressLineNumbers/>
    </w:pPr>
  </w:style>
  <w:style w:type="paragraph" w:customStyle="1" w:styleId="afe">
    <w:name w:val="Заголовок таблиці"/>
    <w:basedOn w:val="afd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4900</Words>
  <Characters>2794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Користувач</cp:lastModifiedBy>
  <cp:revision>9</cp:revision>
  <cp:lastPrinted>1995-11-21T17:41:00Z</cp:lastPrinted>
  <dcterms:created xsi:type="dcterms:W3CDTF">1995-11-21T17:41:00Z</dcterms:created>
  <dcterms:modified xsi:type="dcterms:W3CDTF">2021-12-18T18:06:00Z</dcterms:modified>
  <dc:language>uk-UA</dc:language>
</cp:coreProperties>
</file>