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left="0" w:right="0" w:firstLine="851"/>
        <w:jc w:val="right"/>
        <w:rPr>
          <w:rFonts w:ascii="Times New Roman" w:hAnsi="Times New Roman" w:cs="Times New Roman"/>
          <w:sz w:val="24"/>
          <w:szCs w:val="24"/>
          <w:lang w:val="uk-UA"/>
        </w:rPr>
      </w:pPr>
      <w:r>
        <w:rPr>
          <w:rFonts w:cs="Times New Roman" w:ascii="Times New Roman" w:hAnsi="Times New Roman"/>
          <w:sz w:val="24"/>
          <w:szCs w:val="24"/>
          <w:lang w:val="uk-UA"/>
        </w:rPr>
        <w:t>Додаток до протоколу</w:t>
      </w:r>
    </w:p>
    <w:p>
      <w:pPr>
        <w:pStyle w:val="Normal"/>
        <w:spacing w:lineRule="auto" w:line="240" w:before="0" w:after="0"/>
        <w:ind w:left="0" w:right="0" w:firstLine="851"/>
        <w:jc w:val="right"/>
        <w:rPr>
          <w:rFonts w:ascii="Times New Roman" w:hAnsi="Times New Roman" w:cs="Times New Roman"/>
          <w:sz w:val="24"/>
          <w:szCs w:val="24"/>
          <w:lang w:val="uk-UA"/>
        </w:rPr>
      </w:pP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9870" w:type="dxa"/>
        <w:jc w:val="left"/>
        <w:tblInd w:w="9" w:type="dxa"/>
        <w:tblLayout w:type="fixed"/>
        <w:tblCellMar>
          <w:top w:w="0" w:type="dxa"/>
          <w:left w:w="108" w:type="dxa"/>
          <w:bottom w:w="0" w:type="dxa"/>
          <w:right w:w="108" w:type="dxa"/>
        </w:tblCellMar>
      </w:tblPr>
      <w:tblGrid>
        <w:gridCol w:w="625"/>
        <w:gridCol w:w="4800"/>
        <w:gridCol w:w="4445"/>
      </w:tblGrid>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Луцька міська рада</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Назва, дата прийняття та номер акта</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Рішення міської ради</w:t>
            </w:r>
          </w:p>
          <w:p>
            <w:pPr>
              <w:pStyle w:val="Normal"/>
              <w:widowControl w:val="false"/>
              <w:spacing w:lineRule="auto" w:line="240" w:before="0" w:after="0"/>
              <w:ind w:left="0" w:right="0" w:firstLine="851"/>
              <w:jc w:val="center"/>
              <w:rPr>
                <w:rFonts w:ascii="Times New Roman" w:hAnsi="Times New Roman" w:cs="Times New Roman"/>
                <w:sz w:val="24"/>
                <w:szCs w:val="24"/>
                <w:lang w:val="uk-UA"/>
              </w:rPr>
            </w:pPr>
            <w:r>
              <w:rPr>
                <w:rFonts w:cs="Times New Roman" w:ascii="Times New Roman" w:hAnsi="Times New Roman"/>
                <w:b/>
                <w:bCs/>
                <w:sz w:val="24"/>
                <w:szCs w:val="24"/>
                <w:lang w:val="uk-UA"/>
              </w:rPr>
              <w:t>“</w:t>
            </w:r>
            <w:r>
              <w:rPr>
                <w:rFonts w:cs="Times New Roman" w:ascii="Times New Roman" w:hAnsi="Times New Roman"/>
                <w:b/>
                <w:bCs/>
                <w:sz w:val="24"/>
                <w:szCs w:val="24"/>
                <w:lang w:val="uk-UA"/>
              </w:rPr>
              <w:t>Про встановлення ставок земельного податку” від 10.07.2020 № 86/2</w:t>
            </w:r>
          </w:p>
          <w:p>
            <w:pPr>
              <w:pStyle w:val="Normal"/>
              <w:widowControl w:val="false"/>
              <w:spacing w:lineRule="auto" w:line="240" w:before="0" w:after="0"/>
              <w:ind w:left="0" w:right="0" w:firstLine="851"/>
              <w:jc w:val="center"/>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b/>
                <w:b/>
                <w:bCs/>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right="0" w:hanging="0"/>
              <w:contextualSpacing/>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rHeight w:val="1095" w:hRule="atLeast"/>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pPr>
            <w:r>
              <w:rPr>
                <w:rFonts w:eastAsia="Times New Roman" w:cs="Times New Roman" w:ascii="Times New Roman" w:hAnsi="Times New Roman"/>
                <w:sz w:val="24"/>
                <w:szCs w:val="24"/>
                <w:lang w:val="uk-UA"/>
              </w:rPr>
              <w:t xml:space="preserve">      </w:t>
            </w:r>
            <w:r>
              <w:rPr>
                <w:rFonts w:cs="Times New Roman" w:ascii="Times New Roman" w:hAnsi="Times New Roman"/>
                <w:sz w:val="24"/>
                <w:szCs w:val="24"/>
                <w:lang w:val="uk-UA"/>
              </w:rPr>
              <w:t>Висновок:</w:t>
            </w:r>
          </w:p>
          <w:p>
            <w:pPr>
              <w:pStyle w:val="Style36"/>
              <w:widowControl w:val="false"/>
              <w:numPr>
                <w:ilvl w:val="0"/>
                <w:numId w:val="2"/>
              </w:numPr>
              <w:spacing w:lineRule="auto" w:line="240" w:before="0" w:after="0"/>
              <w:ind w:left="720" w:right="0" w:hanging="360"/>
              <w:contextualSpacing/>
              <w:rPr>
                <w:rFonts w:ascii="Times New Roman" w:hAnsi="Times New Roman" w:cs="Times New Roman"/>
                <w:b/>
                <w:b/>
                <w:bCs/>
                <w:sz w:val="24"/>
                <w:szCs w:val="24"/>
              </w:rPr>
            </w:pPr>
            <w:r>
              <w:rPr>
                <w:rFonts w:cs="Times New Roman" w:ascii="Times New Roman" w:hAnsi="Times New Roman"/>
                <w:b/>
                <w:bCs/>
                <w:sz w:val="24"/>
                <w:szCs w:val="24"/>
              </w:rPr>
              <w:t>акт є регуляторним;</w:t>
            </w:r>
          </w:p>
          <w:p>
            <w:pPr>
              <w:pStyle w:val="Style36"/>
              <w:widowControl w:val="false"/>
              <w:numPr>
                <w:ilvl w:val="0"/>
                <w:numId w:val="2"/>
              </w:numPr>
              <w:spacing w:lineRule="auto" w:line="240" w:before="0" w:after="0"/>
              <w:ind w:left="720" w:right="0" w:hanging="360"/>
              <w:contextualSpacing/>
              <w:rPr>
                <w:rFonts w:ascii="Times New Roman" w:hAnsi="Times New Roman" w:cs="Times New Roman"/>
                <w:sz w:val="24"/>
                <w:szCs w:val="24"/>
              </w:rPr>
            </w:pPr>
            <w:r>
              <w:rPr>
                <w:rFonts w:cs="Times New Roman" w:ascii="Times New Roman" w:hAnsi="Times New Roman"/>
                <w:sz w:val="24"/>
                <w:szCs w:val="24"/>
              </w:rPr>
              <w:t>акт не є регуляторним та не потребує подальшого аналізу</w:t>
            </w:r>
          </w:p>
          <w:p>
            <w:pPr>
              <w:pStyle w:val="Style36"/>
              <w:widowControl w:val="false"/>
              <w:spacing w:lineRule="auto" w:line="240" w:before="0" w:after="0"/>
              <w:ind w:right="0" w:hanging="0"/>
              <w:contextualSpacing/>
              <w:rPr>
                <w:rFonts w:ascii="Times New Roman" w:hAnsi="Times New Roman" w:cs="Times New Roman"/>
                <w:sz w:val="24"/>
                <w:szCs w:val="24"/>
              </w:rPr>
            </w:pPr>
            <w:r>
              <w:rPr>
                <w:rFonts w:cs="Times New Roman" w:ascii="Times New Roman" w:hAnsi="Times New Roman"/>
                <w:sz w:val="24"/>
                <w:szCs w:val="24"/>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iCs/>
                <w:sz w:val="24"/>
                <w:szCs w:val="24"/>
                <w:lang w:val="uk-UA"/>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right="0" w:hanging="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w:t>
            </w:r>
            <w:r>
              <w:rPr>
                <w:rFonts w:cs="Times New Roman" w:ascii="Times New Roman" w:hAnsi="Times New Roman"/>
                <w:b/>
                <w:bCs/>
                <w:sz w:val="20"/>
                <w:szCs w:val="20"/>
                <w:lang w:val="uk-UA"/>
              </w:rPr>
              <w:t>ак</w:t>
            </w:r>
            <w:r>
              <w:rPr>
                <w:rFonts w:cs="Times New Roman" w:ascii="Times New Roman" w:hAnsi="Times New Roman"/>
                <w:b/>
                <w:bCs/>
                <w:sz w:val="24"/>
                <w:szCs w:val="24"/>
                <w:lang w:val="uk-UA"/>
              </w:rPr>
              <w:t xml:space="preserve">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Ні___</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tabs>
                <w:tab w:val="clear" w:pos="709"/>
                <w:tab w:val="right" w:pos="252" w:leader="none"/>
                <w:tab w:val="center" w:pos="551" w:leader="none"/>
              </w:tabs>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ab/>
              <w:tab/>
              <w:t>2.</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був прийнятий в межах компетенції органу?</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b/>
                <w:b/>
                <w:bCs/>
                <w:sz w:val="24"/>
                <w:szCs w:val="24"/>
                <w:lang w:val="uk-UA"/>
              </w:rPr>
            </w:pPr>
            <w:r>
              <w:rPr>
                <w:rFonts w:cs="Times New Roman" w:ascii="Times New Roman" w:hAnsi="Times New Roman"/>
                <w:b/>
                <w:bCs/>
                <w:sz w:val="24"/>
                <w:szCs w:val="24"/>
                <w:lang w:val="uk-UA"/>
              </w:rPr>
              <w:t>Так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sz w:val="24"/>
                <w:szCs w:val="24"/>
                <w:lang w:val="uk-UA"/>
              </w:rPr>
            </w:pPr>
            <w:r>
              <w:rPr>
                <w:rFonts w:cs="Times New Roman" w:ascii="Times New Roman" w:hAnsi="Times New Roman"/>
                <w:i/>
                <w:iCs/>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обгрунтування).</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були дотримані вимоги законодавства щодо процедури прийняття регуляторного акту?</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Так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left="0" w:right="0" w:firstLine="851"/>
              <w:rPr>
                <w:rFonts w:ascii="Times New Roman" w:hAnsi="Times New Roman" w:cs="Times New Roman"/>
                <w:i/>
                <w:i/>
                <w:iCs/>
                <w:sz w:val="24"/>
                <w:szCs w:val="24"/>
                <w:lang w:val="uk-UA"/>
              </w:rPr>
            </w:pPr>
            <w:r>
              <w:rPr>
                <w:rFonts w:cs="Times New Roman" w:ascii="Times New Roman" w:hAnsi="Times New Roman"/>
                <w:i/>
                <w:iCs/>
                <w:sz w:val="24"/>
                <w:szCs w:val="24"/>
                <w:lang w:val="uk-UA"/>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Формулювання відсутнє ___</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(робиться позначка)</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або наводиться існуюче формулювання</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862" w:hRule="atLeast"/>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Визначення мети акта за суб’єктивними чинниками.</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Визначення проблем, які акт повинен був би вирішувати.</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tabs>
                <w:tab w:val="clear" w:pos="709"/>
                <w:tab w:val="right" w:pos="252" w:leader="none"/>
                <w:tab w:val="center" w:pos="551" w:leader="none"/>
              </w:tabs>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14"/>
              <w:jc w:val="both"/>
              <w:rPr>
                <w:rFonts w:ascii="Times New Roman" w:hAnsi="Times New Roman" w:cs="Times New Roman"/>
                <w:sz w:val="24"/>
                <w:szCs w:val="24"/>
                <w:lang w:val="uk-UA"/>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4800"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44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overflowPunct w:val="false"/>
              <w:bidi w:val="0"/>
              <w:spacing w:lineRule="auto" w:line="240" w:before="0" w:after="0"/>
              <w:ind w:left="0" w:right="0" w:firstLine="680"/>
              <w:jc w:val="left"/>
              <w:rPr>
                <w:rFonts w:ascii="Times New Roman" w:hAnsi="Times New Roman" w:cs="Times New Roman"/>
                <w:b/>
                <w:b/>
                <w:sz w:val="24"/>
                <w:szCs w:val="24"/>
                <w:lang w:val="uk-UA"/>
              </w:rPr>
            </w:pPr>
            <w:r>
              <w:rPr>
                <w:rFonts w:cs="Times New Roman" w:ascii="Times New Roman" w:hAnsi="Times New Roman"/>
                <w:b/>
                <w:sz w:val="24"/>
                <w:szCs w:val="24"/>
                <w:lang w:val="uk-UA"/>
              </w:rPr>
              <w:t>Рекомендації</w:t>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Style36"/>
              <w:widowControl w:val="false"/>
              <w:spacing w:lineRule="auto" w:line="240" w:before="0" w:after="0"/>
              <w:ind w:left="0" w:right="0" w:hanging="0"/>
              <w:contextualSpacing/>
              <w:rPr>
                <w:rFonts w:ascii="Times New Roman" w:hAnsi="Times New Roman" w:cs="Times New Roman"/>
                <w:iCs/>
                <w:sz w:val="24"/>
                <w:szCs w:val="24"/>
              </w:rPr>
            </w:pPr>
            <w:r>
              <w:rPr>
                <w:rFonts w:cs="Times New Roman" w:ascii="Times New Roman" w:hAnsi="Times New Roman"/>
                <w:iCs/>
                <w:sz w:val="24"/>
                <w:szCs w:val="24"/>
              </w:rPr>
              <w:t xml:space="preserve">          </w:t>
            </w:r>
            <w:r>
              <w:rPr>
                <w:rFonts w:cs="Times New Roman" w:ascii="Times New Roman" w:hAnsi="Times New Roman"/>
                <w:iCs/>
                <w:sz w:val="24"/>
                <w:szCs w:val="24"/>
              </w:rPr>
              <w:t>Зазначається один з наступних варіантів:</w:t>
            </w:r>
          </w:p>
          <w:p>
            <w:pPr>
              <w:pStyle w:val="Style36"/>
              <w:widowControl w:val="false"/>
              <w:spacing w:lineRule="auto" w:line="240" w:before="0" w:after="0"/>
              <w:ind w:left="0" w:right="0" w:firstLine="567"/>
              <w:contextualSpacing/>
              <w:jc w:val="both"/>
              <w:rPr/>
            </w:pPr>
            <w:r>
              <w:rPr>
                <w:rFonts w:cs="Times New Roman" w:ascii="Times New Roman" w:hAnsi="Times New Roman"/>
                <w:iCs/>
                <w:color w:val="000000"/>
                <w:sz w:val="24"/>
                <w:szCs w:val="24"/>
              </w:rPr>
              <w:t>•</w:t>
            </w:r>
            <w:r>
              <w:rPr>
                <w:rFonts w:eastAsia="Times New Roman" w:cs="Times New Roman" w:ascii="Times New Roman" w:hAnsi="Times New Roman"/>
                <w:iCs/>
                <w:color w:val="000000"/>
                <w:sz w:val="24"/>
                <w:szCs w:val="24"/>
              </w:rPr>
              <w:t> </w:t>
            </w:r>
            <w:r>
              <w:rPr>
                <w:rFonts w:cs="Times New Roman" w:ascii="Times New Roman" w:hAnsi="Times New Roman"/>
                <w:iCs/>
                <w:color w:val="000000"/>
                <w:sz w:val="24"/>
                <w:szCs w:val="24"/>
              </w:rPr>
              <w:t>Залишити акт без змін.</w:t>
            </w:r>
          </w:p>
          <w:p>
            <w:pPr>
              <w:pStyle w:val="Style36"/>
              <w:widowControl w:val="false"/>
              <w:spacing w:lineRule="auto" w:line="240" w:before="0" w:after="0"/>
              <w:ind w:left="0" w:right="0" w:firstLine="567"/>
              <w:contextualSpacing/>
              <w:jc w:val="both"/>
              <w:rPr/>
            </w:pPr>
            <w:r>
              <w:rPr>
                <w:rFonts w:cs="Times New Roman" w:ascii="Times New Roman" w:hAnsi="Times New Roman"/>
                <w:b/>
                <w:bCs/>
                <w:iCs/>
                <w:color w:val="000000"/>
                <w:sz w:val="24"/>
                <w:szCs w:val="24"/>
              </w:rPr>
              <w:t>•</w:t>
            </w:r>
            <w:r>
              <w:rPr>
                <w:rFonts w:eastAsia="Times New Roman" w:cs="Times New Roman" w:ascii="Times New Roman" w:hAnsi="Times New Roman"/>
                <w:b/>
                <w:bCs/>
                <w:iCs/>
                <w:color w:val="000000"/>
                <w:sz w:val="24"/>
                <w:szCs w:val="24"/>
              </w:rPr>
              <w:t> </w:t>
            </w:r>
            <w:r>
              <w:rPr>
                <w:rFonts w:cs="Times New Roman" w:ascii="Times New Roman" w:hAnsi="Times New Roman"/>
                <w:b/>
                <w:bCs/>
                <w:iCs/>
                <w:color w:val="000000"/>
                <w:sz w:val="24"/>
                <w:szCs w:val="24"/>
              </w:rPr>
              <w:t>Внести зміни до діючого акта.</w:t>
            </w:r>
          </w:p>
          <w:p>
            <w:pPr>
              <w:pStyle w:val="Style36"/>
              <w:widowControl w:val="false"/>
              <w:numPr>
                <w:ilvl w:val="0"/>
                <w:numId w:val="0"/>
              </w:numPr>
              <w:spacing w:lineRule="auto" w:line="240" w:before="0" w:after="0"/>
              <w:ind w:right="0" w:hanging="0"/>
              <w:contextualSpacing/>
              <w:jc w:val="both"/>
              <w:rPr/>
            </w:pPr>
            <w:r>
              <w:rPr>
                <w:rFonts w:cs="Times New Roman" w:ascii="Times New Roman" w:hAnsi="Times New Roman"/>
                <w:iCs/>
                <w:color w:val="000000"/>
                <w:sz w:val="24"/>
                <w:szCs w:val="24"/>
              </w:rPr>
              <w:t xml:space="preserve">       •</w:t>
            </w:r>
            <w:r>
              <w:rPr>
                <w:rFonts w:eastAsia="Times New Roman" w:cs="Times New Roman" w:ascii="Times New Roman" w:hAnsi="Times New Roman"/>
                <w:iCs/>
                <w:color w:val="000000"/>
                <w:sz w:val="24"/>
                <w:szCs w:val="24"/>
              </w:rPr>
              <w:t> </w:t>
            </w:r>
            <w:r>
              <w:rPr>
                <w:rFonts w:cs="Times New Roman" w:ascii="Times New Roman" w:hAnsi="Times New Roman"/>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6"/>
              <w:widowControl w:val="false"/>
              <w:spacing w:lineRule="auto" w:line="240" w:before="0" w:after="0"/>
              <w:ind w:left="0" w:right="0" w:firstLine="567"/>
              <w:contextualSpacing/>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Повністю визнати таким, що втратив чинність</w:t>
            </w:r>
            <w:r>
              <w:rPr>
                <w:rFonts w:cs="Times New Roman" w:ascii="Times New Roman" w:hAnsi="Times New Roman"/>
                <w:iCs/>
                <w:sz w:val="24"/>
                <w:szCs w:val="24"/>
                <w:u w:val="single"/>
              </w:rPr>
              <w:t>.</w:t>
            </w:r>
          </w:p>
        </w:tc>
      </w:tr>
      <w:tr>
        <w:trPr/>
        <w:tc>
          <w:tcPr>
            <w:tcW w:w="987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hanging="0"/>
              <w:contextualSpacing/>
              <w:jc w:val="both"/>
              <w:rPr/>
            </w:pPr>
            <w:r>
              <w:rPr>
                <w:rFonts w:cs="Times New Roman" w:ascii="Times New Roman" w:hAnsi="Times New Roman"/>
                <w:b/>
                <w:sz w:val="24"/>
                <w:szCs w:val="24"/>
                <w:lang w:val="uk-UA"/>
              </w:rPr>
              <w:t xml:space="preserve">       </w:t>
            </w:r>
            <w:r>
              <w:rPr>
                <w:rFonts w:cs="Times New Roman" w:ascii="Times New Roman" w:hAnsi="Times New Roman"/>
                <w:b/>
                <w:sz w:val="24"/>
                <w:szCs w:val="24"/>
                <w:lang w:val="uk-UA"/>
              </w:rPr>
              <w:t xml:space="preserve">Обґрунтування: </w:t>
            </w:r>
            <w:r>
              <w:rPr>
                <w:rFonts w:cs="Times New Roman" w:ascii="Times New Roman" w:hAnsi="Times New Roman"/>
                <w:sz w:val="24"/>
                <w:szCs w:val="24"/>
                <w:lang w:val="uk-UA"/>
              </w:rPr>
              <w:t>Н</w:t>
            </w:r>
            <w:r>
              <w:rPr>
                <w:rFonts w:cs="Times New Roman" w:ascii="Times New Roman" w:hAnsi="Times New Roman"/>
                <w:color w:val="000000"/>
                <w:sz w:val="24"/>
                <w:szCs w:val="24"/>
                <w:lang w:val="uk-UA"/>
              </w:rPr>
              <w:t xml:space="preserve">орми акта поширюються на будь-яких суб’єктів господарювання, які є учасниками </w:t>
            </w:r>
            <w:r>
              <w:rPr>
                <w:rFonts w:cs="Times New Roman" w:ascii="Times New Roman" w:hAnsi="Times New Roman"/>
                <w:sz w:val="24"/>
                <w:szCs w:val="24"/>
                <w:lang w:val="uk-UA"/>
              </w:rPr>
              <w:t>відносин</w:t>
            </w:r>
            <w:r>
              <w:rPr>
                <w:rFonts w:cs="Times New Roman" w:ascii="Times New Roman" w:hAnsi="Times New Roman"/>
                <w:color w:val="000000"/>
                <w:sz w:val="24"/>
                <w:szCs w:val="24"/>
                <w:lang w:val="uk-UA"/>
              </w:rPr>
              <w:t>, на регулювання яких спрямовано цей акт.</w:t>
            </w:r>
          </w:p>
          <w:p>
            <w:pPr>
              <w:pStyle w:val="Normal"/>
              <w:widowControl w:val="false"/>
              <w:spacing w:lineRule="auto" w:line="240" w:before="0" w:after="0"/>
              <w:ind w:left="0" w:right="0" w:firstLine="511"/>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Прийняте рішення «Про встановлення ставок земельного податку» забезпечує сталі надходження до бюджету Луцької міської територіальної громади, несе більш прийнятне податкове навантаження на суб’єктів господарювання та врегулює відносини з землекористувачами. Рішення розроблено відповідно до Закону України «Про місцеве самоврядування в Україні» та Податкового кодексу України.</w:t>
            </w:r>
          </w:p>
          <w:p>
            <w:pPr>
              <w:pStyle w:val="Normal"/>
              <w:widowControl w:val="false"/>
              <w:spacing w:lineRule="auto" w:line="240" w:before="0" w:after="0"/>
              <w:ind w:left="0" w:right="0" w:firstLine="511"/>
              <w:contextualSpacing/>
              <w:jc w:val="both"/>
              <w:rPr/>
            </w:pPr>
            <w:r>
              <w:rPr>
                <w:rFonts w:cs="Times New Roman" w:ascii="Times New Roman" w:hAnsi="Times New Roman"/>
                <w:color w:val="000000"/>
                <w:sz w:val="24"/>
                <w:szCs w:val="24"/>
                <w:lang w:val="uk-UA"/>
              </w:rPr>
              <w:t>Контроль за</w:t>
            </w:r>
            <w:r>
              <w:rPr>
                <w:rFonts w:cs="Times New Roman" w:ascii="Times New Roman" w:hAnsi="Times New Roman"/>
                <w:sz w:val="24"/>
                <w:szCs w:val="24"/>
                <w:lang w:val="uk-UA"/>
              </w:rPr>
              <w:t xml:space="preserve"> правильністю</w:t>
            </w:r>
            <w:r>
              <w:rPr>
                <w:rFonts w:cs="Times New Roman" w:ascii="Times New Roman" w:hAnsi="Times New Roman"/>
                <w:color w:val="000000"/>
                <w:sz w:val="24"/>
                <w:szCs w:val="24"/>
                <w:lang w:val="uk-UA"/>
              </w:rPr>
              <w:t xml:space="preserve"> нарахувань, повнотою та своєчасністю сплати податку здійснює ГУ ДПС у Волинській області.</w:t>
            </w:r>
          </w:p>
          <w:p>
            <w:pPr>
              <w:pStyle w:val="Normal"/>
              <w:widowControl w:val="false"/>
              <w:spacing w:lineRule="auto" w:line="240" w:before="0" w:after="0"/>
              <w:ind w:left="0" w:right="0" w:firstLine="511"/>
              <w:contextualSpacing/>
              <w:jc w:val="both"/>
              <w:rPr/>
            </w:pPr>
            <w:r>
              <w:rPr>
                <w:rFonts w:cs="Times New Roman" w:ascii="Times New Roman" w:hAnsi="Times New Roman"/>
                <w:iCs/>
                <w:color w:val="000000"/>
                <w:sz w:val="24"/>
                <w:szCs w:val="24"/>
                <w:lang w:val="uk-UA"/>
              </w:rPr>
              <w:t xml:space="preserve">Регуляторний акт пройшов повністю регуляторну процедуру відповідно до Закону України “Про засади державної регуляторної політики у сфері господарської діяльності”. Акт відповідає ст. 19. Конституції України </w:t>
            </w:r>
            <w:r>
              <w:rPr>
                <w:rFonts w:cs="Times New Roman" w:ascii="Times New Roman" w:hAnsi="Times New Roman"/>
                <w:color w:val="000000"/>
                <w:sz w:val="24"/>
                <w:szCs w:val="24"/>
                <w:lang w:val="uk-UA"/>
              </w:rPr>
              <w:t>(органи державної влади та органами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pPr>
              <w:pStyle w:val="Normal"/>
              <w:widowControl w:val="false"/>
              <w:spacing w:lineRule="auto" w:line="240" w:before="0" w:after="0"/>
              <w:ind w:left="0" w:right="0" w:firstLine="511"/>
              <w:contextualSpacing/>
              <w:jc w:val="both"/>
              <w:rPr/>
            </w:pPr>
            <w:r>
              <w:rPr>
                <w:rStyle w:val="Style21"/>
                <w:rFonts w:cs="Times New Roman" w:ascii="Times New Roman" w:hAnsi="Times New Roman"/>
                <w:i/>
                <w:iCs/>
                <w:color w:val="000000"/>
                <w:sz w:val="24"/>
                <w:szCs w:val="24"/>
                <w:u w:val="none"/>
                <w:lang w:val="uk-UA"/>
              </w:rPr>
              <w:t>У план діяльності з підготовки проєктів регуляторних актів на 2022 рік включено проєкт рішення “Про встановлення ставок земельного податку”.</w:t>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1"/>
      <w:jc w:val="center"/>
      <w:rPr/>
    </w:pPr>
    <w:r>
      <w:rPr/>
      <w:fldChar w:fldCharType="begin"/>
    </w:r>
    <w:r>
      <w:rPr/>
      <w:instrText> PAGE </w:instrText>
    </w:r>
    <w:r>
      <w:rPr/>
      <w:fldChar w:fldCharType="separate"/>
    </w:r>
    <w:r>
      <w:rPr/>
      <w:t>4</w:t>
    </w:r>
    <w:r>
      <w:rPr/>
      <w:fldChar w:fldCharType="end"/>
    </w:r>
  </w:p>
  <w:p>
    <w:pPr>
      <w:pStyle w:val="Style41"/>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sz w:val="24"/>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overflowPunct w:val="false"/>
      <w:bidi w:val="0"/>
      <w:spacing w:lineRule="auto" w:line="252" w:before="0" w:after="160"/>
      <w:jc w:val="left"/>
    </w:pPr>
    <w:rPr>
      <w:rFonts w:ascii="Calibri" w:hAnsi="Calibri" w:eastAsia="Calibri" w:cs="Calibri"/>
      <w:color w:val="auto"/>
      <w:kern w:val="2"/>
      <w:sz w:val="22"/>
      <w:szCs w:val="22"/>
      <w:lang w:val="en-US" w:eastAsia="zh-CN" w:bidi="ar-SA"/>
    </w:rPr>
  </w:style>
  <w:style w:type="paragraph" w:styleId="3">
    <w:name w:val="Heading 3"/>
    <w:basedOn w:val="Normal"/>
    <w:next w:val="Style27"/>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rPr>
  </w:style>
  <w:style w:type="character" w:styleId="Style13">
    <w:name w:val="Основной шрифт абзаца"/>
    <w:qFormat/>
    <w:rPr/>
  </w:style>
  <w:style w:type="character" w:styleId="1">
    <w:name w:val="Основной шрифт абзаца1"/>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Шрифт абзацу за замовчуванням"/>
    <w:qFormat/>
    <w:rPr/>
  </w:style>
  <w:style w:type="character" w:styleId="Style15">
    <w:name w:val="Знак примітки"/>
    <w:qFormat/>
    <w:rPr>
      <w:sz w:val="16"/>
      <w:szCs w:val="16"/>
    </w:rPr>
  </w:style>
  <w:style w:type="character" w:styleId="Style16">
    <w:name w:val="Текст примітки Знак"/>
    <w:qFormat/>
    <w:rPr>
      <w:sz w:val="20"/>
      <w:szCs w:val="20"/>
    </w:rPr>
  </w:style>
  <w:style w:type="character" w:styleId="Style17">
    <w:name w:val="Тема примітки Знак"/>
    <w:qFormat/>
    <w:rPr>
      <w:b/>
      <w:bCs/>
      <w:sz w:val="20"/>
      <w:szCs w:val="20"/>
    </w:rPr>
  </w:style>
  <w:style w:type="character" w:styleId="Style18">
    <w:name w:val="Текст у виносці Знак"/>
    <w:qFormat/>
    <w:rPr>
      <w:rFonts w:ascii="Segoe UI" w:hAnsi="Segoe UI" w:cs="Segoe UI"/>
      <w:sz w:val="18"/>
      <w:szCs w:val="18"/>
    </w:rPr>
  </w:style>
  <w:style w:type="character" w:styleId="Style19">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20">
    <w:name w:val="Основной текст_"/>
    <w:qFormat/>
    <w:rPr>
      <w:rFonts w:ascii="Times New Roman" w:hAnsi="Times New Roman" w:eastAsia="Times New Roman" w:cs="Times New Roman"/>
      <w:sz w:val="23"/>
      <w:szCs w:val="23"/>
      <w:shd w:fill="FFFFFF" w:val="clear"/>
    </w:rPr>
  </w:style>
  <w:style w:type="character" w:styleId="Style21">
    <w:name w:val="Гіперпосилання"/>
    <w:rPr>
      <w:color w:val="0563C1"/>
      <w:u w:val="single"/>
    </w:rPr>
  </w:style>
  <w:style w:type="character" w:styleId="11">
    <w:name w:val="Незакрита згадка1"/>
    <w:qFormat/>
    <w:rPr>
      <w:color w:val="808080"/>
      <w:shd w:fill="E6E6E6" w:val="clear"/>
    </w:rPr>
  </w:style>
  <w:style w:type="character" w:styleId="Style22">
    <w:name w:val="Нижній колонтитул Знак"/>
    <w:qFormat/>
    <w:rPr>
      <w:lang w:val="uk-UA"/>
    </w:rPr>
  </w:style>
  <w:style w:type="character" w:styleId="Style23">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4">
    <w:name w:val="Верхній колонтитул Знак"/>
    <w:basedOn w:val="Style14"/>
    <w:qFormat/>
    <w:rPr/>
  </w:style>
  <w:style w:type="character" w:styleId="12">
    <w:name w:val="Основной текст Знак1"/>
    <w:qFormat/>
    <w:rPr>
      <w:rFonts w:ascii="Times New Roman" w:hAnsi="Times New Roman" w:cs="Times New Roman"/>
      <w:sz w:val="22"/>
      <w:shd w:fill="FFFFFF" w:val="clear"/>
    </w:rPr>
  </w:style>
  <w:style w:type="character" w:styleId="2">
    <w:name w:val="Основной текст (2) + Не полужирный"/>
    <w:qFormat/>
    <w:rPr>
      <w:rFonts w:ascii="Times New Roman" w:hAnsi="Times New Roman" w:cs="Times New Roman"/>
      <w:b/>
      <w:sz w:val="22"/>
      <w:u w:val="none"/>
    </w:rPr>
  </w:style>
  <w:style w:type="character" w:styleId="Style25">
    <w:name w:val="Маркери"/>
    <w:qFormat/>
    <w:rPr>
      <w:rFonts w:ascii="OpenSymbol" w:hAnsi="OpenSymbol" w:eastAsia="OpenSymbol" w:cs="OpenSymbol"/>
    </w:rPr>
  </w:style>
  <w:style w:type="paragraph" w:styleId="Style26">
    <w:name w:val="Заголовок"/>
    <w:basedOn w:val="Normal"/>
    <w:next w:val="Style27"/>
    <w:qFormat/>
    <w:pPr>
      <w:keepNext w:val="true"/>
      <w:spacing w:before="240" w:after="120"/>
    </w:pPr>
    <w:rPr>
      <w:rFonts w:ascii="Liberation Sans;Arial" w:hAnsi="Liberation Sans;Arial" w:eastAsia="Microsoft YaHei" w:cs="Arial"/>
      <w:sz w:val="28"/>
      <w:szCs w:val="28"/>
    </w:rPr>
  </w:style>
  <w:style w:type="paragraph" w:styleId="Style27">
    <w:name w:val="Body Text"/>
    <w:basedOn w:val="Normal"/>
    <w:pPr>
      <w:spacing w:lineRule="auto" w:line="276" w:before="0" w:after="140"/>
    </w:pPr>
    <w:rPr/>
  </w:style>
  <w:style w:type="paragraph" w:styleId="Style28">
    <w:name w:val="List"/>
    <w:basedOn w:val="Style27"/>
    <w:pPr/>
    <w:rPr>
      <w:rFonts w:cs="Arial"/>
    </w:rPr>
  </w:style>
  <w:style w:type="paragraph" w:styleId="Style29">
    <w:name w:val="Caption"/>
    <w:basedOn w:val="Normal"/>
    <w:qFormat/>
    <w:pPr>
      <w:suppressLineNumbers/>
      <w:spacing w:before="120" w:after="120"/>
    </w:pPr>
    <w:rPr>
      <w:rFonts w:cs="Arial"/>
      <w:i/>
      <w:iCs/>
      <w:sz w:val="24"/>
      <w:szCs w:val="24"/>
    </w:rPr>
  </w:style>
  <w:style w:type="paragraph" w:styleId="Style30">
    <w:name w:val="Покажчик"/>
    <w:basedOn w:val="Normal"/>
    <w:qFormat/>
    <w:pPr>
      <w:suppressLineNumbers/>
    </w:pPr>
    <w:rPr>
      <w:rFonts w:cs="Arial"/>
    </w:rPr>
  </w:style>
  <w:style w:type="paragraph" w:styleId="13">
    <w:name w:val="Заголовок1"/>
    <w:basedOn w:val="Normal"/>
    <w:next w:val="Style27"/>
    <w:qFormat/>
    <w:pPr>
      <w:keepNext w:val="true"/>
      <w:spacing w:before="240" w:after="120"/>
    </w:pPr>
    <w:rPr>
      <w:rFonts w:ascii="Liberation Sans;Arial" w:hAnsi="Liberation Sans;Arial" w:eastAsia="Microsoft YaHei" w:cs="Arial"/>
      <w:sz w:val="28"/>
      <w:szCs w:val="28"/>
    </w:rPr>
  </w:style>
  <w:style w:type="paragraph" w:styleId="Style31">
    <w:name w:val="Название объекта"/>
    <w:basedOn w:val="Normal"/>
    <w:qFormat/>
    <w:pPr>
      <w:suppressLineNumbers/>
      <w:spacing w:before="120" w:after="120"/>
    </w:pPr>
    <w:rPr>
      <w:rFonts w:cs="Arial"/>
      <w:i/>
      <w:iCs/>
      <w:sz w:val="24"/>
      <w:szCs w:val="24"/>
    </w:rPr>
  </w:style>
  <w:style w:type="paragraph" w:styleId="14">
    <w:name w:val="Название объекта1"/>
    <w:basedOn w:val="Normal"/>
    <w:qFormat/>
    <w:pPr>
      <w:suppressLineNumbers/>
      <w:spacing w:before="120" w:after="120"/>
    </w:pPr>
    <w:rPr>
      <w:rFonts w:cs="Arial"/>
      <w:i/>
      <w:iCs/>
      <w:sz w:val="24"/>
      <w:szCs w:val="24"/>
    </w:rPr>
  </w:style>
  <w:style w:type="paragraph" w:styleId="Style32">
    <w:name w:val="Текст примітки"/>
    <w:basedOn w:val="Normal"/>
    <w:qFormat/>
    <w:pPr>
      <w:spacing w:lineRule="auto" w:line="240"/>
    </w:pPr>
    <w:rPr>
      <w:sz w:val="20"/>
      <w:szCs w:val="20"/>
      <w:lang w:val="uk-UA"/>
    </w:rPr>
  </w:style>
  <w:style w:type="paragraph" w:styleId="Style33">
    <w:name w:val="Тема примітки"/>
    <w:basedOn w:val="Style32"/>
    <w:next w:val="Style32"/>
    <w:qFormat/>
    <w:pPr/>
    <w:rPr>
      <w:b/>
      <w:bCs/>
      <w:lang w:val="uk-UA"/>
    </w:rPr>
  </w:style>
  <w:style w:type="paragraph" w:styleId="Style34">
    <w:name w:val="Текст у виносці"/>
    <w:basedOn w:val="Normal"/>
    <w:qFormat/>
    <w:pPr>
      <w:spacing w:lineRule="auto" w:line="240" w:before="0" w:after="0"/>
    </w:pPr>
    <w:rPr>
      <w:rFonts w:ascii="Segoe UI" w:hAnsi="Segoe UI" w:cs="Segoe UI"/>
      <w:sz w:val="18"/>
      <w:szCs w:val="18"/>
      <w:lang w:val="uk-UA"/>
    </w:rPr>
  </w:style>
  <w:style w:type="paragraph" w:styleId="Style35">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6">
    <w:name w:val="Абзац списку"/>
    <w:basedOn w:val="Normal"/>
    <w:qFormat/>
    <w:pPr>
      <w:spacing w:lineRule="auto" w:line="276" w:before="0" w:after="200"/>
      <w:ind w:left="720" w:right="0" w:hanging="0"/>
      <w:contextualSpacing/>
    </w:pPr>
    <w:rPr>
      <w:lang w:val="uk-UA"/>
    </w:rPr>
  </w:style>
  <w:style w:type="paragraph" w:styleId="Style37">
    <w:name w:val="Верхній і нижній колонтитули"/>
    <w:basedOn w:val="Normal"/>
    <w:qFormat/>
    <w:pPr>
      <w:suppressLineNumbers/>
      <w:tabs>
        <w:tab w:val="clear" w:pos="709"/>
        <w:tab w:val="center" w:pos="4819" w:leader="none"/>
        <w:tab w:val="right" w:pos="9638" w:leader="none"/>
      </w:tabs>
    </w:pPr>
    <w:rPr/>
  </w:style>
  <w:style w:type="paragraph" w:styleId="Style38">
    <w:name w:val="Footer"/>
    <w:basedOn w:val="Normal"/>
    <w:pPr>
      <w:spacing w:lineRule="auto" w:line="240" w:before="0" w:after="0"/>
    </w:pPr>
    <w:rPr>
      <w:sz w:val="20"/>
      <w:szCs w:val="20"/>
      <w:lang w:val="uk-UA"/>
    </w:rPr>
  </w:style>
  <w:style w:type="paragraph" w:styleId="Style39">
    <w:name w:val="Без інтервалів"/>
    <w:qFormat/>
    <w:pPr>
      <w:widowControl/>
      <w:suppressAutoHyphens w:val="true"/>
      <w:overflowPunct w:val="false"/>
      <w:bidi w:val="0"/>
      <w:spacing w:before="0" w:after="0"/>
      <w:jc w:val="left"/>
    </w:pPr>
    <w:rPr>
      <w:rFonts w:ascii="Calibri" w:hAnsi="Calibri" w:eastAsia="Calibri" w:cs="Calibri"/>
      <w:color w:val="auto"/>
      <w:kern w:val="2"/>
      <w:sz w:val="22"/>
      <w:szCs w:val="22"/>
      <w:lang w:val="en-US" w:eastAsia="zh-CN" w:bidi="ar-SA"/>
    </w:rPr>
  </w:style>
  <w:style w:type="paragraph" w:styleId="Style40">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1">
    <w:name w:val="Header"/>
    <w:basedOn w:val="Normal"/>
    <w:pPr>
      <w:tabs>
        <w:tab w:val="clear" w:pos="709"/>
        <w:tab w:val="center" w:pos="4677" w:leader="none"/>
        <w:tab w:val="right" w:pos="9355" w:leader="none"/>
      </w:tabs>
      <w:spacing w:lineRule="auto" w:line="240" w:before="0" w:after="0"/>
    </w:pPr>
    <w:rPr/>
  </w:style>
  <w:style w:type="paragraph" w:styleId="Style42">
    <w:name w:val="Вміст таблиці"/>
    <w:basedOn w:val="Normal"/>
    <w:qFormat/>
    <w:pPr>
      <w:suppressLineNumbers/>
    </w:pPr>
    <w:rPr/>
  </w:style>
  <w:style w:type="paragraph" w:styleId="Style43">
    <w:name w:val="Заголовок таблиці"/>
    <w:basedOn w:val="Style42"/>
    <w:qFormat/>
    <w:pPr>
      <w:suppressLineNumbers/>
      <w:jc w:val="center"/>
    </w:pPr>
    <w:rPr>
      <w:b/>
      <w:bCs/>
    </w:rPr>
  </w:style>
  <w:style w:type="paragraph" w:styleId="21">
    <w:name w:val="Заголовок2"/>
    <w:basedOn w:val="Normal"/>
    <w:next w:val="Style27"/>
    <w:qFormat/>
    <w:pPr>
      <w:keepNext w:val="true"/>
      <w:spacing w:before="240" w:after="120"/>
    </w:pPr>
    <w:rPr>
      <w:rFonts w:ascii="Liberation Sans;Arial" w:hAnsi="Liberation Sans;Arial" w:eastAsia="Microsoft YaHei" w:cs="Arial"/>
      <w:sz w:val="28"/>
      <w:szCs w:val="28"/>
    </w:rPr>
  </w:style>
  <w:style w:type="paragraph" w:styleId="Style44">
    <w:name w:val="Без интервала"/>
    <w:qFormat/>
    <w:pPr>
      <w:widowControl/>
      <w:suppressAutoHyphens w:val="true"/>
      <w:overflowPunct w:val="false"/>
      <w:bidi w:val="0"/>
      <w:spacing w:before="0" w:after="0"/>
      <w:jc w:val="left"/>
    </w:pPr>
    <w:rPr>
      <w:rFonts w:ascii="Calibri" w:hAnsi="Calibri" w:eastAsia="Calibri" w:cs="Calibri"/>
      <w:color w:val="auto"/>
      <w:kern w:val="0"/>
      <w:sz w:val="22"/>
      <w:szCs w:val="22"/>
      <w:lang w:val="en-US" w:eastAsia="zh-CN" w:bidi="ar-SA"/>
    </w:rPr>
  </w:style>
  <w:style w:type="paragraph" w:styleId="Style45">
    <w:name w:val="Обычный (веб)"/>
    <w:basedOn w:val="Normal"/>
    <w:qFormat/>
    <w:pPr>
      <w:spacing w:lineRule="atLeast" w:line="100" w:before="28" w:after="28"/>
    </w:pPr>
    <w:rPr>
      <w:rFonts w:ascii="Times New Roman" w:hAnsi="Times New Roman" w:eastAsia="SimSun;宋体" w:cs="Times New Roman"/>
      <w:sz w:val="24"/>
      <w:szCs w:val="24"/>
      <w:lang w:val="uk-UA"/>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Normal_x005F_x005F_x005F_x005F_x0000_</Template>
  <TotalTime>15</TotalTime>
  <Application>LibreOffice/7.1.3.2$Windows_X86_64 LibreOffice_project/47f78053abe362b9384784d31a6e56f8511eb1c1</Application>
  <AppVersion>15.0000</AppVersion>
  <Pages>4</Pages>
  <Words>887</Words>
  <Characters>5971</Characters>
  <CharactersWithSpaces>6776</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dc:language>uk-UA</dc:language>
  <cp:lastModifiedBy/>
  <cp:lastPrinted>2021-12-17T16:44:06Z</cp:lastPrinted>
  <dcterms:modified xsi:type="dcterms:W3CDTF">2021-12-17T16:44:23Z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