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E7BC1" w:rsidRDefault="00EE7B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E7BC1" w:rsidRDefault="002318B7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                                                            Додаток до протоколу</w:t>
      </w:r>
    </w:p>
    <w:p w:rsidR="00EE7BC1" w:rsidRDefault="002318B7">
      <w:pPr>
        <w:spacing w:after="0" w:line="240" w:lineRule="auto"/>
        <w:ind w:firstLine="851"/>
        <w:jc w:val="right"/>
        <w:rPr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від_________№_____</w:t>
      </w:r>
    </w:p>
    <w:p w:rsidR="00EE7BC1" w:rsidRDefault="00EE7B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E7BC1" w:rsidRDefault="002318B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Форма паспорту оцінки регуляторного акта</w:t>
      </w:r>
    </w:p>
    <w:p w:rsidR="00EE7BC1" w:rsidRDefault="00EE7B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tbl>
      <w:tblPr>
        <w:tblW w:w="10108" w:type="dxa"/>
        <w:tblInd w:w="-258" w:type="dxa"/>
        <w:tblLayout w:type="fixed"/>
        <w:tblLook w:val="0000" w:firstRow="0" w:lastRow="0" w:firstColumn="0" w:lastColumn="0" w:noHBand="0" w:noVBand="0"/>
      </w:tblPr>
      <w:tblGrid>
        <w:gridCol w:w="629"/>
        <w:gridCol w:w="5311"/>
        <w:gridCol w:w="4168"/>
      </w:tblGrid>
      <w:tr w:rsidR="00EE7BC1">
        <w:tc>
          <w:tcPr>
            <w:tcW w:w="10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  <w:t>Найменування органу  місцевого самоврядування</w:t>
            </w:r>
          </w:p>
          <w:p w:rsidR="00EE7BC1" w:rsidRDefault="00231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Луцька міська рада</w:t>
            </w:r>
          </w:p>
          <w:p w:rsidR="00EE7BC1" w:rsidRDefault="00EE7B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uk-UA"/>
              </w:rPr>
            </w:pPr>
          </w:p>
        </w:tc>
      </w:tr>
      <w:tr w:rsidR="00EE7BC1">
        <w:tc>
          <w:tcPr>
            <w:tcW w:w="10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  <w:t>Назва, дата прийняття та номер акта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Рішення міської ради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«Про тимчасове користування окремими елементами благоустрою комунальної власності для розміщення тимчасових споруд з метою провадження підприємницької діяльності на території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міста Луцька» від 25.01.2017 № 18/16</w:t>
            </w:r>
          </w:p>
          <w:p w:rsidR="00EE7BC1" w:rsidRDefault="00EE7BC1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10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Чи є акт регуляторним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є акт обов’язковими для виконання двома та більше суб’єктами господарювання?</w:t>
            </w:r>
          </w:p>
          <w:p w:rsidR="00EE7BC1" w:rsidRDefault="00EE7BC1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(пояснення наводиться у обґрунтуванні розділу «Рекомендації»)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E7BC1" w:rsidRDefault="00EE7B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E7BC1" w:rsidRDefault="00231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встановлює акт обов’язкові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для виконання вимоги (наприклад, вимірювані параметри, вимоги щодо кваліфікаційного рівня, вимоги щодо зовнішнього вигляду тощо)?</w:t>
            </w:r>
          </w:p>
          <w:p w:rsidR="00EE7BC1" w:rsidRDefault="00EE7BC1">
            <w:pPr>
              <w:widowControl w:val="0"/>
              <w:spacing w:after="0" w:line="240" w:lineRule="auto"/>
              <w:ind w:left="85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Так +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(пояснення наводиться у обґрунтуванні розділу «Рекомендації»)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E7BC1" w:rsidRDefault="00EE7B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E7BC1" w:rsidRDefault="00EE7BC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E7BC1" w:rsidRDefault="00231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Чи визначає акт механізми забезпечення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дотримання вимог (обов’язок отримання дозволу, погодження або отримання іншої адміністративної послуги, надання підтверджуючого документу, проведення експертизи, здійснення заходів контролю, подання звітності, тощо)?</w:t>
            </w:r>
          </w:p>
          <w:p w:rsidR="00EE7BC1" w:rsidRDefault="00EE7BC1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Ні +___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white"/>
                <w:lang w:val="uk-UA"/>
              </w:rPr>
              <w:t xml:space="preserve">Так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(пояснення наводиться у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ґрунтуванні розділу «Рекомендації»)</w:t>
            </w:r>
          </w:p>
        </w:tc>
      </w:tr>
      <w:tr w:rsidR="00EE7BC1">
        <w:trPr>
          <w:trHeight w:val="1413"/>
        </w:trPr>
        <w:tc>
          <w:tcPr>
            <w:tcW w:w="10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Висновок:</w:t>
            </w:r>
          </w:p>
          <w:p w:rsidR="00EE7BC1" w:rsidRDefault="002318B7">
            <w:pPr>
              <w:pStyle w:val="18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акт є регуляторним;</w:t>
            </w:r>
          </w:p>
          <w:p w:rsidR="00EE7BC1" w:rsidRDefault="002318B7">
            <w:pPr>
              <w:pStyle w:val="18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 не є регуляторним та не потребує подальшого аналізу .</w:t>
            </w:r>
          </w:p>
        </w:tc>
      </w:tr>
      <w:tr w:rsidR="00EE7BC1">
        <w:tc>
          <w:tcPr>
            <w:tcW w:w="10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uk-UA"/>
              </w:rPr>
              <w:t>Відповідність вимогам актів вищої юридичної сили, а також компетенції відповідного органу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E7BC1" w:rsidRDefault="00231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Чи відповідає акт вимогам актів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вищої юридичної сили?</w:t>
            </w:r>
          </w:p>
          <w:p w:rsidR="00EE7BC1" w:rsidRDefault="00EE7BC1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ак+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Ні___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tabs>
                <w:tab w:val="right" w:pos="252"/>
                <w:tab w:val="center" w:pos="551"/>
              </w:tabs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ab/>
              <w:t>2.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був прийнятий в межах компетенції органу?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Так ___+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</w:t>
            </w:r>
          </w:p>
          <w:p w:rsidR="00EE7BC1" w:rsidRDefault="00EE7BC1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10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У разі, якщо виявлено невідповідність хоча б одному із зазначених критеріїв подальші розділи паспорту не заповнюються (за винятком розділу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«Рекомендації» у якому наводиться відповідне обґрунтування).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були дотримані вимоги законодавства щодо процедури прийняття регуляторних актів?</w:t>
            </w:r>
          </w:p>
          <w:p w:rsidR="00EE7BC1" w:rsidRDefault="00EE7BC1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Так ___+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</w:t>
            </w:r>
          </w:p>
        </w:tc>
      </w:tr>
      <w:tr w:rsidR="00EE7BC1">
        <w:tc>
          <w:tcPr>
            <w:tcW w:w="10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У разі, якщо виявлено невідповідність цьому критерію, продовжується заповнення наступних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розділів паспорту, а у розділі «Рекомендації», за умови доцільності даного регулювання, зазначається про необхідність визнати цей акт таким, що потребує втрати чинності з одночасним розробленням нового регулювання з дотриманням всіх необхідних регуляторних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 процедур.</w:t>
            </w:r>
          </w:p>
          <w:p w:rsidR="00EE7BC1" w:rsidRDefault="00EE7BC1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10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Визначення мети (цілі) акта органу та проблеми, яку цей акт мав би вирішувати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Існуюче формулювання мети акта.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Формулювання відсутнє ___</w:t>
            </w:r>
          </w:p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(робиться позначка)</w:t>
            </w:r>
          </w:p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 наводиться існуюче формулювання</w:t>
            </w:r>
          </w:p>
          <w:p w:rsidR="00EE7BC1" w:rsidRDefault="00EE7BC1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rPr>
          <w:trHeight w:val="86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Визначення мети акта за суб’єктивними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чинниками.</w:t>
            </w:r>
          </w:p>
          <w:p w:rsidR="00EE7BC1" w:rsidRDefault="00EE7B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Визначення проблем, які акт повинен був би вирішувати.</w:t>
            </w:r>
          </w:p>
          <w:p w:rsidR="00EE7BC1" w:rsidRDefault="00EE7B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10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Оцінка діючого акта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Хто є суб’єктами цього регулювання, скільки цих суб’єктів приблизно є?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Якими є обов’язкові вимоги що повинні виконуватися?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Які регуляторні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інструменти використовуються (отримання дозволу, подача звітності, проведення заході контролю тощо)?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tabs>
                <w:tab w:val="right" w:pos="252"/>
                <w:tab w:val="center" w:pos="5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Приблизна оцінка вартості виконання всіх вимог для одного суб’єкта регулювання.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Скільки коштує адміністрування цього регулювання органом влади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 місцевого самоврядування (затрати робочого часу на видачу дозволів, погодження та перевірки)?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Чи акт повністю забороняє, обмежує через квоти, зонування, дозвільну систему високі тарифи певні сектори чи види підприємницької діяльності (наприклад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мобільні кав’ярні, мобільні заклади харчування, квартири де надаються послуги тимчасового розміщення, послуги гідів, перевізників, переносну торгівлю, тощо)?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встановлю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є вимогу обов’язкової послуги що повинна надаватись окремими суб’єктами господарювання (комунальними підприємствами, установами тощо) у сферах, де такі послуги можуть надаватись приватними підприємствами в умовах вільного ринку?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Так ___ (пояснення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наводиться у обґрунтуванні розділу «Рекомендації»)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Чи акт встановлює вимоги які настроєні під діючі підприємства у тій чи іншій сферах, чи дискримінує підприємства за розміром (строку діяльності кількість працівників, використання комунальної послуги,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довготривалі договори оренди, розмір матеріальних активів тощо)?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чи практика його виконання обмежує конкуренцію іншим методом, не описаним вище?</w:t>
            </w:r>
          </w:p>
          <w:p w:rsidR="00EE7BC1" w:rsidRDefault="00EE7B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Так ___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(пояснення наводиться у обґрунтуванні розділу «Рекомендації»)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визначає процедуру за якою індивідуальні рішення що стосуються суб’єктів господарювання (про видачу дозволу, погодження, іншого документу) приймається колегіально?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ояснення наводиться у обґрунтуванні розділу «Рекомендації»)</w:t>
            </w:r>
          </w:p>
          <w:p w:rsidR="00EE7BC1" w:rsidRDefault="00EE7BC1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Чи акт встановлює процедуру, за якою індивідуальні рішення що стосуються суб’єктів господарювання приймаються посадовими особами без чіткого та вичерпного переліку критеріїв для прийняття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таких рішень (можливість прийняття дискретних волюнтаристських рішень)?</w:t>
            </w:r>
          </w:p>
          <w:p w:rsidR="00EE7BC1" w:rsidRDefault="00EE7B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делегує виконання регуляторної функції чи її частини (включно з наданням обов’язкових послуг)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певному суб’єкту господарювання (комунальному підприємству, установі, тощо)?</w:t>
            </w:r>
          </w:p>
          <w:p w:rsidR="00EE7BC1" w:rsidRDefault="00EE7B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вимагає придбання обладнання товарів чи послуг певного зразка чи у певних суб’єктів гос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подарювання?</w:t>
            </w:r>
          </w:p>
          <w:p w:rsidR="00EE7BC1" w:rsidRDefault="00EE7B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чи практика його призводить до збільшення корупційних можливостей іншими методами не описаним вище</w:t>
            </w:r>
          </w:p>
          <w:p w:rsidR="00EE7BC1" w:rsidRDefault="00EE7B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EE7BC1" w:rsidRDefault="002318B7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Так ___ (пояснення наводиться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обґрунтуванні розділу «Рекомендації»)</w:t>
            </w:r>
          </w:p>
        </w:tc>
      </w:tr>
      <w:tr w:rsidR="00EE7BC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15.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BC1" w:rsidRDefault="002318B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Співвідношення масштабу регуляторного режиму та рівня фактичного вирішення проблеми.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BC1" w:rsidRDefault="00EE7BC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EE7BC1">
        <w:tc>
          <w:tcPr>
            <w:tcW w:w="10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EE7BC1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E7BC1" w:rsidRDefault="002318B7">
                  <w:pPr>
                    <w:widowControl w:val="0"/>
                    <w:spacing w:after="0" w:line="240" w:lineRule="auto"/>
                    <w:ind w:firstLine="851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  <w:lang w:val="uk-UA"/>
                    </w:rPr>
                    <w:t>Рекомендації</w:t>
                  </w:r>
                </w:p>
              </w:tc>
            </w:tr>
            <w:tr w:rsidR="00EE7BC1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E7BC1" w:rsidRDefault="002318B7">
                  <w:pPr>
                    <w:pStyle w:val="18"/>
                    <w:widowControl w:val="0"/>
                    <w:spacing w:after="0" w:line="240" w:lineRule="auto"/>
                    <w:ind w:left="510"/>
                    <w:jc w:val="both"/>
                  </w:pPr>
                  <w:r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•</w:t>
                  </w: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 xml:space="preserve">  З</w:t>
                  </w:r>
                  <w:r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алишити акт без змін.</w:t>
                  </w:r>
                </w:p>
                <w:p w:rsidR="00EE7BC1" w:rsidRDefault="002318B7">
                  <w:pPr>
                    <w:pStyle w:val="18"/>
                    <w:widowControl w:val="0"/>
                    <w:spacing w:after="0" w:line="240" w:lineRule="auto"/>
                    <w:ind w:left="510" w:firstLine="57"/>
                    <w:jc w:val="both"/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•</w:t>
                  </w: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Внести зміни до діючого акта.</w:t>
                  </w:r>
                </w:p>
                <w:p w:rsidR="00EE7BC1" w:rsidRDefault="002318B7">
                  <w:pPr>
                    <w:pStyle w:val="18"/>
                    <w:widowControl w:val="0"/>
                    <w:spacing w:after="0" w:line="240" w:lineRule="auto"/>
                    <w:ind w:left="510" w:firstLine="57"/>
                    <w:jc w:val="both"/>
                  </w:pPr>
                  <w:r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•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 xml:space="preserve">Визнати таким, що втратив чинність, діючий акт та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прийняти новий із дотриманням вимогам законодавства щодо змісту акта та процедури його прийняття.</w:t>
                  </w:r>
                </w:p>
                <w:p w:rsidR="00EE7BC1" w:rsidRDefault="002318B7">
                  <w:pPr>
                    <w:pStyle w:val="18"/>
                    <w:widowControl w:val="0"/>
                    <w:spacing w:after="0" w:line="240" w:lineRule="auto"/>
                    <w:ind w:left="510" w:firstLine="57"/>
                    <w:jc w:val="both"/>
                  </w:pPr>
                  <w:r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•</w:t>
                  </w: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>Повністю визнати таким, що втратив чинність</w:t>
                  </w:r>
                  <w:r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  <w:u w:val="single"/>
                    </w:rPr>
                    <w:t>.</w:t>
                  </w:r>
                </w:p>
              </w:tc>
            </w:tr>
          </w:tbl>
          <w:p w:rsidR="00EE7BC1" w:rsidRDefault="002318B7">
            <w:pPr>
              <w:widowControl w:val="0"/>
              <w:spacing w:after="0" w:line="240" w:lineRule="auto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Обґрунтування: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Норми акта поширюються на будь - яких суб’єктів господарювання, які є учасниками відносин, на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егулювання яких спрямовано цей акт. Регуляторний акт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встановлює обов'язкове для виконання вимог отримання суб'єктом господарювання рішення щодо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lastRenderedPageBreak/>
              <w:t xml:space="preserve">погодження розміщення та функціонування ТС та оформлення/продовження паспорта прив’язки ТС.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Механізми виконання вимог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отримання суб'єктом господарювання рішення виконавчого комітету міської ради щодо погодження розміщення та функціонування ТС та оформлення/продовження паспорта прив’язки ТС врегульоване р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ішенням виконавчого комітету від 06.12.2018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№ 804-1 «Про правила розміщення та функціонування тимчасових споруд для провадження підприємницької діяльності на території міста Луцька».</w:t>
            </w:r>
          </w:p>
          <w:p w:rsidR="00EE7BC1" w:rsidRDefault="002318B7">
            <w:pPr>
              <w:widowControl w:val="0"/>
              <w:spacing w:after="0" w:line="240" w:lineRule="auto"/>
              <w:ind w:firstLine="510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Даним рішенням затверджено Положення, що врегульовує порядок користування та оплату за користування окремими елемент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ами благоустрою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комунальної власності для розміщення тимчасових споруд з метою провадження підприємницької діяльності на території міста Луцька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 Вказане Положення розроблене відповідно до законів України “Про місцеве самоврядування в Україні”, Цивільного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одексу України, рішення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виконавчого комітету від 06.12.2018 № 804-1 «Про правила розміщення та функціонування тимчасових споруд для провадження підприємницької діяльності на території міста Луцька»,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інших законодавчих актів, нормативно-правових актів Луцьк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ої міської ради.</w:t>
            </w:r>
          </w:p>
          <w:p w:rsidR="00EE7BC1" w:rsidRDefault="002318B7">
            <w:pPr>
              <w:widowControl w:val="0"/>
              <w:spacing w:after="0" w:line="240" w:lineRule="auto"/>
              <w:ind w:firstLine="510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Відповідно до Закону України «Про місцеве самоврядування в Україні» Положення, що врегульовує порядок користування та оплату за користування окремими елементами благоустрою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комунальної власності для розміщення тимчасових споруд з метою про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вадження підприємницької діяльності на території міста Луцька від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носиться до компетенції міської ради.</w:t>
            </w:r>
          </w:p>
          <w:p w:rsidR="00EE7BC1" w:rsidRDefault="002318B7">
            <w:pPr>
              <w:pStyle w:val="af7"/>
              <w:widowControl w:val="0"/>
              <w:spacing w:after="160"/>
              <w:ind w:firstLine="5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Регуляторний акт повністю пройшов регуляторну процедуру відповідно до Закону України “Про засади державної регуляторної політики у сфері господарської ді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яльності” та відповідає ст. 19. Конституції України (органи державної влади та органами місцевого самоврядування, їх посадові особи зобов’язані діяти лише на підставі, в межах повноважень та 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спосіб, що передбачені Конституцією та законами України).</w:t>
            </w:r>
          </w:p>
          <w:p w:rsidR="00EE7BC1" w:rsidRDefault="00EE7BC1">
            <w:pPr>
              <w:widowControl w:val="0"/>
              <w:spacing w:after="0" w:line="240" w:lineRule="auto"/>
              <w:ind w:firstLine="510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</w:tbl>
    <w:p w:rsidR="00EE7BC1" w:rsidRDefault="00EE7B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E7BC1" w:rsidRDefault="00EE7BC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EE7BC1">
      <w:headerReference w:type="default" r:id="rId7"/>
      <w:headerReference w:type="first" r:id="rId8"/>
      <w:pgSz w:w="12240" w:h="15840"/>
      <w:pgMar w:top="851" w:right="850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318B7">
      <w:pPr>
        <w:spacing w:after="0" w:line="240" w:lineRule="auto"/>
      </w:pPr>
      <w:r>
        <w:separator/>
      </w:r>
    </w:p>
  </w:endnote>
  <w:endnote w:type="continuationSeparator" w:id="0">
    <w:p w:rsidR="00000000" w:rsidRDefault="00231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;Century Gothic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318B7">
      <w:pPr>
        <w:spacing w:after="0" w:line="240" w:lineRule="auto"/>
      </w:pPr>
      <w:r>
        <w:separator/>
      </w:r>
    </w:p>
  </w:footnote>
  <w:footnote w:type="continuationSeparator" w:id="0">
    <w:p w:rsidR="00000000" w:rsidRDefault="00231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BC1" w:rsidRDefault="002318B7">
    <w:pPr>
      <w:pStyle w:val="1c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  <w:p w:rsidR="00EE7BC1" w:rsidRDefault="00EE7BC1">
    <w:pPr>
      <w:pStyle w:val="1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BC1" w:rsidRDefault="00EE7BC1">
    <w:pPr>
      <w:pStyle w:val="1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E5837"/>
    <w:multiLevelType w:val="multilevel"/>
    <w:tmpl w:val="FED8492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436F55"/>
    <w:multiLevelType w:val="multilevel"/>
    <w:tmpl w:val="B6DA3A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7BC1"/>
    <w:rsid w:val="002318B7"/>
    <w:rsid w:val="00E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46C6"/>
  <w15:docId w15:val="{7F844C01-9BAE-4825-80B9-872068D2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DEC"/>
    <w:pPr>
      <w:spacing w:after="160" w:line="252" w:lineRule="auto"/>
    </w:pPr>
    <w:rPr>
      <w:rFonts w:ascii="Calibri" w:eastAsia="Calibri" w:hAnsi="Calibri" w:cs="Calibri"/>
      <w:kern w:val="2"/>
      <w:sz w:val="22"/>
      <w:szCs w:val="22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3"/>
    <w:next w:val="a4"/>
    <w:qFormat/>
    <w:rsid w:val="00810DEC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"/>
    <w:next w:val="a4"/>
    <w:qFormat/>
    <w:rsid w:val="00810DEC"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customStyle="1" w:styleId="WW8Num1z0">
    <w:name w:val="WW8Num1z0"/>
    <w:qFormat/>
    <w:rsid w:val="00810DEC"/>
  </w:style>
  <w:style w:type="character" w:customStyle="1" w:styleId="WW8Num1z1">
    <w:name w:val="WW8Num1z1"/>
    <w:qFormat/>
    <w:rsid w:val="00810DEC"/>
  </w:style>
  <w:style w:type="character" w:customStyle="1" w:styleId="WW8Num1z2">
    <w:name w:val="WW8Num1z2"/>
    <w:qFormat/>
    <w:rsid w:val="00810DEC"/>
  </w:style>
  <w:style w:type="character" w:customStyle="1" w:styleId="WW8Num1z3">
    <w:name w:val="WW8Num1z3"/>
    <w:qFormat/>
    <w:rsid w:val="00810DEC"/>
  </w:style>
  <w:style w:type="character" w:customStyle="1" w:styleId="WW8Num1z4">
    <w:name w:val="WW8Num1z4"/>
    <w:qFormat/>
    <w:rsid w:val="00810DEC"/>
  </w:style>
  <w:style w:type="character" w:customStyle="1" w:styleId="WW8Num1z5">
    <w:name w:val="WW8Num1z5"/>
    <w:qFormat/>
    <w:rsid w:val="00810DEC"/>
  </w:style>
  <w:style w:type="character" w:customStyle="1" w:styleId="WW8Num1z6">
    <w:name w:val="WW8Num1z6"/>
    <w:qFormat/>
    <w:rsid w:val="00810DEC"/>
  </w:style>
  <w:style w:type="character" w:customStyle="1" w:styleId="WW8Num1z7">
    <w:name w:val="WW8Num1z7"/>
    <w:qFormat/>
    <w:rsid w:val="00810DEC"/>
  </w:style>
  <w:style w:type="character" w:customStyle="1" w:styleId="WW8Num1z8">
    <w:name w:val="WW8Num1z8"/>
    <w:qFormat/>
    <w:rsid w:val="00810DEC"/>
  </w:style>
  <w:style w:type="character" w:customStyle="1" w:styleId="WW8Num2z0">
    <w:name w:val="WW8Num2z0"/>
    <w:qFormat/>
    <w:rsid w:val="00810DEC"/>
    <w:rPr>
      <w:rFonts w:ascii="Cambria" w:hAnsi="Cambria" w:cs="Times New Roman"/>
    </w:rPr>
  </w:style>
  <w:style w:type="character" w:customStyle="1" w:styleId="WW8Num2z1">
    <w:name w:val="WW8Num2z1"/>
    <w:qFormat/>
    <w:rsid w:val="00810DEC"/>
    <w:rPr>
      <w:rFonts w:ascii="Courier New" w:hAnsi="Courier New" w:cs="Courier New"/>
    </w:rPr>
  </w:style>
  <w:style w:type="character" w:customStyle="1" w:styleId="WW8Num2z2">
    <w:name w:val="WW8Num2z2"/>
    <w:qFormat/>
    <w:rsid w:val="00810DEC"/>
    <w:rPr>
      <w:rFonts w:ascii="Wingdings" w:hAnsi="Wingdings" w:cs="Wingdings"/>
    </w:rPr>
  </w:style>
  <w:style w:type="character" w:customStyle="1" w:styleId="WW8Num3z0">
    <w:name w:val="WW8Num3z0"/>
    <w:qFormat/>
    <w:rsid w:val="00810DEC"/>
    <w:rPr>
      <w:rFonts w:ascii="Symbol" w:hAnsi="Symbol" w:cs="Symbol"/>
    </w:rPr>
  </w:style>
  <w:style w:type="character" w:customStyle="1" w:styleId="WW8Num3z1">
    <w:name w:val="WW8Num3z1"/>
    <w:qFormat/>
    <w:rsid w:val="00810DEC"/>
    <w:rPr>
      <w:rFonts w:ascii="Courier New" w:hAnsi="Courier New" w:cs="Courier New"/>
    </w:rPr>
  </w:style>
  <w:style w:type="character" w:customStyle="1" w:styleId="WW8Num3z2">
    <w:name w:val="WW8Num3z2"/>
    <w:qFormat/>
    <w:rsid w:val="00810DEC"/>
    <w:rPr>
      <w:rFonts w:ascii="Wingdings" w:hAnsi="Wingdings" w:cs="Wingdings"/>
    </w:rPr>
  </w:style>
  <w:style w:type="character" w:customStyle="1" w:styleId="WW8Num4z0">
    <w:name w:val="WW8Num4z0"/>
    <w:qFormat/>
    <w:rsid w:val="00810DEC"/>
    <w:rPr>
      <w:rFonts w:cs="Times New Roman"/>
    </w:rPr>
  </w:style>
  <w:style w:type="character" w:customStyle="1" w:styleId="WW8Num4z1">
    <w:name w:val="WW8Num4z1"/>
    <w:qFormat/>
    <w:rsid w:val="00810DEC"/>
  </w:style>
  <w:style w:type="character" w:customStyle="1" w:styleId="WW8Num4z2">
    <w:name w:val="WW8Num4z2"/>
    <w:qFormat/>
    <w:rsid w:val="00810DEC"/>
  </w:style>
  <w:style w:type="character" w:customStyle="1" w:styleId="WW8Num4z3">
    <w:name w:val="WW8Num4z3"/>
    <w:qFormat/>
    <w:rsid w:val="00810DEC"/>
  </w:style>
  <w:style w:type="character" w:customStyle="1" w:styleId="WW8Num4z4">
    <w:name w:val="WW8Num4z4"/>
    <w:qFormat/>
    <w:rsid w:val="00810DEC"/>
  </w:style>
  <w:style w:type="character" w:customStyle="1" w:styleId="WW8Num4z5">
    <w:name w:val="WW8Num4z5"/>
    <w:qFormat/>
    <w:rsid w:val="00810DEC"/>
  </w:style>
  <w:style w:type="character" w:customStyle="1" w:styleId="WW8Num4z6">
    <w:name w:val="WW8Num4z6"/>
    <w:qFormat/>
    <w:rsid w:val="00810DEC"/>
  </w:style>
  <w:style w:type="character" w:customStyle="1" w:styleId="WW8Num4z7">
    <w:name w:val="WW8Num4z7"/>
    <w:qFormat/>
    <w:rsid w:val="00810DEC"/>
  </w:style>
  <w:style w:type="character" w:customStyle="1" w:styleId="WW8Num4z8">
    <w:name w:val="WW8Num4z8"/>
    <w:qFormat/>
    <w:rsid w:val="00810DEC"/>
  </w:style>
  <w:style w:type="character" w:customStyle="1" w:styleId="a5">
    <w:name w:val="Шрифт абзацу за замовчуванням"/>
    <w:qFormat/>
    <w:rsid w:val="00810DEC"/>
  </w:style>
  <w:style w:type="character" w:customStyle="1" w:styleId="1">
    <w:name w:val="Знак примітки1"/>
    <w:qFormat/>
    <w:rsid w:val="00810DEC"/>
    <w:rPr>
      <w:sz w:val="16"/>
      <w:szCs w:val="16"/>
    </w:rPr>
  </w:style>
  <w:style w:type="character" w:customStyle="1" w:styleId="a6">
    <w:name w:val="Текст примітки Знак"/>
    <w:qFormat/>
    <w:rsid w:val="00810DEC"/>
    <w:rPr>
      <w:sz w:val="20"/>
      <w:szCs w:val="20"/>
    </w:rPr>
  </w:style>
  <w:style w:type="character" w:customStyle="1" w:styleId="a7">
    <w:name w:val="Тема примітки Знак"/>
    <w:qFormat/>
    <w:rsid w:val="00810DEC"/>
    <w:rPr>
      <w:b/>
      <w:bCs/>
      <w:sz w:val="20"/>
      <w:szCs w:val="20"/>
    </w:rPr>
  </w:style>
  <w:style w:type="character" w:customStyle="1" w:styleId="a8">
    <w:name w:val="Текст у виносці Знак"/>
    <w:qFormat/>
    <w:rsid w:val="00810DEC"/>
    <w:rPr>
      <w:rFonts w:ascii="Segoe UI" w:hAnsi="Segoe UI" w:cs="Segoe UI"/>
      <w:sz w:val="18"/>
      <w:szCs w:val="18"/>
    </w:rPr>
  </w:style>
  <w:style w:type="character" w:customStyle="1" w:styleId="a9">
    <w:name w:val="Нормальний текст Знак"/>
    <w:qFormat/>
    <w:rsid w:val="00810DEC"/>
    <w:rPr>
      <w:rFonts w:ascii="Antiqua;Century Gothic" w:hAnsi="Antiqua;Century Gothic" w:cs="Antiqua;Century Gothic"/>
      <w:sz w:val="26"/>
      <w:szCs w:val="20"/>
    </w:rPr>
  </w:style>
  <w:style w:type="character" w:customStyle="1" w:styleId="rvts9">
    <w:name w:val="rvts9"/>
    <w:qFormat/>
    <w:rsid w:val="00810DEC"/>
    <w:rPr>
      <w:rFonts w:ascii="Times New Roman" w:hAnsi="Times New Roman" w:cs="Times New Roman"/>
    </w:rPr>
  </w:style>
  <w:style w:type="character" w:customStyle="1" w:styleId="rvts23">
    <w:name w:val="rvts23"/>
    <w:qFormat/>
    <w:rsid w:val="00810DEC"/>
    <w:rPr>
      <w:rFonts w:ascii="Times New Roman" w:hAnsi="Times New Roman" w:cs="Times New Roman"/>
    </w:rPr>
  </w:style>
  <w:style w:type="character" w:customStyle="1" w:styleId="aa">
    <w:name w:val="Основной текст_"/>
    <w:qFormat/>
    <w:rsid w:val="00810DE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">
    <w:name w:val="Гіперпосилання1"/>
    <w:rsid w:val="00810DEC"/>
    <w:rPr>
      <w:color w:val="0563C1"/>
      <w:u w:val="single"/>
    </w:rPr>
  </w:style>
  <w:style w:type="character" w:customStyle="1" w:styleId="11">
    <w:name w:val="Незакрита згадка1"/>
    <w:qFormat/>
    <w:rsid w:val="00810DEC"/>
    <w:rPr>
      <w:color w:val="808080"/>
      <w:shd w:val="clear" w:color="auto" w:fill="E6E6E6"/>
    </w:rPr>
  </w:style>
  <w:style w:type="character" w:customStyle="1" w:styleId="ab">
    <w:name w:val="Нижній колонтитул Знак"/>
    <w:qFormat/>
    <w:rsid w:val="00810DEC"/>
    <w:rPr>
      <w:lang w:val="uk-UA"/>
    </w:rPr>
  </w:style>
  <w:style w:type="character" w:customStyle="1" w:styleId="ac">
    <w:name w:val="Відвідане гіперпосилання"/>
    <w:rsid w:val="00810DEC"/>
    <w:rPr>
      <w:color w:val="954F72"/>
      <w:u w:val="single"/>
    </w:rPr>
  </w:style>
  <w:style w:type="character" w:customStyle="1" w:styleId="3">
    <w:name w:val="Заголовок 3 Знак"/>
    <w:qFormat/>
    <w:rsid w:val="00810DE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">
    <w:name w:val="Стандартний HTML Знак"/>
    <w:qFormat/>
    <w:rsid w:val="00810DEC"/>
    <w:rPr>
      <w:rFonts w:ascii="Consolas" w:hAnsi="Consolas" w:cs="Consolas"/>
      <w:sz w:val="20"/>
      <w:szCs w:val="20"/>
    </w:rPr>
  </w:style>
  <w:style w:type="character" w:customStyle="1" w:styleId="30">
    <w:name w:val="Основний текст з відступом 3 Знак"/>
    <w:qFormat/>
    <w:rsid w:val="00810DEC"/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character" w:customStyle="1" w:styleId="ad">
    <w:name w:val="Верхній колонтитул Знак"/>
    <w:basedOn w:val="a5"/>
    <w:qFormat/>
    <w:rsid w:val="00810DEC"/>
  </w:style>
  <w:style w:type="character" w:customStyle="1" w:styleId="ae">
    <w:name w:val="Текст выноски Знак"/>
    <w:qFormat/>
    <w:rsid w:val="00810DEC"/>
    <w:rPr>
      <w:rFonts w:ascii="Segoe UI" w:eastAsia="Calibri" w:hAnsi="Segoe UI" w:cs="Segoe UI"/>
      <w:sz w:val="18"/>
      <w:szCs w:val="18"/>
      <w:lang w:val="en-US" w:eastAsia="zh-CN"/>
    </w:rPr>
  </w:style>
  <w:style w:type="character" w:customStyle="1" w:styleId="12">
    <w:name w:val="Основной шрифт абзаца1"/>
    <w:qFormat/>
    <w:rsid w:val="00810DEC"/>
  </w:style>
  <w:style w:type="paragraph" w:customStyle="1" w:styleId="a3">
    <w:name w:val="Заголовок"/>
    <w:basedOn w:val="a"/>
    <w:next w:val="a4"/>
    <w:qFormat/>
    <w:rsid w:val="00810DEC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4">
    <w:name w:val="Body Text"/>
    <w:basedOn w:val="a"/>
    <w:rsid w:val="00810DEC"/>
    <w:pPr>
      <w:spacing w:after="140" w:line="276" w:lineRule="auto"/>
    </w:pPr>
  </w:style>
  <w:style w:type="paragraph" w:styleId="af">
    <w:name w:val="List"/>
    <w:basedOn w:val="a4"/>
    <w:rsid w:val="00810DEC"/>
    <w:rPr>
      <w:rFonts w:cs="Arial"/>
    </w:rPr>
  </w:style>
  <w:style w:type="paragraph" w:customStyle="1" w:styleId="13">
    <w:name w:val="Назва об'єкта1"/>
    <w:basedOn w:val="a"/>
    <w:qFormat/>
    <w:rsid w:val="00810DE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0">
    <w:name w:val="Покажчик"/>
    <w:basedOn w:val="a"/>
    <w:qFormat/>
    <w:rsid w:val="00810DEC"/>
    <w:pPr>
      <w:suppressLineNumbers/>
    </w:pPr>
    <w:rPr>
      <w:rFonts w:cs="Arial"/>
    </w:rPr>
  </w:style>
  <w:style w:type="paragraph" w:customStyle="1" w:styleId="14">
    <w:name w:val="Заголовок1"/>
    <w:basedOn w:val="a"/>
    <w:next w:val="a4"/>
    <w:qFormat/>
    <w:rsid w:val="00810DEC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f1">
    <w:name w:val="caption"/>
    <w:basedOn w:val="a"/>
    <w:qFormat/>
    <w:rsid w:val="00810DE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5">
    <w:name w:val="Текст примітки1"/>
    <w:basedOn w:val="a"/>
    <w:qFormat/>
    <w:rsid w:val="00810DEC"/>
    <w:pPr>
      <w:spacing w:line="240" w:lineRule="auto"/>
    </w:pPr>
    <w:rPr>
      <w:sz w:val="20"/>
      <w:szCs w:val="20"/>
      <w:lang w:val="uk-UA"/>
    </w:rPr>
  </w:style>
  <w:style w:type="paragraph" w:customStyle="1" w:styleId="16">
    <w:name w:val="Тема примітки1"/>
    <w:basedOn w:val="15"/>
    <w:next w:val="15"/>
    <w:qFormat/>
    <w:rsid w:val="00810DEC"/>
    <w:rPr>
      <w:b/>
      <w:bCs/>
    </w:rPr>
  </w:style>
  <w:style w:type="paragraph" w:customStyle="1" w:styleId="17">
    <w:name w:val="Текст у виносці1"/>
    <w:basedOn w:val="a"/>
    <w:qFormat/>
    <w:rsid w:val="00810DEC"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paragraph" w:customStyle="1" w:styleId="af2">
    <w:name w:val="Нормальний текст"/>
    <w:basedOn w:val="a"/>
    <w:qFormat/>
    <w:rsid w:val="00810DEC"/>
    <w:pPr>
      <w:spacing w:before="120" w:after="0" w:line="240" w:lineRule="auto"/>
      <w:ind w:firstLine="567"/>
      <w:jc w:val="both"/>
    </w:pPr>
    <w:rPr>
      <w:rFonts w:ascii="Antiqua;Century Gothic" w:hAnsi="Antiqua;Century Gothic" w:cs="Antiqua;Century Gothic"/>
      <w:sz w:val="26"/>
      <w:szCs w:val="20"/>
      <w:lang w:val="uk-UA"/>
    </w:rPr>
  </w:style>
  <w:style w:type="paragraph" w:customStyle="1" w:styleId="4">
    <w:name w:val="Основной текст4"/>
    <w:basedOn w:val="a"/>
    <w:qFormat/>
    <w:rsid w:val="00810DEC"/>
    <w:pPr>
      <w:widowControl w:val="0"/>
      <w:shd w:val="clear" w:color="auto" w:fill="FFFFFF"/>
      <w:spacing w:before="4500" w:after="0" w:line="475" w:lineRule="exact"/>
      <w:ind w:hanging="460"/>
    </w:pPr>
    <w:rPr>
      <w:rFonts w:ascii="Times New Roman" w:eastAsia="Times New Roman" w:hAnsi="Times New Roman" w:cs="Times New Roman"/>
      <w:sz w:val="23"/>
      <w:szCs w:val="23"/>
      <w:lang w:val="uk-UA"/>
    </w:rPr>
  </w:style>
  <w:style w:type="paragraph" w:customStyle="1" w:styleId="18">
    <w:name w:val="Абзац списку1"/>
    <w:basedOn w:val="a"/>
    <w:qFormat/>
    <w:rsid w:val="00810DEC"/>
    <w:pPr>
      <w:spacing w:after="200" w:line="276" w:lineRule="auto"/>
      <w:ind w:left="720"/>
      <w:contextualSpacing/>
    </w:pPr>
    <w:rPr>
      <w:lang w:val="uk-UA"/>
    </w:rPr>
  </w:style>
  <w:style w:type="paragraph" w:customStyle="1" w:styleId="af3">
    <w:name w:val="Верхній і нижній колонтитули"/>
    <w:basedOn w:val="a"/>
    <w:qFormat/>
    <w:rsid w:val="00810DEC"/>
    <w:pPr>
      <w:suppressLineNumbers/>
      <w:tabs>
        <w:tab w:val="center" w:pos="4819"/>
        <w:tab w:val="right" w:pos="9638"/>
      </w:tabs>
    </w:pPr>
  </w:style>
  <w:style w:type="paragraph" w:customStyle="1" w:styleId="19">
    <w:name w:val="Нижній колонтитул1"/>
    <w:basedOn w:val="a"/>
    <w:rsid w:val="00810DEC"/>
    <w:pPr>
      <w:spacing w:after="0" w:line="240" w:lineRule="auto"/>
    </w:pPr>
    <w:rPr>
      <w:sz w:val="20"/>
      <w:szCs w:val="20"/>
      <w:lang w:val="uk-UA"/>
    </w:rPr>
  </w:style>
  <w:style w:type="paragraph" w:customStyle="1" w:styleId="1a">
    <w:name w:val="Без інтервалів1"/>
    <w:qFormat/>
    <w:rsid w:val="00810DEC"/>
    <w:rPr>
      <w:rFonts w:ascii="Calibri" w:eastAsia="Calibri" w:hAnsi="Calibri" w:cs="Calibri"/>
      <w:kern w:val="2"/>
      <w:sz w:val="22"/>
      <w:szCs w:val="22"/>
      <w:lang w:val="en-US" w:bidi="ar-SA"/>
    </w:rPr>
  </w:style>
  <w:style w:type="paragraph" w:customStyle="1" w:styleId="1b">
    <w:name w:val="Звичайний (веб)1"/>
    <w:basedOn w:val="a"/>
    <w:qFormat/>
    <w:rsid w:val="00810DEC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1">
    <w:name w:val="Стандартний HTML1"/>
    <w:basedOn w:val="a"/>
    <w:qFormat/>
    <w:rsid w:val="00810DEC"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paragraph" w:customStyle="1" w:styleId="310">
    <w:name w:val="Основний текст з відступом 31"/>
    <w:basedOn w:val="a"/>
    <w:qFormat/>
    <w:rsid w:val="00810DE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customStyle="1" w:styleId="1c">
    <w:name w:val="Верхній колонтитул1"/>
    <w:basedOn w:val="a"/>
    <w:rsid w:val="00810DE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4">
    <w:name w:val="Вміст таблиці"/>
    <w:basedOn w:val="a"/>
    <w:qFormat/>
    <w:rsid w:val="00810DEC"/>
    <w:pPr>
      <w:suppressLineNumbers/>
    </w:pPr>
  </w:style>
  <w:style w:type="paragraph" w:customStyle="1" w:styleId="af5">
    <w:name w:val="Заголовок таблиці"/>
    <w:basedOn w:val="af4"/>
    <w:qFormat/>
    <w:rsid w:val="00810DEC"/>
    <w:pPr>
      <w:jc w:val="center"/>
    </w:pPr>
    <w:rPr>
      <w:b/>
      <w:bCs/>
    </w:rPr>
  </w:style>
  <w:style w:type="paragraph" w:styleId="af6">
    <w:name w:val="Balloon Text"/>
    <w:basedOn w:val="a"/>
    <w:qFormat/>
    <w:rsid w:val="00810DE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7">
    <w:name w:val="No Spacing"/>
    <w:qFormat/>
    <w:rsid w:val="00810DEC"/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1d">
    <w:name w:val="Название объекта1"/>
    <w:basedOn w:val="a"/>
    <w:qFormat/>
    <w:rsid w:val="00810DE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">
    <w:name w:val="Заголовок2"/>
    <w:basedOn w:val="a"/>
    <w:next w:val="a4"/>
    <w:qFormat/>
    <w:rsid w:val="00810DEC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numbering" w:customStyle="1" w:styleId="WW8Num1">
    <w:name w:val="WW8Num1"/>
    <w:qFormat/>
    <w:rsid w:val="00810DEC"/>
  </w:style>
  <w:style w:type="numbering" w:customStyle="1" w:styleId="WW8Num2">
    <w:name w:val="WW8Num2"/>
    <w:qFormat/>
    <w:rsid w:val="00810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5166</Words>
  <Characters>2946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Гвоздецька Вікторія Миколаївна</cp:lastModifiedBy>
  <cp:revision>24</cp:revision>
  <cp:lastPrinted>2021-12-23T10:54:00Z</cp:lastPrinted>
  <dcterms:created xsi:type="dcterms:W3CDTF">2021-10-13T11:58:00Z</dcterms:created>
  <dcterms:modified xsi:type="dcterms:W3CDTF">2021-12-23T10:54:00Z</dcterms:modified>
  <dc:language>uk-UA</dc:language>
</cp:coreProperties>
</file>