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Додаток до протоколу </w:t>
      </w:r>
    </w:p>
    <w:p>
      <w:pPr>
        <w:pStyle w:val="Normal"/>
        <w:spacing w:lineRule="auto" w:line="240" w:before="0" w:after="0"/>
        <w:ind w:left="0" w:right="0" w:firstLine="851"/>
        <w:jc w:val="right"/>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10033" w:type="dxa"/>
        <w:jc w:val="left"/>
        <w:tblInd w:w="-223" w:type="dxa"/>
        <w:tblLayout w:type="fixed"/>
        <w:tblCellMar>
          <w:top w:w="0" w:type="dxa"/>
          <w:left w:w="108" w:type="dxa"/>
          <w:bottom w:w="0" w:type="dxa"/>
          <w:right w:w="108" w:type="dxa"/>
        </w:tblCellMar>
      </w:tblPr>
      <w:tblGrid>
        <w:gridCol w:w="561"/>
        <w:gridCol w:w="5102"/>
        <w:gridCol w:w="4370"/>
      </w:tblGrid>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pPr>
            <w:r>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встановлення ставок із сплати податку на нерухоме майно, відмінне від земельної ділянки” від 14.07.2020 № 87/3</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b/>
                <w:b/>
                <w:bCs/>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rHeight w:val="932" w:hRule="atLeast"/>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Висновок:</w:t>
            </w:r>
          </w:p>
          <w:p>
            <w:pPr>
              <w:pStyle w:val="Style36"/>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6"/>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акт не є регуляторним та не потребує подальшого аналізу</w:t>
            </w:r>
          </w:p>
          <w:p>
            <w:pPr>
              <w:pStyle w:val="Style36"/>
              <w:widowControl w:val="false"/>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r>
              <w:rPr>
                <w:rFonts w:cs="Times New Roman" w:ascii="Times New Roman" w:hAnsi="Times New Roman"/>
                <w:b/>
                <w:bCs/>
                <w:sz w:val="24"/>
                <w:szCs w:val="24"/>
                <w:lang w:val="uk-UA"/>
              </w:rPr>
              <w:t xml:space="preserve">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Ні___</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 xml:space="preserve"> 2.</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rHeight w:val="597" w:hRule="atLeast"/>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w:t>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napToGrid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p>
            <w:pPr>
              <w:pStyle w:val="Normal"/>
              <w:widowControl w:val="false"/>
              <w:spacing w:lineRule="auto" w:line="240" w:before="0" w:after="0"/>
              <w:rPr>
                <w:rFonts w:ascii="Times New Roman" w:hAnsi="Times New Roman" w:cs="Times New Roman"/>
                <w:sz w:val="24"/>
                <w:szCs w:val="24"/>
                <w:lang w:val="ru-RU"/>
              </w:rPr>
            </w:pPr>
            <w:r>
              <w:rPr>
                <w:rFonts w:cs="Times New Roman" w:ascii="Times New Roman" w:hAnsi="Times New Roman"/>
                <w:sz w:val="24"/>
                <w:szCs w:val="24"/>
                <w:lang w:val="ru-RU"/>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1"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510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70"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overflowPunct w:val="true"/>
              <w:bidi w:val="0"/>
              <w:spacing w:lineRule="auto" w:line="240" w:before="0" w:after="0"/>
              <w:ind w:left="0" w:right="0" w:firstLine="680"/>
              <w:jc w:val="left"/>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Style36"/>
              <w:widowControl w:val="false"/>
              <w:spacing w:lineRule="auto" w:line="240" w:before="0" w:after="0"/>
              <w:ind w:left="22" w:right="0" w:hanging="0"/>
              <w:contextualSpacing/>
              <w:rPr>
                <w:rFonts w:ascii="Times New Roman" w:hAnsi="Times New Roman" w:cs="Times New Roman"/>
                <w:iCs/>
                <w:sz w:val="24"/>
                <w:szCs w:val="24"/>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6"/>
              <w:widowControl w:val="false"/>
              <w:spacing w:lineRule="auto" w:line="240" w:before="0" w:after="0"/>
              <w:contextualSpacing/>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Залишити акт без змін.</w:t>
            </w:r>
          </w:p>
          <w:p>
            <w:pPr>
              <w:pStyle w:val="Style36"/>
              <w:widowControl w:val="false"/>
              <w:spacing w:lineRule="auto" w:line="240" w:before="0" w:after="0"/>
              <w:contextualSpacing/>
              <w:rPr/>
            </w:pPr>
            <w:r>
              <w:rPr>
                <w:rFonts w:cs="Times New Roman" w:ascii="Times New Roman" w:hAnsi="Times New Roman"/>
                <w:b/>
                <w:bCs/>
                <w:iCs/>
                <w:color w:val="000000"/>
                <w:sz w:val="24"/>
                <w:szCs w:val="24"/>
              </w:rPr>
              <w:t>•</w:t>
            </w:r>
            <w:r>
              <w:rPr>
                <w:rFonts w:eastAsia="Times New Roman" w:cs="Times New Roman" w:ascii="Times New Roman" w:hAnsi="Times New Roman"/>
                <w:b/>
                <w:bCs/>
                <w:iCs/>
                <w:color w:val="000000"/>
                <w:sz w:val="24"/>
                <w:szCs w:val="24"/>
              </w:rPr>
              <w:t> </w:t>
            </w:r>
            <w:r>
              <w:rPr>
                <w:rFonts w:cs="Times New Roman" w:ascii="Times New Roman" w:hAnsi="Times New Roman"/>
                <w:b/>
                <w:bCs/>
                <w:iCs/>
                <w:color w:val="000000"/>
                <w:sz w:val="24"/>
                <w:szCs w:val="24"/>
              </w:rPr>
              <w:t>Внести зміни до діючого акта.</w:t>
            </w:r>
          </w:p>
          <w:p>
            <w:pPr>
              <w:pStyle w:val="Style36"/>
              <w:widowControl w:val="false"/>
              <w:spacing w:lineRule="auto" w:line="240" w:before="0" w:after="0"/>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6"/>
              <w:widowControl w:val="false"/>
              <w:spacing w:lineRule="auto" w:line="240" w:before="0" w:after="0"/>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p>
        </w:tc>
      </w:tr>
      <w:tr>
        <w:trPr/>
        <w:tc>
          <w:tcPr>
            <w:tcW w:w="1003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511"/>
              <w:contextualSpacing/>
              <w:jc w:val="both"/>
              <w:rPr/>
            </w:pPr>
            <w:r>
              <w:rPr>
                <w:rFonts w:cs="Times New Roman" w:ascii="Times New Roman" w:hAnsi="Times New Roman"/>
                <w:b/>
                <w:sz w:val="24"/>
                <w:szCs w:val="24"/>
                <w:lang w:val="uk-UA"/>
              </w:rPr>
              <w:t>Обґрунтування: </w:t>
            </w:r>
            <w:r>
              <w:rPr>
                <w:rFonts w:cs="Times New Roman" w:ascii="Times New Roman" w:hAnsi="Times New Roman"/>
                <w:sz w:val="24"/>
                <w:szCs w:val="24"/>
                <w:lang w:val="uk-UA"/>
              </w:rPr>
              <w:t>Н</w:t>
            </w:r>
            <w:r>
              <w:rPr>
                <w:rFonts w:cs="Times New Roman" w:ascii="Times New Roman" w:hAnsi="Times New Roman"/>
                <w:color w:val="000000"/>
                <w:sz w:val="24"/>
                <w:szCs w:val="24"/>
                <w:lang w:val="uk-UA"/>
              </w:rPr>
              <w:t xml:space="preserve">орми акта поширюються на будь-яких суб’єктів господарювання, які є учасниками </w:t>
            </w:r>
            <w:r>
              <w:rPr>
                <w:rFonts w:cs="Times New Roman" w:ascii="Times New Roman" w:hAnsi="Times New Roman"/>
                <w:sz w:val="24"/>
                <w:szCs w:val="24"/>
                <w:lang w:val="uk-UA"/>
              </w:rPr>
              <w:t>відносин</w:t>
            </w:r>
            <w:r>
              <w:rPr>
                <w:rFonts w:cs="Times New Roman" w:ascii="Times New Roman" w:hAnsi="Times New Roman"/>
                <w:color w:val="000000"/>
                <w:sz w:val="24"/>
                <w:szCs w:val="24"/>
                <w:lang w:val="uk-UA"/>
              </w:rPr>
              <w:t>, на регулювання яких спрямовано цей акт.</w:t>
            </w:r>
          </w:p>
          <w:p>
            <w:pPr>
              <w:pStyle w:val="Normal"/>
              <w:widowControl w:val="false"/>
              <w:spacing w:lineRule="auto" w:line="240" w:before="0" w:after="0"/>
              <w:ind w:left="0" w:right="0" w:firstLine="511"/>
              <w:contextualSpacing/>
              <w:jc w:val="both"/>
              <w:rPr/>
            </w:pPr>
            <w:r>
              <w:rPr>
                <w:rFonts w:cs="Times New Roman" w:ascii="Times New Roman" w:hAnsi="Times New Roman"/>
                <w:color w:val="000000"/>
                <w:sz w:val="24"/>
                <w:szCs w:val="24"/>
                <w:lang w:val="uk-UA" w:eastAsia="uk-UA"/>
              </w:rPr>
              <w:t xml:space="preserve">Впровадження регуляторного акта забезпечує дотримання норм чинного податкового законодавства як органами державної податкової служби, органами місцевого самоврядування, так і </w:t>
            </w:r>
            <w:r>
              <w:rPr>
                <w:rFonts w:cs="Times New Roman" w:ascii="Times New Roman" w:hAnsi="Times New Roman"/>
                <w:sz w:val="24"/>
                <w:szCs w:val="24"/>
                <w:lang w:val="uk-UA" w:eastAsia="uk-UA"/>
              </w:rPr>
              <w:t>суб’єктами господарювання, у тому числі нерезидентами, які є власниками об'єктів житлової та/або нежитлової нерухомості, та громадянами, що сплачують податок на нерухоме майно, відмінне від земельної ділянки, у порядку та на умовах, визначених  податковим</w:t>
            </w:r>
            <w:r>
              <w:rPr>
                <w:rFonts w:cs="Times New Roman" w:ascii="Times New Roman" w:hAnsi="Times New Roman"/>
                <w:color w:val="000000"/>
                <w:sz w:val="24"/>
                <w:szCs w:val="24"/>
                <w:lang w:val="uk-UA" w:eastAsia="uk-UA"/>
              </w:rPr>
              <w:t xml:space="preserve"> Кодексом і ц</w:t>
            </w:r>
            <w:r>
              <w:rPr>
                <w:rFonts w:cs="Times New Roman" w:ascii="Times New Roman" w:hAnsi="Times New Roman"/>
                <w:sz w:val="24"/>
                <w:szCs w:val="24"/>
                <w:lang w:val="uk-UA" w:eastAsia="uk-UA"/>
              </w:rPr>
              <w:t>им регуляторним актом.</w:t>
            </w:r>
          </w:p>
          <w:p>
            <w:pPr>
              <w:pStyle w:val="Normal"/>
              <w:widowControl w:val="false"/>
              <w:spacing w:lineRule="auto" w:line="240" w:before="0" w:after="0"/>
              <w:ind w:left="0" w:right="0" w:firstLine="511"/>
              <w:contextualSpacing/>
              <w:jc w:val="both"/>
              <w:rPr/>
            </w:pPr>
            <w:r>
              <w:rPr>
                <w:rFonts w:cs="Times New Roman" w:ascii="Times New Roman" w:hAnsi="Times New Roman"/>
                <w:color w:val="000000"/>
                <w:sz w:val="24"/>
                <w:szCs w:val="24"/>
                <w:lang w:val="uk-UA"/>
              </w:rPr>
              <w:t>Контроль за</w:t>
            </w:r>
            <w:r>
              <w:rPr>
                <w:rFonts w:cs="Times New Roman" w:ascii="Times New Roman" w:hAnsi="Times New Roman"/>
                <w:sz w:val="24"/>
                <w:szCs w:val="24"/>
                <w:lang w:val="uk-UA"/>
              </w:rPr>
              <w:t xml:space="preserve"> правильністю</w:t>
            </w:r>
            <w:r>
              <w:rPr>
                <w:rFonts w:cs="Times New Roman" w:ascii="Times New Roman" w:hAnsi="Times New Roman"/>
                <w:color w:val="000000"/>
                <w:sz w:val="24"/>
                <w:szCs w:val="24"/>
                <w:lang w:val="uk-UA"/>
              </w:rPr>
              <w:t xml:space="preserve"> нарахувань, повнотою та своєчасністю сплати податку здійснює ГУ ДПС у Волинській області.</w:t>
            </w:r>
          </w:p>
          <w:p>
            <w:pPr>
              <w:pStyle w:val="Normal"/>
              <w:widowControl w:val="false"/>
              <w:spacing w:lineRule="auto" w:line="240" w:before="0" w:after="0"/>
              <w:ind w:left="0" w:right="0" w:firstLine="511"/>
              <w:contextualSpacing/>
              <w:jc w:val="both"/>
              <w:rPr/>
            </w:pPr>
            <w:r>
              <w:rPr>
                <w:rFonts w:cs="Times New Roman" w:ascii="Times New Roman" w:hAnsi="Times New Roman"/>
                <w:color w:val="000000"/>
                <w:sz w:val="24"/>
                <w:szCs w:val="24"/>
                <w:lang w:val="uk-UA"/>
              </w:rPr>
              <w:t>Рішення пройшло повністю регуляторну процедуру відповідно до Закону України “Про засади державної регуляторної політики у сфері господарської діяльності”. Акт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pacing w:lineRule="auto" w:line="240" w:before="0" w:after="0"/>
              <w:ind w:left="0" w:right="0" w:firstLine="511"/>
              <w:contextualSpacing/>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П</w:t>
            </w:r>
            <w:r>
              <w:rPr>
                <w:rFonts w:cs="Times New Roman" w:ascii="Times New Roman" w:hAnsi="Times New Roman"/>
                <w:i/>
                <w:iCs/>
                <w:color w:val="000000"/>
                <w:sz w:val="24"/>
                <w:szCs w:val="24"/>
                <w:lang w:val="uk-UA"/>
              </w:rPr>
              <w:t>роєкт рішення міської ради “Про встановлення ставок із сплати податку на нерухоме майно, відмінне від земельної ділянки” включено в план діяльності з підготовки проєктів регуляторних актів на 2022 рік”.</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ru-RU"/>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jc w:val="center"/>
      <w:rPr/>
    </w:pPr>
    <w:r>
      <w:rPr/>
      <w:fldChar w:fldCharType="begin"/>
    </w:r>
    <w:r>
      <w:rPr/>
      <w:instrText> PAGE </w:instrText>
    </w:r>
    <w:r>
      <w:rPr/>
      <w:fldChar w:fldCharType="separate"/>
    </w:r>
    <w:r>
      <w:rPr/>
      <w:t>4</w:t>
    </w:r>
    <w:r>
      <w:rPr/>
      <w:fldChar w:fldCharType="end"/>
    </w:r>
  </w:p>
  <w:p>
    <w:pPr>
      <w:pStyle w:val="Style4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90"/>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true"/>
      <w:bidi w:val="0"/>
      <w:spacing w:lineRule="auto" w:line="252" w:before="0" w:after="160"/>
      <w:jc w:val="left"/>
    </w:pPr>
    <w:rPr>
      <w:rFonts w:ascii="Calibri" w:hAnsi="Calibri" w:eastAsia="Calibri" w:cs="Calibri"/>
      <w:color w:val="auto"/>
      <w:kern w:val="2"/>
      <w:sz w:val="22"/>
      <w:szCs w:val="22"/>
      <w:lang w:val="en-US" w:eastAsia="zh-CN" w:bidi="ar-SA"/>
    </w:rPr>
  </w:style>
  <w:style w:type="paragraph" w:styleId="3">
    <w:name w:val="Heading 3"/>
    <w:basedOn w:val="Normal"/>
    <w:next w:val="Style27"/>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character" w:styleId="12">
    <w:name w:val="Основной текст Знак1"/>
    <w:qFormat/>
    <w:rPr>
      <w:rFonts w:ascii="Times New Roman" w:hAnsi="Times New Roman" w:cs="Times New Roman"/>
      <w:sz w:val="22"/>
      <w:shd w:fill="FFFFFF" w:val="clear"/>
    </w:rPr>
  </w:style>
  <w:style w:type="character" w:styleId="2">
    <w:name w:val="Основной текст (2) + Не полужирный"/>
    <w:qFormat/>
    <w:rPr>
      <w:rFonts w:ascii="Times New Roman" w:hAnsi="Times New Roman" w:cs="Times New Roman"/>
      <w:b/>
      <w:sz w:val="22"/>
      <w:u w:val="none"/>
    </w:rPr>
  </w:style>
  <w:style w:type="character" w:styleId="Style25">
    <w:name w:val="Маркери списку"/>
    <w:qFormat/>
    <w:rPr>
      <w:rFonts w:ascii="OpenSymbol;Arial Unicode MS" w:hAnsi="OpenSymbol;Arial Unicode MS" w:eastAsia="OpenSymbol;Arial Unicode MS" w:cs="OpenSymbol;Arial Unicode MS"/>
    </w:rPr>
  </w:style>
  <w:style w:type="paragraph" w:styleId="Style26">
    <w:name w:val="Заголовок"/>
    <w:basedOn w:val="Normal"/>
    <w:next w:val="Style27"/>
    <w:qFormat/>
    <w:pPr>
      <w:keepNext w:val="true"/>
      <w:spacing w:before="240" w:after="120"/>
    </w:pPr>
    <w:rPr>
      <w:rFonts w:ascii="Liberation Sans;Arial" w:hAnsi="Liberation Sans;Arial"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Покажчик"/>
    <w:basedOn w:val="Normal"/>
    <w:qFormat/>
    <w:pPr>
      <w:suppressLineNumbers/>
    </w:pPr>
    <w:rPr>
      <w:rFonts w:cs="Arial"/>
    </w:rPr>
  </w:style>
  <w:style w:type="paragraph" w:styleId="13">
    <w:name w:val="Заголовок1"/>
    <w:basedOn w:val="Normal"/>
    <w:next w:val="Style27"/>
    <w:qFormat/>
    <w:pPr>
      <w:keepNext w:val="true"/>
      <w:spacing w:before="240" w:after="120"/>
    </w:pPr>
    <w:rPr>
      <w:rFonts w:ascii="Liberation Sans;Arial" w:hAnsi="Liberation Sans;Arial" w:eastAsia="Microsoft YaHei" w:cs="Arial"/>
      <w:sz w:val="28"/>
      <w:szCs w:val="28"/>
    </w:rPr>
  </w:style>
  <w:style w:type="paragraph" w:styleId="Style31">
    <w:name w:val="Название объекта"/>
    <w:basedOn w:val="Normal"/>
    <w:qFormat/>
    <w:pPr>
      <w:suppressLineNumbers/>
      <w:spacing w:before="120" w:after="120"/>
    </w:pPr>
    <w:rPr>
      <w:rFonts w:cs="Arial"/>
      <w:i/>
      <w:iCs/>
      <w:sz w:val="24"/>
      <w:szCs w:val="24"/>
    </w:rPr>
  </w:style>
  <w:style w:type="paragraph" w:styleId="14">
    <w:name w:val="Название объекта1"/>
    <w:basedOn w:val="Normal"/>
    <w:qFormat/>
    <w:pPr>
      <w:suppressLineNumbers/>
      <w:spacing w:before="120" w:after="120"/>
    </w:pPr>
    <w:rPr>
      <w:rFonts w:cs="Arial"/>
      <w:i/>
      <w:iCs/>
      <w:sz w:val="24"/>
      <w:szCs w:val="24"/>
    </w:rPr>
  </w:style>
  <w:style w:type="paragraph" w:styleId="Style32">
    <w:name w:val="Текст примітки"/>
    <w:basedOn w:val="Normal"/>
    <w:qFormat/>
    <w:pPr>
      <w:spacing w:lineRule="auto" w:line="240"/>
    </w:pPr>
    <w:rPr>
      <w:sz w:val="20"/>
      <w:szCs w:val="20"/>
      <w:lang w:val="uk-UA"/>
    </w:rPr>
  </w:style>
  <w:style w:type="paragraph" w:styleId="Style33">
    <w:name w:val="Тема примітки"/>
    <w:basedOn w:val="Style32"/>
    <w:next w:val="Style32"/>
    <w:qFormat/>
    <w:pPr/>
    <w:rPr>
      <w:b/>
      <w:bCs/>
      <w:lang w:val="uk-UA"/>
    </w:rPr>
  </w:style>
  <w:style w:type="paragraph" w:styleId="Style34">
    <w:name w:val="Текст у виносці"/>
    <w:basedOn w:val="Normal"/>
    <w:qFormat/>
    <w:pPr>
      <w:spacing w:lineRule="auto" w:line="240" w:before="0" w:after="0"/>
    </w:pPr>
    <w:rPr>
      <w:rFonts w:ascii="Segoe UI" w:hAnsi="Segoe UI" w:cs="Segoe UI"/>
      <w:sz w:val="18"/>
      <w:szCs w:val="18"/>
      <w:lang w:val="uk-UA"/>
    </w:rPr>
  </w:style>
  <w:style w:type="paragraph" w:styleId="Style35">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6">
    <w:name w:val="Абзац списку"/>
    <w:basedOn w:val="Normal"/>
    <w:qFormat/>
    <w:pPr>
      <w:spacing w:lineRule="auto" w:line="276" w:before="0" w:after="200"/>
      <w:ind w:left="720" w:right="0" w:hanging="0"/>
      <w:contextualSpacing/>
    </w:pPr>
    <w:rPr>
      <w:lang w:val="uk-UA"/>
    </w:rPr>
  </w:style>
  <w:style w:type="paragraph" w:styleId="Style37">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38">
    <w:name w:val="Footer"/>
    <w:basedOn w:val="Normal"/>
    <w:pPr>
      <w:spacing w:lineRule="auto" w:line="240" w:before="0" w:after="0"/>
    </w:pPr>
    <w:rPr>
      <w:sz w:val="20"/>
      <w:szCs w:val="20"/>
      <w:lang w:val="uk-UA"/>
    </w:rPr>
  </w:style>
  <w:style w:type="paragraph" w:styleId="Style39">
    <w:name w:val="Без інтервалів"/>
    <w:qFormat/>
    <w:pPr>
      <w:widowControl/>
      <w:suppressAutoHyphens w:val="true"/>
      <w:overflowPunct w:val="true"/>
      <w:bidi w:val="0"/>
      <w:spacing w:before="0" w:after="0"/>
      <w:jc w:val="left"/>
    </w:pPr>
    <w:rPr>
      <w:rFonts w:ascii="Calibri" w:hAnsi="Calibri" w:eastAsia="Calibri" w:cs="Calibri"/>
      <w:color w:val="auto"/>
      <w:kern w:val="2"/>
      <w:sz w:val="22"/>
      <w:szCs w:val="22"/>
      <w:lang w:val="en-US" w:eastAsia="zh-CN" w:bidi="ar-SA"/>
    </w:rPr>
  </w:style>
  <w:style w:type="paragraph" w:styleId="Style40">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1">
    <w:name w:val="Header"/>
    <w:basedOn w:val="Normal"/>
    <w:pPr>
      <w:tabs>
        <w:tab w:val="clear" w:pos="709"/>
        <w:tab w:val="center" w:pos="4677" w:leader="none"/>
        <w:tab w:val="right" w:pos="9355" w:leader="none"/>
      </w:tabs>
      <w:spacing w:lineRule="auto" w:line="240" w:before="0" w:after="0"/>
    </w:pPr>
    <w:rPr/>
  </w:style>
  <w:style w:type="paragraph" w:styleId="Style42">
    <w:name w:val="Вміст таблиці"/>
    <w:basedOn w:val="Normal"/>
    <w:qFormat/>
    <w:pPr>
      <w:suppressLineNumbers/>
    </w:pPr>
    <w:rPr/>
  </w:style>
  <w:style w:type="paragraph" w:styleId="Style43">
    <w:name w:val="Заголовок таблиці"/>
    <w:basedOn w:val="Style42"/>
    <w:qFormat/>
    <w:pPr>
      <w:suppressLineNumbers/>
      <w:jc w:val="center"/>
    </w:pPr>
    <w:rPr>
      <w:b/>
      <w:bCs/>
    </w:rPr>
  </w:style>
  <w:style w:type="paragraph" w:styleId="21">
    <w:name w:val="Заголовок2"/>
    <w:basedOn w:val="Normal"/>
    <w:next w:val="Style27"/>
    <w:qFormat/>
    <w:pPr>
      <w:keepNext w:val="true"/>
      <w:spacing w:before="240" w:after="120"/>
    </w:pPr>
    <w:rPr>
      <w:rFonts w:ascii="Liberation Sans;Arial" w:hAnsi="Liberation Sans;Arial" w:eastAsia="Microsoft YaHei" w:cs="Arial"/>
      <w:sz w:val="28"/>
      <w:szCs w:val="28"/>
    </w:rPr>
  </w:style>
  <w:style w:type="paragraph" w:styleId="Style44">
    <w:name w:val="Без интервала"/>
    <w:qFormat/>
    <w:pPr>
      <w:widowControl/>
      <w:suppressAutoHyphens w:val="true"/>
      <w:overflowPunct w:val="false"/>
      <w:bidi w:val="0"/>
      <w:spacing w:before="0" w:after="0"/>
      <w:jc w:val="left"/>
    </w:pPr>
    <w:rPr>
      <w:rFonts w:ascii="Calibri" w:hAnsi="Calibri" w:eastAsia="Calibri" w:cs="Calibri"/>
      <w:color w:val="auto"/>
      <w:kern w:val="0"/>
      <w:sz w:val="22"/>
      <w:szCs w:val="22"/>
      <w:lang w:val="en-US" w:eastAsia="zh-CN" w:bidi="ar-SA"/>
    </w:rPr>
  </w:style>
  <w:style w:type="paragraph" w:styleId="TableParagraph">
    <w:name w:val="Table Paragraph"/>
    <w:basedOn w:val="Normal"/>
    <w:qFormat/>
    <w:pPr>
      <w:widowControl w:val="false"/>
      <w:suppressAutoHyphens w:val="false"/>
      <w:spacing w:lineRule="auto" w:line="240" w:before="0" w:after="0"/>
    </w:pPr>
    <w:rPr>
      <w:rFonts w:ascii="Times New Roman" w:hAnsi="Times New Roman" w:cs="Times New Roman"/>
      <w:lang w:val="uk-U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185</TotalTime>
  <Application>LibreOffice/7.1.3.2$Windows_X86_64 LibreOffice_project/47f78053abe362b9384784d31a6e56f8511eb1c1</Application>
  <AppVersion>15.0000</AppVersion>
  <Pages>4</Pages>
  <Words>917</Words>
  <Characters>6126</Characters>
  <CharactersWithSpaces>6943</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2021-12-17T16:51:05Z</cp:lastPrinted>
  <dcterms:modified xsi:type="dcterms:W3CDTF">2021-12-17T16:51:15Z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