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before="0" w:after="0"/>
        <w:ind w:left="0" w:right="0" w:firstLine="851"/>
        <w:jc w:val="right"/>
        <w:rPr>
          <w:rFonts w:ascii="Times New Roman" w:hAnsi="Times New Roman" w:cs="Times New Roman"/>
          <w:sz w:val="24"/>
          <w:szCs w:val="24"/>
          <w:lang w:val="uk-UA"/>
        </w:rPr>
      </w:pPr>
      <w:r>
        <w:rPr>
          <w:rFonts w:cs="Times New Roman" w:ascii="Times New Roman" w:hAnsi="Times New Roman"/>
          <w:sz w:val="24"/>
          <w:szCs w:val="24"/>
          <w:lang w:val="uk-UA"/>
        </w:rPr>
        <w:t>Додаток до протоколу</w:t>
      </w:r>
    </w:p>
    <w:p>
      <w:pPr>
        <w:pStyle w:val="Normal"/>
        <w:spacing w:lineRule="auto" w:line="240" w:before="0" w:after="0"/>
        <w:ind w:left="0" w:right="0" w:firstLine="851"/>
        <w:jc w:val="right"/>
        <w:rPr>
          <w:rFonts w:ascii="Times New Roman" w:hAnsi="Times New Roman" w:cs="Times New Roman"/>
          <w:sz w:val="24"/>
          <w:szCs w:val="24"/>
          <w:lang w:val="uk-UA"/>
        </w:rPr>
      </w:pPr>
      <w:r>
        <w:rPr>
          <w:rFonts w:cs="Times New Roman" w:ascii="Times New Roman" w:hAnsi="Times New Roman"/>
          <w:sz w:val="24"/>
          <w:szCs w:val="24"/>
          <w:lang w:val="uk-UA"/>
        </w:rPr>
        <w:t>від_________№_____</w:t>
      </w:r>
    </w:p>
    <w:p>
      <w:pPr>
        <w:pStyle w:val="Normal"/>
        <w:spacing w:lineRule="auto" w:line="240"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Форма паспорту оцінки регуляторного акта</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tbl>
      <w:tblPr>
        <w:tblW w:w="9867" w:type="dxa"/>
        <w:jc w:val="left"/>
        <w:tblInd w:w="-62" w:type="dxa"/>
        <w:tblLayout w:type="fixed"/>
        <w:tblCellMar>
          <w:top w:w="0" w:type="dxa"/>
          <w:left w:w="108" w:type="dxa"/>
          <w:bottom w:w="0" w:type="dxa"/>
          <w:right w:w="108" w:type="dxa"/>
        </w:tblCellMar>
      </w:tblPr>
      <w:tblGrid>
        <w:gridCol w:w="671"/>
        <w:gridCol w:w="4833"/>
        <w:gridCol w:w="4363"/>
      </w:tblGrid>
      <w:tr>
        <w:trPr/>
        <w:tc>
          <w:tcPr>
            <w:tcW w:w="986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u w:val="single"/>
                <w:lang w:val="uk-UA"/>
              </w:rPr>
            </w:pPr>
            <w:r>
              <w:rPr>
                <w:rFonts w:cs="Times New Roman" w:ascii="Times New Roman" w:hAnsi="Times New Roman"/>
                <w:sz w:val="24"/>
                <w:szCs w:val="24"/>
                <w:u w:val="single"/>
                <w:lang w:val="uk-UA"/>
              </w:rPr>
              <w:t>Найменування органу місцевого самоврядування</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Луцька міська рада</w:t>
            </w:r>
          </w:p>
          <w:p>
            <w:pPr>
              <w:pStyle w:val="Normal"/>
              <w:widowControl w:val="false"/>
              <w:spacing w:lineRule="auto" w:line="240" w:before="0" w:after="0"/>
              <w:ind w:left="0" w:right="0" w:firstLine="851"/>
              <w:jc w:val="center"/>
              <w:rPr/>
            </w:pPr>
            <w:r>
              <w:rPr/>
            </w:r>
          </w:p>
        </w:tc>
      </w:tr>
      <w:tr>
        <w:trPr/>
        <w:tc>
          <w:tcPr>
            <w:tcW w:w="986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sz w:val="24"/>
                <w:szCs w:val="24"/>
                <w:u w:val="single"/>
                <w:lang w:val="uk-UA"/>
              </w:rPr>
            </w:pPr>
            <w:r>
              <w:rPr>
                <w:rFonts w:cs="Times New Roman" w:ascii="Times New Roman" w:hAnsi="Times New Roman"/>
                <w:sz w:val="24"/>
                <w:szCs w:val="24"/>
                <w:u w:val="single"/>
                <w:lang w:val="uk-UA"/>
              </w:rPr>
              <w:t>Назва, дата прийняття та номер акта</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Рішення міської ради</w:t>
            </w:r>
          </w:p>
          <w:p>
            <w:pPr>
              <w:pStyle w:val="Normal"/>
              <w:widowControl w:val="false"/>
              <w:spacing w:lineRule="auto" w:line="240" w:before="0" w:after="0"/>
              <w:ind w:left="0" w:right="0" w:firstLine="851"/>
              <w:jc w:val="center"/>
              <w:rPr/>
            </w:pPr>
            <w:r>
              <w:rPr>
                <w:rFonts w:cs="Times New Roman" w:ascii="Times New Roman" w:hAnsi="Times New Roman"/>
                <w:b/>
                <w:bCs/>
                <w:sz w:val="24"/>
                <w:szCs w:val="24"/>
                <w:lang w:val="uk-UA"/>
              </w:rPr>
              <w:t>“</w:t>
            </w:r>
            <w:r>
              <w:rPr>
                <w:rFonts w:cs="Times New Roman" w:ascii="Times New Roman" w:hAnsi="Times New Roman"/>
                <w:b/>
                <w:bCs/>
                <w:sz w:val="24"/>
                <w:szCs w:val="24"/>
                <w:lang w:val="uk-UA"/>
              </w:rPr>
              <w:t>Про встановлення ставок туристичного збору” від 10.07.2020 № 86/5</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r>
          </w:p>
        </w:tc>
      </w:tr>
      <w:tr>
        <w:trPr/>
        <w:tc>
          <w:tcPr>
            <w:tcW w:w="986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Чи є акт регуляторним</w:t>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є акт обов’язковим для виконання двома та більше суб’єктами господарювання?</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33" w:firstLine="851"/>
              <w:jc w:val="both"/>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33" w:firstLine="851"/>
              <w:jc w:val="both"/>
              <w:rPr>
                <w:rFonts w:ascii="Times New Roman" w:hAnsi="Times New Roman" w:cs="Times New Roman"/>
                <w:b/>
                <w:b/>
                <w:bCs/>
                <w:sz w:val="20"/>
                <w:szCs w:val="20"/>
                <w:lang w:val="uk-UA"/>
              </w:rPr>
            </w:pPr>
            <w:r>
              <w:rPr>
                <w:rFonts w:cs="Times New Roman" w:ascii="Times New Roman" w:hAnsi="Times New Roman"/>
                <w:b/>
                <w:bCs/>
                <w:sz w:val="20"/>
                <w:szCs w:val="20"/>
                <w:lang w:val="uk-UA"/>
              </w:rPr>
              <w:t>Так +</w:t>
            </w:r>
          </w:p>
          <w:p>
            <w:pPr>
              <w:pStyle w:val="Normal"/>
              <w:widowControl w:val="false"/>
              <w:spacing w:lineRule="auto" w:line="240" w:before="0" w:after="0"/>
              <w:ind w:left="0" w:right="33" w:hanging="0"/>
              <w:jc w:val="both"/>
              <w:rPr>
                <w:rFonts w:ascii="Times New Roman" w:hAnsi="Times New Roman" w:cs="Times New Roman"/>
                <w:sz w:val="24"/>
                <w:szCs w:val="24"/>
                <w:lang w:val="uk-UA"/>
              </w:rPr>
            </w:pPr>
            <w:r>
              <w:rPr>
                <w:rFonts w:cs="Times New Roman" w:ascii="Times New Roman" w:hAnsi="Times New Roman"/>
                <w:sz w:val="24"/>
                <w:szCs w:val="24"/>
                <w:lang w:val="uk-UA"/>
              </w:rPr>
              <w:t>(пояснення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33" w:firstLine="851"/>
              <w:jc w:val="both"/>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33" w:firstLine="851"/>
              <w:jc w:val="both"/>
              <w:rPr>
                <w:rFonts w:ascii="Times New Roman" w:hAnsi="Times New Roman" w:cs="Times New Roman"/>
                <w:sz w:val="20"/>
                <w:szCs w:val="20"/>
                <w:lang w:val="uk-UA"/>
              </w:rPr>
            </w:pPr>
            <w:r>
              <w:rPr>
                <w:rFonts w:cs="Times New Roman" w:ascii="Times New Roman" w:hAnsi="Times New Roman"/>
                <w:b/>
                <w:bCs/>
                <w:sz w:val="20"/>
                <w:szCs w:val="20"/>
                <w:lang w:val="uk-UA"/>
              </w:rPr>
              <w:t>Так +</w:t>
            </w:r>
          </w:p>
          <w:p>
            <w:pPr>
              <w:pStyle w:val="Normal"/>
              <w:widowControl w:val="false"/>
              <w:spacing w:lineRule="auto" w:line="240" w:before="0" w:after="0"/>
              <w:ind w:left="0" w:right="33" w:hanging="0"/>
              <w:jc w:val="both"/>
              <w:rPr>
                <w:rFonts w:ascii="Times New Roman" w:hAnsi="Times New Roman" w:cs="Times New Roman"/>
                <w:sz w:val="24"/>
                <w:szCs w:val="24"/>
                <w:lang w:val="uk-UA"/>
              </w:rPr>
            </w:pPr>
            <w:r>
              <w:rPr>
                <w:rFonts w:cs="Times New Roman" w:ascii="Times New Roman" w:hAnsi="Times New Roman"/>
                <w:sz w:val="24"/>
                <w:szCs w:val="24"/>
                <w:lang w:val="uk-UA"/>
              </w:rPr>
              <w:t>(пояснення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33" w:firstLine="851"/>
              <w:jc w:val="both"/>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33" w:firstLine="851"/>
              <w:jc w:val="both"/>
              <w:rPr>
                <w:rFonts w:ascii="Times New Roman" w:hAnsi="Times New Roman" w:cs="Times New Roman"/>
                <w:sz w:val="20"/>
                <w:szCs w:val="20"/>
                <w:lang w:val="uk-UA"/>
              </w:rPr>
            </w:pPr>
            <w:r>
              <w:rPr>
                <w:rFonts w:cs="Times New Roman" w:ascii="Times New Roman" w:hAnsi="Times New Roman"/>
                <w:b/>
                <w:bCs/>
                <w:sz w:val="20"/>
                <w:szCs w:val="20"/>
                <w:lang w:val="uk-UA"/>
              </w:rPr>
              <w:t>Так +</w:t>
            </w:r>
          </w:p>
          <w:p>
            <w:pPr>
              <w:pStyle w:val="Normal"/>
              <w:widowControl w:val="false"/>
              <w:spacing w:before="0" w:after="160"/>
              <w:ind w:left="0" w:right="33" w:hanging="0"/>
              <w:jc w:val="both"/>
              <w:rPr>
                <w:rFonts w:ascii="Times New Roman" w:hAnsi="Times New Roman" w:cs="Times New Roman"/>
                <w:sz w:val="24"/>
                <w:szCs w:val="24"/>
                <w:lang w:val="uk-UA"/>
              </w:rPr>
            </w:pPr>
            <w:r>
              <w:rPr>
                <w:rFonts w:cs="Times New Roman" w:ascii="Times New Roman" w:hAnsi="Times New Roman"/>
                <w:sz w:val="24"/>
                <w:szCs w:val="24"/>
                <w:lang w:val="uk-UA"/>
              </w:rPr>
              <w:t>(пояснення наводиться у обґрунтуванні розділу «Рекомендації»)</w:t>
            </w:r>
          </w:p>
        </w:tc>
      </w:tr>
      <w:tr>
        <w:trPr>
          <w:trHeight w:val="904" w:hRule="atLeast"/>
        </w:trPr>
        <w:tc>
          <w:tcPr>
            <w:tcW w:w="986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Висновок:</w:t>
            </w:r>
          </w:p>
          <w:p>
            <w:pPr>
              <w:pStyle w:val="Style37"/>
              <w:widowControl w:val="false"/>
              <w:numPr>
                <w:ilvl w:val="0"/>
                <w:numId w:val="2"/>
              </w:numPr>
              <w:spacing w:lineRule="auto" w:line="240" w:before="0" w:after="0"/>
              <w:ind w:left="720" w:right="0" w:hanging="360"/>
              <w:contextualSpacing/>
              <w:rPr>
                <w:rFonts w:ascii="Times New Roman" w:hAnsi="Times New Roman" w:cs="Times New Roman"/>
                <w:b/>
                <w:b/>
                <w:bCs/>
                <w:sz w:val="24"/>
                <w:szCs w:val="24"/>
              </w:rPr>
            </w:pPr>
            <w:r>
              <w:rPr>
                <w:rFonts w:cs="Times New Roman" w:ascii="Times New Roman" w:hAnsi="Times New Roman"/>
                <w:b/>
                <w:bCs/>
                <w:sz w:val="24"/>
                <w:szCs w:val="24"/>
              </w:rPr>
              <w:t>акт є регуляторним;</w:t>
            </w:r>
          </w:p>
          <w:p>
            <w:pPr>
              <w:pStyle w:val="Style37"/>
              <w:widowControl w:val="false"/>
              <w:numPr>
                <w:ilvl w:val="0"/>
                <w:numId w:val="2"/>
              </w:numPr>
              <w:spacing w:lineRule="auto" w:line="240" w:before="0" w:after="0"/>
              <w:ind w:left="720" w:right="0" w:hanging="360"/>
              <w:contextualSpacing/>
              <w:rPr>
                <w:rFonts w:ascii="Times New Roman" w:hAnsi="Times New Roman" w:cs="Times New Roman"/>
                <w:sz w:val="24"/>
                <w:szCs w:val="24"/>
              </w:rPr>
            </w:pPr>
            <w:r>
              <w:rPr>
                <w:rFonts w:cs="Times New Roman" w:ascii="Times New Roman" w:hAnsi="Times New Roman"/>
                <w:sz w:val="24"/>
                <w:szCs w:val="24"/>
              </w:rPr>
              <w:t>акт не є регуляторним та не потребує подальшого аналізу</w:t>
            </w:r>
          </w:p>
        </w:tc>
      </w:tr>
      <w:tr>
        <w:trPr/>
        <w:tc>
          <w:tcPr>
            <w:tcW w:w="986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iCs/>
                <w:sz w:val="24"/>
                <w:szCs w:val="24"/>
                <w:lang w:val="uk-UA"/>
              </w:rPr>
            </w:pPr>
            <w:r>
              <w:rPr>
                <w:rFonts w:cs="Times New Roman" w:ascii="Times New Roman" w:hAnsi="Times New Roman"/>
                <w:b/>
                <w:iCs/>
                <w:sz w:val="24"/>
                <w:szCs w:val="24"/>
                <w:lang w:val="uk-UA"/>
              </w:rPr>
              <w:t>Відповідність вимогам актів вищої юридичної сили, а також компетенції відповідного органу</w:t>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відповідає акт вимогам актів вищої юридичної сили?</w:t>
            </w:r>
          </w:p>
          <w:p>
            <w:pPr>
              <w:pStyle w:val="Normal"/>
              <w:widowControl w:val="false"/>
              <w:spacing w:lineRule="auto" w:line="240" w:before="0" w:after="0"/>
              <w:ind w:left="360" w:right="0" w:hanging="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pPr>
            <w:r>
              <w:rPr>
                <w:rFonts w:cs="Times New Roman" w:ascii="Times New Roman" w:hAnsi="Times New Roman"/>
                <w:b/>
                <w:bCs/>
                <w:sz w:val="24"/>
                <w:szCs w:val="24"/>
                <w:lang w:val="uk-UA"/>
              </w:rPr>
              <w:t>Т</w:t>
            </w:r>
            <w:r>
              <w:rPr>
                <w:rFonts w:cs="Times New Roman" w:ascii="Times New Roman" w:hAnsi="Times New Roman"/>
                <w:b/>
                <w:bCs/>
                <w:sz w:val="20"/>
                <w:szCs w:val="20"/>
                <w:lang w:val="uk-UA"/>
              </w:rPr>
              <w:t xml:space="preserve">ак </w:t>
            </w:r>
            <w:r>
              <w:rPr>
                <w:rFonts w:cs="Times New Roman" w:ascii="Times New Roman" w:hAnsi="Times New Roman"/>
                <w:b/>
                <w:bCs/>
                <w:sz w:val="24"/>
                <w:szCs w:val="24"/>
                <w:lang w:val="uk-UA"/>
              </w:rPr>
              <w:t>+</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Ні___</w:t>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tabs>
                <w:tab w:val="clear" w:pos="709"/>
                <w:tab w:val="right" w:pos="252" w:leader="none"/>
                <w:tab w:val="center" w:pos="551" w:leader="none"/>
              </w:tabs>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був прийнятий в межах компетенції органу?</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b/>
                <w:b/>
                <w:bCs/>
                <w:sz w:val="24"/>
                <w:szCs w:val="24"/>
                <w:lang w:val="uk-UA"/>
              </w:rPr>
            </w:pPr>
            <w:r>
              <w:rPr>
                <w:rFonts w:cs="Times New Roman" w:ascii="Times New Roman" w:hAnsi="Times New Roman"/>
                <w:b/>
                <w:bCs/>
                <w:sz w:val="24"/>
                <w:szCs w:val="24"/>
                <w:lang w:val="uk-UA"/>
              </w:rPr>
              <w:t>Так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tc>
      </w:tr>
      <w:tr>
        <w:trPr/>
        <w:tc>
          <w:tcPr>
            <w:tcW w:w="986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i/>
                <w:i/>
                <w:iCs/>
                <w:sz w:val="24"/>
                <w:szCs w:val="24"/>
                <w:lang w:val="uk-UA"/>
              </w:rPr>
            </w:pPr>
            <w:r>
              <w:rPr>
                <w:rFonts w:cs="Times New Roman" w:ascii="Times New Roman" w:hAnsi="Times New Roman"/>
                <w:i/>
                <w:iCs/>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обґрунтування).</w:t>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були дотримані вимоги законодавства щодо процедури прийняття регуляторних актів?</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b/>
                <w:b/>
                <w:bCs/>
                <w:sz w:val="24"/>
                <w:szCs w:val="24"/>
                <w:lang w:val="uk-UA"/>
              </w:rPr>
            </w:pPr>
            <w:r>
              <w:rPr>
                <w:rFonts w:cs="Times New Roman" w:ascii="Times New Roman" w:hAnsi="Times New Roman"/>
                <w:b/>
                <w:bCs/>
                <w:sz w:val="24"/>
                <w:szCs w:val="24"/>
                <w:lang w:val="uk-UA"/>
              </w:rPr>
              <w:t>Так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tc>
      </w:tr>
      <w:tr>
        <w:trPr/>
        <w:tc>
          <w:tcPr>
            <w:tcW w:w="986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pPr>
            <w:r>
              <w:rPr>
                <w:rFonts w:cs="Times New Roman" w:ascii="Times New Roman" w:hAnsi="Times New Roman"/>
                <w:i/>
                <w:iCs/>
                <w:color w:val="000000"/>
                <w:sz w:val="24"/>
                <w:szCs w:val="24"/>
                <w:lang w:val="uk-UA"/>
              </w:rPr>
              <w:t>У разі, якщо виявлено невідповідність цьому критерію, продовжується заповнення наступних розділів паспорту, а у розділі «Рекомендації», за умови</w:t>
            </w:r>
            <w:r>
              <w:rPr>
                <w:rFonts w:cs="Times New Roman" w:ascii="Times New Roman" w:hAnsi="Times New Roman"/>
                <w:i/>
                <w:iCs/>
                <w:color w:val="FF0000"/>
                <w:sz w:val="24"/>
                <w:szCs w:val="24"/>
                <w:lang w:val="uk-UA"/>
              </w:rPr>
              <w:t xml:space="preserve"> </w:t>
            </w:r>
            <w:r>
              <w:rPr>
                <w:rFonts w:cs="Times New Roman" w:ascii="Times New Roman" w:hAnsi="Times New Roman"/>
                <w:i/>
                <w:iCs/>
                <w:color w:val="000000"/>
                <w:sz w:val="24"/>
                <w:szCs w:val="24"/>
                <w:lang w:val="uk-UA"/>
              </w:rPr>
              <w:t>доцільності даного регулювання, зазначається про необхідність визнати цей акт таким, що потребує втрати чинності з одночасним розробленням нового регулювання з дотриманням всіх необхідних регуляторних процедур.</w:t>
            </w:r>
          </w:p>
          <w:p>
            <w:pPr>
              <w:pStyle w:val="Normal"/>
              <w:widowControl w:val="false"/>
              <w:spacing w:lineRule="auto" w:line="240" w:before="0" w:after="0"/>
              <w:ind w:left="0" w:right="0" w:firstLine="851"/>
              <w:rPr>
                <w:rFonts w:ascii="Times New Roman" w:hAnsi="Times New Roman" w:cs="Times New Roman"/>
                <w:i/>
                <w:i/>
                <w:iCs/>
                <w:sz w:val="24"/>
                <w:szCs w:val="24"/>
                <w:lang w:val="uk-UA"/>
              </w:rPr>
            </w:pPr>
            <w:r>
              <w:rPr>
                <w:rFonts w:cs="Times New Roman" w:ascii="Times New Roman" w:hAnsi="Times New Roman"/>
                <w:i/>
                <w:iCs/>
                <w:sz w:val="24"/>
                <w:szCs w:val="24"/>
                <w:lang w:val="uk-UA"/>
              </w:rPr>
            </w:r>
          </w:p>
        </w:tc>
      </w:tr>
      <w:tr>
        <w:trPr/>
        <w:tc>
          <w:tcPr>
            <w:tcW w:w="986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t>Визначення мети (цілі) акта органу та проблеми, яку цей акт мав би вирішувати</w:t>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Існуюче формулювання мети акта.</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Формулювання відсутнє ___</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(робиться позначка)</w:t>
            </w:r>
          </w:p>
          <w:p>
            <w:pPr>
              <w:pStyle w:val="Normal"/>
              <w:widowControl w:val="false"/>
              <w:spacing w:lineRule="auto" w:line="240" w:before="0" w:after="0"/>
              <w:ind w:left="0" w:right="0" w:firstLine="90"/>
              <w:rPr>
                <w:rFonts w:ascii="Times New Roman" w:hAnsi="Times New Roman" w:cs="Times New Roman"/>
                <w:sz w:val="24"/>
                <w:szCs w:val="24"/>
                <w:lang w:val="uk-UA"/>
              </w:rPr>
            </w:pPr>
            <w:r>
              <w:rPr>
                <w:rFonts w:cs="Times New Roman" w:ascii="Times New Roman" w:hAnsi="Times New Roman"/>
                <w:sz w:val="24"/>
                <w:szCs w:val="24"/>
                <w:lang w:val="uk-UA"/>
              </w:rPr>
              <w:t>або наводиться існуюче формулювання</w:t>
            </w:r>
          </w:p>
        </w:tc>
      </w:tr>
      <w:tr>
        <w:trPr>
          <w:trHeight w:val="862" w:hRule="atLeast"/>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Визначення мети акта за суб’єктивними чинниками.</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Визначення проблем, які акт повинен був би вирішувати.</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86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Оцінка діючого акта</w:t>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Хто є суб’єктами цього регулювання, скільки цих суб’єктів приблизно є?</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Якими є обов’язкові вимоги що повинні виконуватися?</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14"/>
              <w:rPr>
                <w:rFonts w:ascii="Times New Roman" w:hAnsi="Times New Roman" w:cs="Times New Roman"/>
                <w:sz w:val="24"/>
                <w:szCs w:val="24"/>
                <w:lang w:val="uk-UA"/>
              </w:rPr>
            </w:pPr>
            <w:r>
              <w:rPr>
                <w:rFonts w:cs="Times New Roman" w:ascii="Times New Roman" w:hAnsi="Times New Roman"/>
                <w:sz w:val="24"/>
                <w:szCs w:val="24"/>
                <w:lang w:val="uk-UA"/>
              </w:rPr>
              <w:t>Приблизна оцінка вартості виконання всіх вимог для одного суб’єкта регулювання.</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7.</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8.</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9.</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чи практика його виконання обмежує конкуренцію іншим методом, не описаним вище?</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10.</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11.</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12.</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ind w:left="0" w:right="0" w:firstLine="851"/>
              <w:jc w:val="center"/>
              <w:rPr>
                <w:rFonts w:ascii="Times New Roman" w:hAnsi="Times New Roman" w:cs="Times New Roman"/>
                <w:sz w:val="24"/>
                <w:szCs w:val="24"/>
                <w:lang w:val="uk-UA"/>
              </w:rPr>
            </w:pPr>
            <w:r>
              <w:rPr>
                <w:rFonts w:cs="Times New Roman" w:ascii="Times New Roman" w:hAnsi="Times New Roman"/>
                <w:sz w:val="24"/>
                <w:szCs w:val="24"/>
                <w:lang w:val="uk-UA"/>
              </w:rPr>
              <w:t>.13.</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вимагає придбання обладнання товарів чи послуг певного зразка чи у певних суб’єктів господарювання?</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14.</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чи практика його призводить до збільшення корупційних можливостей іншими методами не описаним вище?</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vAlign w:val="cente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15.</w:t>
            </w:r>
          </w:p>
        </w:tc>
        <w:tc>
          <w:tcPr>
            <w:tcW w:w="483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Співвідношення масштабу регуляторного режиму та рівня фактичного вирішення проблеми.</w:t>
            </w:r>
          </w:p>
        </w:tc>
        <w:tc>
          <w:tcPr>
            <w:tcW w:w="436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86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Рекомендації</w:t>
            </w:r>
          </w:p>
        </w:tc>
      </w:tr>
      <w:tr>
        <w:trPr/>
        <w:tc>
          <w:tcPr>
            <w:tcW w:w="9867" w:type="dxa"/>
            <w:gridSpan w:val="3"/>
            <w:tcBorders>
              <w:top w:val="single" w:sz="4" w:space="0" w:color="000000"/>
              <w:left w:val="single" w:sz="4" w:space="0" w:color="000000"/>
              <w:bottom w:val="single" w:sz="4" w:space="0" w:color="000000"/>
              <w:right w:val="single" w:sz="4" w:space="0" w:color="000000"/>
            </w:tcBorders>
            <w:shd w:fill="auto" w:val="clear"/>
          </w:tcPr>
          <w:p>
            <w:pPr>
              <w:pStyle w:val="Style37"/>
              <w:widowControl w:val="false"/>
              <w:spacing w:lineRule="auto" w:line="240" w:before="0" w:after="0"/>
              <w:ind w:left="22" w:right="0" w:hanging="0"/>
              <w:contextualSpacing/>
              <w:rPr/>
            </w:pPr>
            <w:r>
              <w:rPr>
                <w:rFonts w:eastAsia="Times New Roman" w:cs="Times New Roman" w:ascii="Times New Roman" w:hAnsi="Times New Roman"/>
                <w:iCs/>
                <w:sz w:val="24"/>
                <w:szCs w:val="24"/>
                <w:lang w:val="ru-RU"/>
              </w:rPr>
              <w:t xml:space="preserve">       </w:t>
            </w:r>
            <w:r>
              <w:rPr>
                <w:rFonts w:cs="Times New Roman" w:ascii="Times New Roman" w:hAnsi="Times New Roman"/>
                <w:iCs/>
                <w:sz w:val="24"/>
                <w:szCs w:val="24"/>
              </w:rPr>
              <w:t>Зазначається один з наступних варіантів:</w:t>
            </w:r>
          </w:p>
          <w:p>
            <w:pPr>
              <w:pStyle w:val="Style37"/>
              <w:widowControl w:val="false"/>
              <w:spacing w:lineRule="auto" w:line="240" w:before="0" w:after="0"/>
              <w:ind w:left="0" w:right="0" w:firstLine="510"/>
              <w:contextualSpacing/>
              <w:rPr/>
            </w:pPr>
            <w:r>
              <w:rPr>
                <w:rFonts w:cs="Times New Roman" w:ascii="Times New Roman" w:hAnsi="Times New Roman"/>
                <w:iCs/>
                <w:color w:val="000000"/>
                <w:sz w:val="24"/>
                <w:szCs w:val="24"/>
              </w:rPr>
              <w:t>•</w:t>
            </w:r>
            <w:r>
              <w:rPr>
                <w:rFonts w:eastAsia="Times New Roman" w:cs="Times New Roman" w:ascii="Times New Roman" w:hAnsi="Times New Roman"/>
                <w:iCs/>
                <w:color w:val="000000"/>
                <w:sz w:val="24"/>
                <w:szCs w:val="24"/>
              </w:rPr>
              <w:t xml:space="preserve"> </w:t>
            </w:r>
            <w:r>
              <w:rPr>
                <w:rFonts w:cs="Times New Roman" w:ascii="Times New Roman" w:hAnsi="Times New Roman"/>
                <w:b/>
                <w:iCs/>
                <w:color w:val="000000"/>
                <w:sz w:val="24"/>
                <w:szCs w:val="24"/>
              </w:rPr>
              <w:t>Залишити акт без змін</w:t>
            </w:r>
          </w:p>
          <w:p>
            <w:pPr>
              <w:pStyle w:val="Style37"/>
              <w:widowControl w:val="false"/>
              <w:spacing w:lineRule="auto" w:line="240" w:before="0" w:after="0"/>
              <w:ind w:left="0" w:right="0" w:firstLine="510"/>
              <w:contextualSpacing/>
              <w:rPr/>
            </w:pPr>
            <w:r>
              <w:rPr>
                <w:rFonts w:cs="Times New Roman" w:ascii="Times New Roman" w:hAnsi="Times New Roman"/>
                <w:bCs/>
                <w:iCs/>
                <w:color w:val="000000"/>
                <w:sz w:val="24"/>
                <w:szCs w:val="24"/>
              </w:rPr>
              <w:t>•</w:t>
            </w:r>
            <w:r>
              <w:rPr>
                <w:rFonts w:eastAsia="Times New Roman" w:cs="Times New Roman" w:ascii="Times New Roman" w:hAnsi="Times New Roman"/>
                <w:bCs/>
                <w:iCs/>
                <w:color w:val="000000"/>
                <w:sz w:val="24"/>
                <w:szCs w:val="24"/>
              </w:rPr>
              <w:t xml:space="preserve"> </w:t>
            </w:r>
            <w:r>
              <w:rPr>
                <w:rFonts w:cs="Times New Roman" w:ascii="Times New Roman" w:hAnsi="Times New Roman"/>
                <w:bCs/>
                <w:iCs/>
                <w:color w:val="000000"/>
                <w:sz w:val="24"/>
                <w:szCs w:val="24"/>
              </w:rPr>
              <w:t>Внести зміни до діючого акта в частині приєднання сільських територій до міста.</w:t>
            </w:r>
          </w:p>
          <w:p>
            <w:pPr>
              <w:pStyle w:val="Style37"/>
              <w:widowControl w:val="false"/>
              <w:spacing w:lineRule="auto" w:line="240" w:before="0" w:after="0"/>
              <w:ind w:left="0" w:right="0" w:firstLine="510"/>
              <w:contextualSpacing/>
              <w:jc w:val="both"/>
              <w:rPr/>
            </w:pPr>
            <w:r>
              <w:rPr>
                <w:rFonts w:cs="Times New Roman" w:ascii="Times New Roman" w:hAnsi="Times New Roman"/>
                <w:iCs/>
                <w:sz w:val="24"/>
                <w:szCs w:val="24"/>
              </w:rPr>
              <w:t>•</w:t>
            </w:r>
            <w:r>
              <w:rPr>
                <w:rFonts w:eastAsia="Times New Roman" w:cs="Times New Roman" w:ascii="Times New Roman" w:hAnsi="Times New Roman"/>
                <w:iCs/>
                <w:sz w:val="24"/>
                <w:szCs w:val="24"/>
              </w:rPr>
              <w:t xml:space="preserve"> </w:t>
            </w:r>
            <w:r>
              <w:rPr>
                <w:rFonts w:cs="Times New Roman" w:ascii="Times New Roman" w:hAnsi="Times New Roman"/>
                <w:iCs/>
                <w:sz w:val="24"/>
                <w:szCs w:val="24"/>
              </w:rPr>
              <w:t>Визнати таким, що втратив чинність, діючий акт та прийняти новий із дотриманням вимогам законодавства щодо змісту акта та процедури його прийняття.</w:t>
            </w:r>
          </w:p>
          <w:p>
            <w:pPr>
              <w:pStyle w:val="Style37"/>
              <w:widowControl w:val="false"/>
              <w:spacing w:lineRule="auto" w:line="240" w:before="0" w:after="0"/>
              <w:ind w:left="0" w:right="0" w:firstLine="510"/>
              <w:contextualSpacing/>
              <w:rPr/>
            </w:pPr>
            <w:r>
              <w:rPr>
                <w:rFonts w:cs="Times New Roman" w:ascii="Times New Roman" w:hAnsi="Times New Roman"/>
                <w:iCs/>
                <w:sz w:val="24"/>
                <w:szCs w:val="24"/>
              </w:rPr>
              <w:t>•</w:t>
            </w:r>
            <w:r>
              <w:rPr>
                <w:rFonts w:eastAsia="Times New Roman" w:cs="Times New Roman" w:ascii="Times New Roman" w:hAnsi="Times New Roman"/>
                <w:iCs/>
                <w:sz w:val="24"/>
                <w:szCs w:val="24"/>
              </w:rPr>
              <w:t xml:space="preserve"> </w:t>
            </w:r>
            <w:r>
              <w:rPr>
                <w:rFonts w:cs="Times New Roman" w:ascii="Times New Roman" w:hAnsi="Times New Roman"/>
                <w:iCs/>
                <w:sz w:val="24"/>
                <w:szCs w:val="24"/>
              </w:rPr>
              <w:t>Повністю визнати таким, що втратив чинність</w:t>
            </w:r>
            <w:r>
              <w:rPr>
                <w:rFonts w:cs="Times New Roman" w:ascii="Times New Roman" w:hAnsi="Times New Roman"/>
                <w:iCs/>
                <w:sz w:val="24"/>
                <w:szCs w:val="24"/>
                <w:u w:val="single"/>
              </w:rPr>
              <w:t>.</w:t>
            </w:r>
          </w:p>
        </w:tc>
      </w:tr>
      <w:tr>
        <w:trPr/>
        <w:tc>
          <w:tcPr>
            <w:tcW w:w="986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511"/>
              <w:contextualSpacing/>
              <w:jc w:val="both"/>
              <w:rPr/>
            </w:pPr>
            <w:r>
              <w:rPr>
                <w:rFonts w:cs="Times New Roman" w:ascii="Times New Roman" w:hAnsi="Times New Roman"/>
                <w:b/>
                <w:sz w:val="24"/>
                <w:szCs w:val="24"/>
                <w:lang w:val="uk-UA"/>
              </w:rPr>
              <w:t xml:space="preserve">Обґрунтування: </w:t>
            </w:r>
            <w:r>
              <w:rPr>
                <w:rFonts w:cs="Times New Roman" w:ascii="Times New Roman" w:hAnsi="Times New Roman"/>
                <w:sz w:val="24"/>
                <w:szCs w:val="24"/>
                <w:lang w:val="uk-UA"/>
              </w:rPr>
              <w:t>Н</w:t>
            </w:r>
            <w:r>
              <w:rPr>
                <w:rFonts w:cs="Times New Roman" w:ascii="Times New Roman" w:hAnsi="Times New Roman"/>
                <w:color w:val="000000"/>
                <w:sz w:val="24"/>
                <w:szCs w:val="24"/>
                <w:lang w:val="uk-UA"/>
              </w:rPr>
              <w:t xml:space="preserve">орми акта поширюються на будь-яких суб’єктів господарювання, які є учасниками </w:t>
            </w:r>
            <w:r>
              <w:rPr>
                <w:rFonts w:cs="Times New Roman" w:ascii="Times New Roman" w:hAnsi="Times New Roman"/>
                <w:sz w:val="24"/>
                <w:szCs w:val="24"/>
                <w:lang w:val="uk-UA"/>
              </w:rPr>
              <w:t>відносин, на регулювання яких спрямовано цей акт.</w:t>
            </w:r>
          </w:p>
          <w:p>
            <w:pPr>
              <w:pStyle w:val="Normal"/>
              <w:widowControl w:val="false"/>
              <w:ind w:left="0" w:right="0" w:firstLine="504"/>
              <w:jc w:val="both"/>
              <w:rPr>
                <w:rFonts w:ascii="Times New Roman" w:hAnsi="Times New Roman" w:cs="Times New Roman"/>
                <w:sz w:val="24"/>
                <w:szCs w:val="24"/>
                <w:lang w:val="uk-UA" w:eastAsia="zh-CN" w:bidi="ar-SA"/>
              </w:rPr>
            </w:pPr>
            <w:r>
              <w:rPr>
                <w:rFonts w:eastAsia="Calibri" w:cs="Times New Roman" w:ascii="Times New Roman" w:hAnsi="Times New Roman"/>
                <w:color w:val="000000"/>
                <w:kern w:val="2"/>
                <w:sz w:val="24"/>
                <w:szCs w:val="24"/>
                <w:shd w:fill="auto" w:val="clear"/>
                <w:lang w:val="uk-UA" w:eastAsia="zh-CN" w:bidi="ar-SA"/>
              </w:rPr>
              <w:t xml:space="preserve">Згідно даного рішення, </w:t>
            </w:r>
            <w:r>
              <w:rPr>
                <w:rFonts w:cs="Times New Roman" w:ascii="Times New Roman" w:hAnsi="Times New Roman"/>
                <w:sz w:val="24"/>
                <w:szCs w:val="24"/>
                <w:shd w:fill="auto" w:val="clear"/>
                <w:lang w:val="uk-UA" w:eastAsia="zh-CN" w:bidi="ar-SA"/>
              </w:rPr>
              <w:t>на т</w:t>
            </w:r>
            <w:r>
              <w:rPr>
                <w:rFonts w:cs="Times New Roman" w:ascii="Times New Roman" w:hAnsi="Times New Roman"/>
                <w:sz w:val="24"/>
                <w:szCs w:val="24"/>
                <w:lang w:val="uk-UA" w:eastAsia="zh-CN" w:bidi="ar-SA"/>
              </w:rPr>
              <w:t>ериторії Луцької міської територіальної громади встановлено ставки туристичного збору за кожну добу тимчасового розміщення однієї особи у місцях проживання (ночівлі), у відсотках від розміру законодавчовстановленої мінімальної заробітної плати на 1 січня звітного (податкового) року:</w:t>
            </w:r>
          </w:p>
          <w:p>
            <w:pPr>
              <w:pStyle w:val="Normal"/>
              <w:widowControl w:val="false"/>
              <w:ind w:left="0" w:right="0" w:firstLine="504"/>
              <w:jc w:val="both"/>
              <w:rPr>
                <w:rFonts w:ascii="Times New Roman" w:hAnsi="Times New Roman" w:cs="Times New Roman"/>
                <w:sz w:val="24"/>
                <w:szCs w:val="24"/>
                <w:lang w:val="uk-UA" w:eastAsia="zh-CN" w:bidi="ar-SA"/>
              </w:rPr>
            </w:pPr>
            <w:r>
              <w:rPr>
                <w:rFonts w:cs="Times New Roman" w:ascii="Times New Roman" w:hAnsi="Times New Roman"/>
                <w:sz w:val="24"/>
                <w:szCs w:val="24"/>
                <w:lang w:val="uk-UA" w:eastAsia="zh-CN" w:bidi="ar-SA"/>
              </w:rPr>
            </w:r>
          </w:p>
          <w:p>
            <w:pPr>
              <w:pStyle w:val="Normal"/>
              <w:widowControl w:val="false"/>
              <w:ind w:left="0" w:right="0" w:firstLine="504"/>
              <w:jc w:val="both"/>
              <w:rPr>
                <w:rFonts w:ascii="Times New Roman" w:hAnsi="Times New Roman" w:cs="Times New Roman"/>
                <w:sz w:val="24"/>
                <w:szCs w:val="24"/>
                <w:lang w:val="uk-UA" w:eastAsia="zh-CN" w:bidi="ar-SA"/>
              </w:rPr>
            </w:pPr>
            <w:r>
              <w:rPr>
                <w:rFonts w:cs="Times New Roman" w:ascii="Times New Roman" w:hAnsi="Times New Roman"/>
                <w:sz w:val="24"/>
                <w:szCs w:val="24"/>
                <w:lang w:val="uk-UA" w:eastAsia="zh-CN" w:bidi="ar-SA"/>
              </w:rPr>
            </w:r>
          </w:p>
          <w:tbl>
            <w:tblPr>
              <w:tblW w:w="9300" w:type="dxa"/>
              <w:jc w:val="center"/>
              <w:tblInd w:w="0" w:type="dxa"/>
              <w:tblLayout w:type="fixed"/>
              <w:tblCellMar>
                <w:top w:w="0" w:type="dxa"/>
                <w:left w:w="108" w:type="dxa"/>
                <w:bottom w:w="0" w:type="dxa"/>
                <w:right w:w="108" w:type="dxa"/>
              </w:tblCellMar>
            </w:tblPr>
            <w:tblGrid>
              <w:gridCol w:w="704"/>
              <w:gridCol w:w="3259"/>
              <w:gridCol w:w="2413"/>
              <w:gridCol w:w="2923"/>
            </w:tblGrid>
            <w:tr>
              <w:trPr/>
              <w:tc>
                <w:tcPr>
                  <w:tcW w:w="704" w:type="dxa"/>
                  <w:tcBorders>
                    <w:top w:val="single" w:sz="4" w:space="0" w:color="000000"/>
                    <w:left w:val="single" w:sz="4" w:space="0" w:color="000000"/>
                    <w:bottom w:val="single" w:sz="4" w:space="0" w:color="000000"/>
                  </w:tcBorders>
                  <w:shd w:fill="auto" w:val="clear"/>
                  <w:vAlign w:val="center"/>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w:t>
                  </w:r>
                </w:p>
                <w:p>
                  <w:pPr>
                    <w:pStyle w:val="Normal"/>
                    <w:widowControl w:val="false"/>
                    <w:spacing w:before="0" w:after="160"/>
                    <w:jc w:val="center"/>
                    <w:rPr/>
                  </w:pPr>
                  <w:r>
                    <w:rPr>
                      <w:rFonts w:cs="Times New Roman" w:ascii="Times New Roman" w:hAnsi="Times New Roman"/>
                      <w:sz w:val="24"/>
                      <w:szCs w:val="24"/>
                      <w:lang w:val="uk-UA"/>
                    </w:rPr>
                    <w:t>з.</w:t>
                  </w:r>
                  <w:r>
                    <w:rPr>
                      <w:rFonts w:cs="Times New Roman" w:ascii="Times New Roman" w:hAnsi="Times New Roman"/>
                      <w:sz w:val="24"/>
                      <w:szCs w:val="24"/>
                    </w:rPr>
                    <w:t>п</w:t>
                  </w:r>
                </w:p>
              </w:tc>
              <w:tc>
                <w:tcPr>
                  <w:tcW w:w="3259" w:type="dxa"/>
                  <w:tcBorders>
                    <w:top w:val="single" w:sz="4" w:space="0" w:color="000000"/>
                    <w:left w:val="single" w:sz="4" w:space="0" w:color="000000"/>
                    <w:bottom w:val="single" w:sz="4" w:space="0" w:color="000000"/>
                  </w:tcBorders>
                  <w:shd w:fill="auto" w:val="clear"/>
                  <w:vAlign w:val="center"/>
                </w:tcPr>
                <w:p>
                  <w:pPr>
                    <w:pStyle w:val="Normal"/>
                    <w:widowControl w:val="false"/>
                    <w:spacing w:before="0" w:after="160"/>
                    <w:jc w:val="center"/>
                    <w:rPr>
                      <w:rFonts w:ascii="Times New Roman" w:hAnsi="Times New Roman" w:cs="Times New Roman"/>
                      <w:sz w:val="24"/>
                      <w:szCs w:val="24"/>
                      <w:lang w:val="ru-RU"/>
                    </w:rPr>
                  </w:pPr>
                  <w:r>
                    <w:rPr>
                      <w:rFonts w:cs="Times New Roman" w:ascii="Times New Roman" w:hAnsi="Times New Roman"/>
                      <w:sz w:val="24"/>
                      <w:szCs w:val="24"/>
                      <w:lang w:val="ru-RU"/>
                    </w:rPr>
                    <w:t>Вартість проживання (ночівлі) за добу в грн.</w:t>
                  </w:r>
                </w:p>
              </w:tc>
              <w:tc>
                <w:tcPr>
                  <w:tcW w:w="2413" w:type="dxa"/>
                  <w:tcBorders>
                    <w:top w:val="single" w:sz="4" w:space="0" w:color="000000"/>
                    <w:left w:val="single" w:sz="4" w:space="0" w:color="000000"/>
                    <w:bottom w:val="single" w:sz="4" w:space="0" w:color="000000"/>
                  </w:tcBorders>
                  <w:shd w:fill="auto" w:val="clear"/>
                  <w:vAlign w:val="center"/>
                </w:tcPr>
                <w:p>
                  <w:pPr>
                    <w:pStyle w:val="Normal"/>
                    <w:widowControl w:val="false"/>
                    <w:spacing w:before="0" w:after="160"/>
                    <w:jc w:val="center"/>
                    <w:rPr>
                      <w:rFonts w:ascii="Times New Roman" w:hAnsi="Times New Roman" w:cs="Times New Roman"/>
                      <w:sz w:val="24"/>
                      <w:szCs w:val="24"/>
                      <w:lang w:val="ru-RU"/>
                    </w:rPr>
                  </w:pPr>
                  <w:r>
                    <w:rPr>
                      <w:rFonts w:cs="Times New Roman" w:ascii="Times New Roman" w:hAnsi="Times New Roman"/>
                      <w:sz w:val="24"/>
                      <w:szCs w:val="24"/>
                      <w:lang w:val="ru-RU"/>
                    </w:rPr>
                    <w:t>Ставка у % для внутрішнього туризму</w:t>
                  </w:r>
                </w:p>
              </w:tc>
              <w:tc>
                <w:tcPr>
                  <w:tcW w:w="292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spacing w:before="0" w:after="160"/>
                    <w:jc w:val="center"/>
                    <w:rPr>
                      <w:rFonts w:ascii="Times New Roman" w:hAnsi="Times New Roman" w:cs="Times New Roman"/>
                      <w:sz w:val="24"/>
                      <w:szCs w:val="24"/>
                      <w:lang w:val="ru-RU"/>
                    </w:rPr>
                  </w:pPr>
                  <w:r>
                    <w:rPr>
                      <w:rFonts w:cs="Times New Roman" w:ascii="Times New Roman" w:hAnsi="Times New Roman"/>
                      <w:sz w:val="24"/>
                      <w:szCs w:val="24"/>
                      <w:lang w:val="ru-RU"/>
                    </w:rPr>
                    <w:t>Ставка у % для в’їзного туризму</w:t>
                  </w:r>
                </w:p>
              </w:tc>
            </w:tr>
            <w:tr>
              <w:trPr/>
              <w:tc>
                <w:tcPr>
                  <w:tcW w:w="704" w:type="dxa"/>
                  <w:tcBorders>
                    <w:top w:val="single" w:sz="4" w:space="0" w:color="000000"/>
                    <w:left w:val="single" w:sz="4" w:space="0" w:color="000000"/>
                    <w:bottom w:val="single" w:sz="4" w:space="0" w:color="000000"/>
                  </w:tcBorders>
                  <w:shd w:fill="auto" w:val="clear"/>
                </w:tcPr>
                <w:p>
                  <w:pPr>
                    <w:pStyle w:val="Normal"/>
                    <w:widowControl w:val="false"/>
                    <w:spacing w:before="0" w:after="16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3259" w:type="dxa"/>
                  <w:tcBorders>
                    <w:top w:val="single" w:sz="4" w:space="0" w:color="000000"/>
                    <w:left w:val="single" w:sz="4" w:space="0" w:color="000000"/>
                    <w:bottom w:val="single" w:sz="4" w:space="0" w:color="000000"/>
                  </w:tcBorders>
                  <w:shd w:fill="auto" w:val="clear"/>
                </w:tcPr>
                <w:p>
                  <w:pPr>
                    <w:pStyle w:val="Normal"/>
                    <w:widowControl w:val="false"/>
                    <w:spacing w:before="0" w:after="160"/>
                    <w:jc w:val="both"/>
                    <w:rPr>
                      <w:rFonts w:ascii="Times New Roman" w:hAnsi="Times New Roman" w:cs="Times New Roman"/>
                      <w:sz w:val="24"/>
                      <w:szCs w:val="24"/>
                      <w:lang w:val="uk-UA"/>
                    </w:rPr>
                  </w:pPr>
                  <w:r>
                    <w:rPr>
                      <w:rFonts w:cs="Times New Roman" w:ascii="Times New Roman" w:hAnsi="Times New Roman"/>
                      <w:sz w:val="24"/>
                      <w:szCs w:val="24"/>
                      <w:lang w:val="uk-UA"/>
                    </w:rPr>
                    <w:t>До 600,0 грн</w:t>
                  </w:r>
                </w:p>
              </w:tc>
              <w:tc>
                <w:tcPr>
                  <w:tcW w:w="2413" w:type="dxa"/>
                  <w:tcBorders>
                    <w:top w:val="single" w:sz="4" w:space="0" w:color="000000"/>
                    <w:left w:val="single" w:sz="4" w:space="0" w:color="000000"/>
                    <w:bottom w:val="single" w:sz="4" w:space="0" w:color="000000"/>
                  </w:tcBorders>
                  <w:shd w:fill="auto" w:val="clear"/>
                </w:tcPr>
                <w:p>
                  <w:pPr>
                    <w:pStyle w:val="Normal"/>
                    <w:widowControl w:val="false"/>
                    <w:spacing w:before="0" w:after="160"/>
                    <w:jc w:val="center"/>
                    <w:rPr>
                      <w:rFonts w:ascii="Times New Roman" w:hAnsi="Times New Roman" w:cs="Times New Roman"/>
                      <w:sz w:val="24"/>
                      <w:szCs w:val="24"/>
                      <w:lang w:val="uk-UA"/>
                    </w:rPr>
                  </w:pPr>
                  <w:r>
                    <w:rPr>
                      <w:rFonts w:cs="Times New Roman" w:ascii="Times New Roman" w:hAnsi="Times New Roman"/>
                      <w:sz w:val="24"/>
                      <w:szCs w:val="24"/>
                      <w:lang w:val="uk-UA"/>
                    </w:rPr>
                    <w:t>0,25%</w:t>
                  </w:r>
                </w:p>
              </w:tc>
              <w:tc>
                <w:tcPr>
                  <w:tcW w:w="292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before="0" w:after="160"/>
                    <w:jc w:val="center"/>
                    <w:rPr>
                      <w:rFonts w:ascii="Times New Roman" w:hAnsi="Times New Roman" w:cs="Times New Roman"/>
                      <w:sz w:val="24"/>
                      <w:szCs w:val="24"/>
                      <w:lang w:val="uk-UA"/>
                    </w:rPr>
                  </w:pPr>
                  <w:r>
                    <w:rPr>
                      <w:rFonts w:cs="Times New Roman" w:ascii="Times New Roman" w:hAnsi="Times New Roman"/>
                      <w:sz w:val="24"/>
                      <w:szCs w:val="24"/>
                      <w:lang w:val="uk-UA"/>
                    </w:rPr>
                    <w:t>0,25%</w:t>
                  </w:r>
                </w:p>
              </w:tc>
            </w:tr>
            <w:tr>
              <w:trPr/>
              <w:tc>
                <w:tcPr>
                  <w:tcW w:w="704" w:type="dxa"/>
                  <w:tcBorders>
                    <w:top w:val="single" w:sz="4" w:space="0" w:color="000000"/>
                    <w:left w:val="single" w:sz="4" w:space="0" w:color="000000"/>
                    <w:bottom w:val="single" w:sz="4" w:space="0" w:color="000000"/>
                  </w:tcBorders>
                  <w:shd w:fill="auto" w:val="clear"/>
                </w:tcPr>
                <w:p>
                  <w:pPr>
                    <w:pStyle w:val="Normal"/>
                    <w:widowControl w:val="false"/>
                    <w:spacing w:before="0" w:after="16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3259" w:type="dxa"/>
                  <w:tcBorders>
                    <w:top w:val="single" w:sz="4" w:space="0" w:color="000000"/>
                    <w:left w:val="single" w:sz="4" w:space="0" w:color="000000"/>
                    <w:bottom w:val="single" w:sz="4" w:space="0" w:color="000000"/>
                  </w:tcBorders>
                  <w:shd w:fill="auto" w:val="clear"/>
                </w:tcPr>
                <w:p>
                  <w:pPr>
                    <w:pStyle w:val="Normal"/>
                    <w:widowControl w:val="false"/>
                    <w:spacing w:before="0" w:after="160"/>
                    <w:jc w:val="both"/>
                    <w:rPr>
                      <w:rFonts w:ascii="Times New Roman" w:hAnsi="Times New Roman" w:cs="Times New Roman"/>
                      <w:sz w:val="24"/>
                      <w:szCs w:val="24"/>
                      <w:lang w:val="uk-UA"/>
                    </w:rPr>
                  </w:pPr>
                  <w:r>
                    <w:rPr>
                      <w:rFonts w:cs="Times New Roman" w:ascii="Times New Roman" w:hAnsi="Times New Roman"/>
                      <w:sz w:val="24"/>
                      <w:szCs w:val="24"/>
                      <w:lang w:val="uk-UA"/>
                    </w:rPr>
                    <w:t>Понад 601,0грн</w:t>
                  </w:r>
                </w:p>
              </w:tc>
              <w:tc>
                <w:tcPr>
                  <w:tcW w:w="2413" w:type="dxa"/>
                  <w:tcBorders>
                    <w:top w:val="single" w:sz="4" w:space="0" w:color="000000"/>
                    <w:left w:val="single" w:sz="4" w:space="0" w:color="000000"/>
                    <w:bottom w:val="single" w:sz="4" w:space="0" w:color="000000"/>
                  </w:tcBorders>
                  <w:shd w:fill="auto" w:val="clear"/>
                </w:tcPr>
                <w:p>
                  <w:pPr>
                    <w:pStyle w:val="Normal"/>
                    <w:widowControl w:val="false"/>
                    <w:spacing w:before="0" w:after="160"/>
                    <w:jc w:val="center"/>
                    <w:rPr>
                      <w:rFonts w:ascii="Times New Roman" w:hAnsi="Times New Roman" w:cs="Times New Roman"/>
                      <w:sz w:val="24"/>
                      <w:szCs w:val="24"/>
                      <w:lang w:val="uk-UA"/>
                    </w:rPr>
                  </w:pPr>
                  <w:r>
                    <w:rPr>
                      <w:rFonts w:cs="Times New Roman" w:ascii="Times New Roman" w:hAnsi="Times New Roman"/>
                      <w:sz w:val="24"/>
                      <w:szCs w:val="24"/>
                      <w:lang w:val="uk-UA"/>
                    </w:rPr>
                    <w:t>0,5%</w:t>
                  </w:r>
                </w:p>
              </w:tc>
              <w:tc>
                <w:tcPr>
                  <w:tcW w:w="292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before="0" w:after="160"/>
                    <w:jc w:val="center"/>
                    <w:rPr>
                      <w:rFonts w:ascii="Times New Roman" w:hAnsi="Times New Roman" w:cs="Times New Roman"/>
                      <w:sz w:val="24"/>
                      <w:szCs w:val="24"/>
                      <w:lang w:val="uk-UA"/>
                    </w:rPr>
                  </w:pPr>
                  <w:r>
                    <w:rPr>
                      <w:rFonts w:cs="Times New Roman" w:ascii="Times New Roman" w:hAnsi="Times New Roman"/>
                      <w:sz w:val="24"/>
                      <w:szCs w:val="24"/>
                      <w:lang w:val="uk-UA"/>
                    </w:rPr>
                    <w:t>0,5%</w:t>
                  </w:r>
                </w:p>
              </w:tc>
            </w:tr>
          </w:tbl>
          <w:p>
            <w:pPr>
              <w:pStyle w:val="Normal"/>
              <w:widowControl w:val="false"/>
              <w:spacing w:lineRule="auto" w:line="240" w:before="0" w:after="0"/>
              <w:ind w:left="0" w:right="0" w:firstLine="567"/>
              <w:contextualSpacing/>
              <w:jc w:val="both"/>
              <w:rPr>
                <w:rFonts w:ascii="Times New Roman" w:hAnsi="Times New Roman" w:cs="Times New Roman"/>
                <w:sz w:val="24"/>
                <w:szCs w:val="24"/>
                <w:lang w:val="uk-UA" w:eastAsia="uk-UA"/>
              </w:rPr>
            </w:pPr>
            <w:r>
              <w:rPr>
                <w:rFonts w:cs="Times New Roman" w:ascii="Times New Roman" w:hAnsi="Times New Roman"/>
                <w:sz w:val="24"/>
                <w:szCs w:val="24"/>
                <w:lang w:val="uk-UA" w:eastAsia="uk-UA"/>
              </w:rPr>
              <w:t>Прийняття даного акту забезпечує досягнення цілей державного регулювання. Враховує пропозиції фізичних та юридичних осіб. Дозволяє наповнювати бюджет громади власними надходженнями з метою подальшого вирішення соціально-економічних проблем. Забезпечує прозорі та зрозумілі умови з питань справляння туристичного збору.</w:t>
            </w:r>
          </w:p>
          <w:p>
            <w:pPr>
              <w:pStyle w:val="Normal"/>
              <w:widowControl w:val="false"/>
              <w:spacing w:lineRule="auto" w:line="240" w:before="0" w:after="0"/>
              <w:ind w:left="0" w:right="0" w:hanging="0"/>
              <w:contextualSpacing/>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 xml:space="preserve">         </w:t>
            </w:r>
            <w:r>
              <w:rPr>
                <w:rFonts w:cs="Times New Roman" w:ascii="Times New Roman" w:hAnsi="Times New Roman"/>
                <w:color w:val="000000"/>
                <w:sz w:val="24"/>
                <w:szCs w:val="24"/>
                <w:lang w:val="uk-UA"/>
              </w:rPr>
              <w:t>Рішення набуло чинності з 01.01.2021 року.</w:t>
            </w:r>
          </w:p>
          <w:p>
            <w:pPr>
              <w:pStyle w:val="Normal"/>
              <w:widowControl w:val="false"/>
              <w:spacing w:lineRule="auto" w:line="240" w:before="0" w:after="0"/>
              <w:ind w:left="0" w:right="0" w:firstLine="511"/>
              <w:contextualSpacing/>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Контроль за правильністю нарахувань, повнотою та своєчасністю сплати податку здійснює ГУ ДПС у Волинській області.</w:t>
            </w:r>
          </w:p>
          <w:p>
            <w:pPr>
              <w:pStyle w:val="Normal"/>
              <w:widowControl w:val="false"/>
              <w:spacing w:lineRule="auto" w:line="240" w:before="0" w:after="0"/>
              <w:ind w:left="0" w:right="0" w:firstLine="511"/>
              <w:contextualSpacing/>
              <w:jc w:val="both"/>
              <w:rPr/>
            </w:pPr>
            <w:r>
              <w:rPr>
                <w:rFonts w:cs="Times New Roman" w:ascii="Times New Roman" w:hAnsi="Times New Roman"/>
                <w:sz w:val="24"/>
                <w:szCs w:val="24"/>
                <w:lang w:val="uk-UA"/>
              </w:rPr>
              <w:t>Рішення розроблено відповідно до Закону України «Про місцеве самоврядування в Україні», Податкового кодексу України.</w:t>
            </w:r>
          </w:p>
          <w:p>
            <w:pPr>
              <w:pStyle w:val="Normal"/>
              <w:widowControl w:val="false"/>
              <w:spacing w:lineRule="auto" w:line="240" w:before="0" w:after="0"/>
              <w:ind w:left="0" w:right="0" w:firstLine="511"/>
              <w:contextualSpacing/>
              <w:jc w:val="both"/>
              <w:rPr/>
            </w:pPr>
            <w:r>
              <w:rPr>
                <w:rFonts w:cs="Times New Roman" w:ascii="Times New Roman" w:hAnsi="Times New Roman"/>
                <w:color w:val="000000"/>
                <w:sz w:val="24"/>
                <w:szCs w:val="24"/>
                <w:lang w:val="uk-UA"/>
              </w:rPr>
              <w:t>Рішення пройшло повністю регуляторну процедуру відповідно до Закону України “Про засади державної регуляторної політики у сфері господарської діяльності”.Акт відповідає ст. 19. Конституції України (органи державної влади та органами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pPr>
              <w:pStyle w:val="Normal"/>
              <w:widowControl w:val="false"/>
              <w:spacing w:lineRule="auto" w:line="240" w:before="0" w:after="0"/>
              <w:ind w:left="0" w:right="0" w:firstLine="511"/>
              <w:contextualSpacing/>
              <w:jc w:val="both"/>
              <w:rPr>
                <w:i/>
                <w:i/>
                <w:iCs/>
              </w:rPr>
            </w:pPr>
            <w:r>
              <w:rPr>
                <w:rFonts w:cs="Times New Roman" w:ascii="Times New Roman" w:hAnsi="Times New Roman"/>
                <w:i/>
                <w:iCs/>
                <w:color w:val="000000"/>
                <w:sz w:val="24"/>
                <w:szCs w:val="24"/>
                <w:lang w:val="uk-UA"/>
              </w:rPr>
              <w:t>Рішення міської ради “Про встановлення ставок туристичного збору” внесено в план дільності проєктів регуляторних актів на 2022 рік.</w:t>
            </w:r>
          </w:p>
        </w:tc>
      </w:tr>
    </w:tbl>
    <w:p>
      <w:pPr>
        <w:pStyle w:val="Normal"/>
        <w:spacing w:lineRule="auto" w:line="240" w:before="0" w:after="0"/>
        <w:rPr/>
      </w:pPr>
      <w:r>
        <w:rPr/>
      </w:r>
    </w:p>
    <w:sectPr>
      <w:headerReference w:type="default" r:id="rId2"/>
      <w:headerReference w:type="first" r:id="rId3"/>
      <w:type w:val="nextPage"/>
      <w:pgSz w:w="12240" w:h="15840"/>
      <w:pgMar w:left="1701" w:right="850" w:header="708" w:top="993" w:footer="0"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Segoe UI">
    <w:charset w:val="cc"/>
    <w:family w:val="roman"/>
    <w:pitch w:val="variable"/>
  </w:font>
  <w:font w:name="Antiqua">
    <w:altName w:val="Century Gothic"/>
    <w:charset w:val="cc"/>
    <w:family w:val="roman"/>
    <w:pitch w:val="variable"/>
  </w:font>
  <w:font w:name="Consolas">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Cambria">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2"/>
      <w:jc w:val="center"/>
      <w:rPr/>
    </w:pPr>
    <w:r>
      <w:rPr/>
      <w:fldChar w:fldCharType="begin"/>
    </w:r>
    <w:r>
      <w:rPr/>
      <w:instrText> PAGE </w:instrText>
    </w:r>
    <w:r>
      <w:rPr/>
      <w:fldChar w:fldCharType="separate"/>
    </w:r>
    <w:r>
      <w:rPr/>
      <w:t>4</w:t>
    </w:r>
    <w:r>
      <w:rPr/>
      <w:fldChar w:fldCharType="end"/>
    </w:r>
  </w:p>
  <w:p>
    <w:pPr>
      <w:pStyle w:val="Style42"/>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2"/>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Cambria" w:hAnsi="Cambria" w:cs="Cambria" w:hint="default"/>
        <w:sz w:val="24"/>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suppressAutoHyphens w:val="true"/>
      </w:pPr>
    </w:pPrDefault>
  </w:docDefaults>
  <w:style w:type="paragraph" w:styleId="Normal">
    <w:name w:val="Normal"/>
    <w:qFormat/>
    <w:pPr>
      <w:widowControl/>
      <w:suppressAutoHyphens w:val="true"/>
      <w:bidi w:val="0"/>
      <w:spacing w:lineRule="auto" w:line="252" w:before="0" w:after="160"/>
      <w:jc w:val="left"/>
    </w:pPr>
    <w:rPr>
      <w:rFonts w:ascii="Calibri" w:hAnsi="Calibri" w:eastAsia="Calibri" w:cs="Calibri"/>
      <w:color w:val="auto"/>
      <w:kern w:val="2"/>
      <w:sz w:val="22"/>
      <w:szCs w:val="22"/>
      <w:lang w:val="en-US" w:eastAsia="zh-CN" w:bidi="ar-SA"/>
    </w:rPr>
  </w:style>
  <w:style w:type="paragraph" w:styleId="1">
    <w:name w:val="Heading 1"/>
    <w:basedOn w:val="Normal"/>
    <w:next w:val="Normal"/>
    <w:qFormat/>
    <w:pPr>
      <w:keepNext w:val="true"/>
      <w:spacing w:lineRule="auto" w:line="264"/>
      <w:jc w:val="center"/>
      <w:outlineLvl w:val="0"/>
    </w:pPr>
    <w:rPr>
      <w:b/>
      <w:szCs w:val="20"/>
      <w:lang w:val="uk-UA"/>
    </w:rPr>
  </w:style>
  <w:style w:type="paragraph" w:styleId="2">
    <w:name w:val="Heading 2"/>
    <w:next w:val="Style28"/>
    <w:qFormat/>
    <w:pPr>
      <w:widowControl/>
      <w:suppressAutoHyphens w:val="true"/>
      <w:bidi w:val="0"/>
      <w:spacing w:before="200" w:after="120"/>
      <w:jc w:val="left"/>
      <w:outlineLvl w:val="1"/>
    </w:pPr>
    <w:rPr>
      <w:rFonts w:ascii="Liberation Serif" w:hAnsi="Liberation Serif" w:eastAsia="NSimSun" w:cs="Arial"/>
      <w:b/>
      <w:bCs/>
      <w:color w:val="auto"/>
      <w:kern w:val="0"/>
      <w:sz w:val="32"/>
      <w:szCs w:val="32"/>
      <w:lang w:val="uk-UA" w:eastAsia="zh-CN" w:bidi="hi-IN"/>
    </w:rPr>
  </w:style>
  <w:style w:type="paragraph" w:styleId="3">
    <w:name w:val="Heading 3"/>
    <w:basedOn w:val="Normal"/>
    <w:next w:val="Style28"/>
    <w:qFormat/>
    <w:pPr>
      <w:numPr>
        <w:ilvl w:val="2"/>
        <w:numId w:val="1"/>
      </w:numPr>
      <w:spacing w:lineRule="auto" w:line="240" w:before="280" w:after="280"/>
      <w:outlineLvl w:val="2"/>
    </w:pPr>
    <w:rPr>
      <w:rFonts w:ascii="Times New Roman" w:hAnsi="Times New Roman" w:eastAsia="Times New Roman" w:cs="Times New Roman"/>
      <w:b/>
      <w:bCs/>
      <w:sz w:val="27"/>
      <w:szCs w:val="27"/>
      <w:lang w:val="uk-UA"/>
    </w:rPr>
  </w:style>
  <w:style w:type="paragraph" w:styleId="5">
    <w:name w:val="Heading 5"/>
    <w:basedOn w:val="Normal"/>
    <w:next w:val="Style28"/>
    <w:qFormat/>
    <w:pPr>
      <w:spacing w:before="280" w:after="280"/>
    </w:pPr>
    <w:rPr>
      <w:b/>
      <w:bCs/>
      <w:sz w:val="20"/>
      <w:szCs w:val="20"/>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Cambria" w:hAnsi="Cambria" w:cs="Times New Roman"/>
    </w:rPr>
  </w:style>
  <w:style w:type="character" w:styleId="Style10">
    <w:name w:val="Основной шрифт абзаца"/>
    <w:qFormat/>
    <w:rPr/>
  </w:style>
  <w:style w:type="character" w:styleId="21">
    <w:name w:val="Основной шрифт абзаца2"/>
    <w:qFormat/>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rFonts w:cs="Times New Roman"/>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tyle11">
    <w:name w:val="Шрифт абзацу за замовчуванням"/>
    <w:qFormat/>
    <w:rPr/>
  </w:style>
  <w:style w:type="character" w:styleId="Style12">
    <w:name w:val="Знак примітки"/>
    <w:qFormat/>
    <w:rPr>
      <w:sz w:val="16"/>
      <w:szCs w:val="16"/>
    </w:rPr>
  </w:style>
  <w:style w:type="character" w:styleId="Style13">
    <w:name w:val="Текст примітки Знак"/>
    <w:qFormat/>
    <w:rPr>
      <w:sz w:val="20"/>
      <w:szCs w:val="20"/>
    </w:rPr>
  </w:style>
  <w:style w:type="character" w:styleId="Style14">
    <w:name w:val="Тема примітки Знак"/>
    <w:qFormat/>
    <w:rPr>
      <w:b/>
      <w:bCs/>
      <w:sz w:val="20"/>
      <w:szCs w:val="20"/>
    </w:rPr>
  </w:style>
  <w:style w:type="character" w:styleId="Style15">
    <w:name w:val="Текст у виносці Знак"/>
    <w:qFormat/>
    <w:rPr>
      <w:rFonts w:ascii="Segoe UI" w:hAnsi="Segoe UI" w:cs="Segoe UI"/>
      <w:sz w:val="18"/>
      <w:szCs w:val="18"/>
    </w:rPr>
  </w:style>
  <w:style w:type="character" w:styleId="Style16">
    <w:name w:val="Нормальний текст Знак"/>
    <w:qFormat/>
    <w:rPr>
      <w:rFonts w:ascii="Antiqua;Century Gothic" w:hAnsi="Antiqua;Century Gothic" w:cs="Antiqua;Century Gothic"/>
      <w:sz w:val="26"/>
      <w:szCs w:val="20"/>
    </w:rPr>
  </w:style>
  <w:style w:type="character" w:styleId="Rvts9">
    <w:name w:val="rvts9"/>
    <w:qFormat/>
    <w:rPr>
      <w:rFonts w:ascii="Times New Roman" w:hAnsi="Times New Roman" w:cs="Times New Roman"/>
    </w:rPr>
  </w:style>
  <w:style w:type="character" w:styleId="Rvts23">
    <w:name w:val="rvts23"/>
    <w:qFormat/>
    <w:rPr>
      <w:rFonts w:ascii="Times New Roman" w:hAnsi="Times New Roman" w:cs="Times New Roman"/>
    </w:rPr>
  </w:style>
  <w:style w:type="character" w:styleId="Style17">
    <w:name w:val="Основной текст_"/>
    <w:qFormat/>
    <w:rPr>
      <w:rFonts w:ascii="Times New Roman" w:hAnsi="Times New Roman" w:eastAsia="Times New Roman" w:cs="Times New Roman"/>
      <w:sz w:val="23"/>
      <w:szCs w:val="23"/>
      <w:shd w:fill="FFFFFF" w:val="clear"/>
    </w:rPr>
  </w:style>
  <w:style w:type="character" w:styleId="Style18">
    <w:name w:val="Гіперпосилання"/>
    <w:rPr>
      <w:color w:val="0563C1"/>
      <w:u w:val="single"/>
    </w:rPr>
  </w:style>
  <w:style w:type="character" w:styleId="11">
    <w:name w:val="Незакрита згадка1"/>
    <w:qFormat/>
    <w:rPr>
      <w:color w:val="808080"/>
      <w:shd w:fill="E6E6E6" w:val="clear"/>
    </w:rPr>
  </w:style>
  <w:style w:type="character" w:styleId="Style19">
    <w:name w:val="Нижній колонтитул Знак"/>
    <w:qFormat/>
    <w:rPr>
      <w:lang w:val="uk-UA"/>
    </w:rPr>
  </w:style>
  <w:style w:type="character" w:styleId="Style20">
    <w:name w:val="Відвідане гіперпосилання"/>
    <w:rPr>
      <w:color w:val="954F72"/>
      <w:u w:val="single"/>
    </w:rPr>
  </w:style>
  <w:style w:type="character" w:styleId="31">
    <w:name w:val="Заголовок 3 Знак"/>
    <w:qFormat/>
    <w:rPr>
      <w:rFonts w:ascii="Times New Roman" w:hAnsi="Times New Roman" w:eastAsia="Times New Roman" w:cs="Times New Roman"/>
      <w:b/>
      <w:bCs/>
      <w:sz w:val="27"/>
      <w:szCs w:val="27"/>
    </w:rPr>
  </w:style>
  <w:style w:type="character" w:styleId="HTML">
    <w:name w:val="Стандартний HTML Знак"/>
    <w:qFormat/>
    <w:rPr>
      <w:rFonts w:ascii="Consolas" w:hAnsi="Consolas" w:cs="Consolas"/>
      <w:sz w:val="20"/>
      <w:szCs w:val="20"/>
    </w:rPr>
  </w:style>
  <w:style w:type="character" w:styleId="32">
    <w:name w:val="Основний текст з відступом 3 Знак"/>
    <w:qFormat/>
    <w:rPr>
      <w:rFonts w:ascii="Times New Roman" w:hAnsi="Times New Roman" w:eastAsia="Times New Roman" w:cs="Times New Roman"/>
      <w:color w:val="000000"/>
      <w:sz w:val="24"/>
      <w:szCs w:val="20"/>
      <w:lang w:val="ru-RU"/>
    </w:rPr>
  </w:style>
  <w:style w:type="character" w:styleId="Style21">
    <w:name w:val="Верхній колонтитул Знак"/>
    <w:basedOn w:val="Style11"/>
    <w:qFormat/>
    <w:rPr/>
  </w:style>
  <w:style w:type="character" w:styleId="Style22">
    <w:name w:val="Маркери списку"/>
    <w:qFormat/>
    <w:rPr>
      <w:rFonts w:ascii="OpenSymbol;Arial Unicode MS" w:hAnsi="OpenSymbol;Arial Unicode MS" w:eastAsia="OpenSymbol;Arial Unicode MS" w:cs="OpenSymbol;Arial Unicode MS"/>
    </w:rPr>
  </w:style>
  <w:style w:type="character" w:styleId="23">
    <w:name w:val="Основной шрифт абзаца23"/>
    <w:qFormat/>
    <w:rPr/>
  </w:style>
  <w:style w:type="character" w:styleId="Style23">
    <w:name w:val="Виділення жирним"/>
    <w:qFormat/>
    <w:rPr>
      <w:b/>
      <w:bCs/>
    </w:rPr>
  </w:style>
  <w:style w:type="character" w:styleId="Style24">
    <w:name w:val="Виділення"/>
    <w:qFormat/>
    <w:rPr>
      <w:i/>
      <w:iCs/>
    </w:rPr>
  </w:style>
  <w:style w:type="character" w:styleId="12">
    <w:name w:val="Основной шрифт абзаца1"/>
    <w:qFormat/>
    <w:rPr/>
  </w:style>
  <w:style w:type="character" w:styleId="22">
    <w:name w:val="Основной текст 2 Знак"/>
    <w:qFormat/>
    <w:rPr>
      <w:rFonts w:cs="Mangal"/>
      <w:kern w:val="2"/>
      <w:sz w:val="24"/>
      <w:szCs w:val="21"/>
      <w:lang w:eastAsia="zh-CN" w:bidi="hi-IN"/>
    </w:rPr>
  </w:style>
  <w:style w:type="character" w:styleId="Style25">
    <w:name w:val="Нижний колонтитул Знак"/>
    <w:qFormat/>
    <w:rPr>
      <w:rFonts w:cs="Mangal"/>
      <w:kern w:val="2"/>
      <w:sz w:val="24"/>
      <w:szCs w:val="21"/>
      <w:lang w:eastAsia="zh-CN" w:bidi="hi-IN"/>
    </w:rPr>
  </w:style>
  <w:style w:type="character" w:styleId="Style26">
    <w:name w:val="Верхний колонтитул Знак"/>
    <w:qFormat/>
    <w:rPr>
      <w:rFonts w:cs="Mangal"/>
      <w:kern w:val="2"/>
      <w:sz w:val="24"/>
      <w:szCs w:val="21"/>
      <w:lang w:eastAsia="zh-CN" w:bidi="hi-IN"/>
    </w:rPr>
  </w:style>
  <w:style w:type="character" w:styleId="WW8Num2z8">
    <w:name w:val="WW8Num2z8"/>
    <w:qFormat/>
    <w:rPr/>
  </w:style>
  <w:style w:type="character" w:styleId="WW8Num2z7">
    <w:name w:val="WW8Num2z7"/>
    <w:qFormat/>
    <w:rPr/>
  </w:style>
  <w:style w:type="character" w:styleId="WW8Num2z6">
    <w:name w:val="WW8Num2z6"/>
    <w:qFormat/>
    <w:rPr/>
  </w:style>
  <w:style w:type="character" w:styleId="WW8Num2z5">
    <w:name w:val="WW8Num2z5"/>
    <w:qFormat/>
    <w:rPr/>
  </w:style>
  <w:style w:type="character" w:styleId="WW8Num2z4">
    <w:name w:val="WW8Num2z4"/>
    <w:qFormat/>
    <w:rPr/>
  </w:style>
  <w:style w:type="character" w:styleId="WW8Num2z3">
    <w:name w:val="WW8Num2z3"/>
    <w:qFormat/>
    <w:rPr/>
  </w:style>
  <w:style w:type="paragraph" w:styleId="Style27">
    <w:name w:val="Заголовок"/>
    <w:basedOn w:val="Normal"/>
    <w:next w:val="Style28"/>
    <w:qFormat/>
    <w:pPr>
      <w:keepNext w:val="true"/>
      <w:spacing w:before="240" w:after="120"/>
    </w:pPr>
    <w:rPr>
      <w:rFonts w:ascii="Liberation Sans;Arial" w:hAnsi="Liberation Sans;Arial" w:eastAsia="Microsoft YaHei" w:cs="Arial"/>
      <w:sz w:val="28"/>
      <w:szCs w:val="28"/>
    </w:rPr>
  </w:style>
  <w:style w:type="paragraph" w:styleId="Style28">
    <w:name w:val="Body Text"/>
    <w:basedOn w:val="Normal"/>
    <w:pPr>
      <w:spacing w:lineRule="auto" w:line="276" w:before="0" w:after="140"/>
    </w:pPr>
    <w:rPr/>
  </w:style>
  <w:style w:type="paragraph" w:styleId="Style29">
    <w:name w:val="List"/>
    <w:basedOn w:val="Style28"/>
    <w:pPr/>
    <w:rPr>
      <w:rFonts w:cs="Arial"/>
    </w:rPr>
  </w:style>
  <w:style w:type="paragraph" w:styleId="Style30">
    <w:name w:val="Caption"/>
    <w:basedOn w:val="Normal"/>
    <w:qFormat/>
    <w:pPr>
      <w:suppressLineNumbers/>
      <w:spacing w:before="120" w:after="120"/>
    </w:pPr>
    <w:rPr>
      <w:rFonts w:cs="Arial Unicode MS"/>
      <w:i/>
      <w:iCs/>
      <w:sz w:val="24"/>
      <w:szCs w:val="24"/>
    </w:rPr>
  </w:style>
  <w:style w:type="paragraph" w:styleId="Style31">
    <w:name w:val="Покажчик"/>
    <w:basedOn w:val="Normal"/>
    <w:qFormat/>
    <w:pPr>
      <w:suppressLineNumbers/>
    </w:pPr>
    <w:rPr>
      <w:rFonts w:cs="Arial"/>
    </w:rPr>
  </w:style>
  <w:style w:type="paragraph" w:styleId="24">
    <w:name w:val="Заголовок2"/>
    <w:basedOn w:val="Normal"/>
    <w:next w:val="Style28"/>
    <w:qFormat/>
    <w:pPr>
      <w:keepNext w:val="true"/>
      <w:spacing w:before="240" w:after="120"/>
    </w:pPr>
    <w:rPr>
      <w:rFonts w:ascii="Liberation Sans;Arial" w:hAnsi="Liberation Sans;Arial" w:eastAsia="Microsoft YaHei" w:cs="Arial"/>
      <w:sz w:val="28"/>
      <w:szCs w:val="28"/>
    </w:rPr>
  </w:style>
  <w:style w:type="paragraph" w:styleId="Style32">
    <w:name w:val="Название объекта"/>
    <w:basedOn w:val="Normal"/>
    <w:qFormat/>
    <w:pPr>
      <w:suppressLineNumbers/>
      <w:spacing w:before="120" w:after="120"/>
    </w:pPr>
    <w:rPr>
      <w:rFonts w:cs="Arial"/>
      <w:i/>
      <w:iCs/>
      <w:sz w:val="24"/>
      <w:szCs w:val="24"/>
    </w:rPr>
  </w:style>
  <w:style w:type="paragraph" w:styleId="25">
    <w:name w:val="Название объекта2"/>
    <w:basedOn w:val="Normal"/>
    <w:qFormat/>
    <w:pPr>
      <w:suppressLineNumbers/>
      <w:spacing w:before="120" w:after="120"/>
    </w:pPr>
    <w:rPr>
      <w:rFonts w:cs="Arial"/>
      <w:i/>
      <w:iCs/>
      <w:sz w:val="24"/>
      <w:szCs w:val="24"/>
    </w:rPr>
  </w:style>
  <w:style w:type="paragraph" w:styleId="Style33">
    <w:name w:val="Текст примітки"/>
    <w:basedOn w:val="Normal"/>
    <w:qFormat/>
    <w:pPr>
      <w:spacing w:lineRule="auto" w:line="240"/>
    </w:pPr>
    <w:rPr>
      <w:sz w:val="20"/>
      <w:szCs w:val="20"/>
      <w:lang w:val="uk-UA"/>
    </w:rPr>
  </w:style>
  <w:style w:type="paragraph" w:styleId="Style34">
    <w:name w:val="Тема примітки"/>
    <w:basedOn w:val="Style33"/>
    <w:next w:val="Style33"/>
    <w:qFormat/>
    <w:pPr/>
    <w:rPr>
      <w:b/>
      <w:bCs/>
      <w:lang w:val="uk-UA"/>
    </w:rPr>
  </w:style>
  <w:style w:type="paragraph" w:styleId="Style35">
    <w:name w:val="Текст у виносці"/>
    <w:basedOn w:val="Normal"/>
    <w:qFormat/>
    <w:pPr>
      <w:spacing w:lineRule="auto" w:line="240" w:before="0" w:after="0"/>
    </w:pPr>
    <w:rPr>
      <w:rFonts w:ascii="Segoe UI" w:hAnsi="Segoe UI" w:cs="Segoe UI"/>
      <w:sz w:val="18"/>
      <w:szCs w:val="18"/>
      <w:lang w:val="uk-UA"/>
    </w:rPr>
  </w:style>
  <w:style w:type="paragraph" w:styleId="Style36">
    <w:name w:val="Нормальний текст"/>
    <w:basedOn w:val="Normal"/>
    <w:qFormat/>
    <w:pPr>
      <w:spacing w:lineRule="auto" w:line="240" w:before="120" w:after="0"/>
      <w:ind w:left="0" w:right="0" w:firstLine="567"/>
      <w:jc w:val="both"/>
    </w:pPr>
    <w:rPr>
      <w:rFonts w:ascii="Antiqua;Century Gothic" w:hAnsi="Antiqua;Century Gothic" w:cs="Antiqua;Century Gothic"/>
      <w:sz w:val="26"/>
      <w:szCs w:val="20"/>
      <w:lang w:val="uk-UA"/>
    </w:rPr>
  </w:style>
  <w:style w:type="paragraph" w:styleId="4">
    <w:name w:val="Основной текст4"/>
    <w:basedOn w:val="Normal"/>
    <w:qFormat/>
    <w:pPr>
      <w:widowControl w:val="false"/>
      <w:shd w:val="clear" w:fill="FFFFFF"/>
      <w:spacing w:lineRule="exact" w:line="475" w:before="4500" w:after="0"/>
      <w:ind w:left="0" w:right="0" w:hanging="460"/>
    </w:pPr>
    <w:rPr>
      <w:rFonts w:ascii="Times New Roman" w:hAnsi="Times New Roman" w:eastAsia="Times New Roman" w:cs="Times New Roman"/>
      <w:sz w:val="23"/>
      <w:szCs w:val="23"/>
      <w:lang w:val="uk-UA"/>
    </w:rPr>
  </w:style>
  <w:style w:type="paragraph" w:styleId="Style37">
    <w:name w:val="Абзац списку"/>
    <w:basedOn w:val="Normal"/>
    <w:qFormat/>
    <w:pPr>
      <w:spacing w:lineRule="auto" w:line="276" w:before="0" w:after="200"/>
      <w:ind w:left="720" w:right="0" w:hanging="0"/>
      <w:contextualSpacing/>
    </w:pPr>
    <w:rPr>
      <w:lang w:val="uk-UA"/>
    </w:rPr>
  </w:style>
  <w:style w:type="paragraph" w:styleId="Style38">
    <w:name w:val="Верхній і нижній колонтитули"/>
    <w:basedOn w:val="Normal"/>
    <w:qFormat/>
    <w:pPr/>
    <w:rPr/>
  </w:style>
  <w:style w:type="paragraph" w:styleId="Style39">
    <w:name w:val="Footer"/>
    <w:basedOn w:val="Normal"/>
    <w:pPr>
      <w:spacing w:lineRule="auto" w:line="240" w:before="0" w:after="0"/>
    </w:pPr>
    <w:rPr>
      <w:sz w:val="20"/>
      <w:szCs w:val="20"/>
      <w:lang w:val="uk-UA"/>
    </w:rPr>
  </w:style>
  <w:style w:type="paragraph" w:styleId="Style40">
    <w:name w:val="Без інтервалів"/>
    <w:qFormat/>
    <w:pPr>
      <w:widowControl/>
      <w:suppressAutoHyphens w:val="true"/>
      <w:bidi w:val="0"/>
      <w:spacing w:before="0" w:after="0"/>
      <w:jc w:val="left"/>
    </w:pPr>
    <w:rPr>
      <w:rFonts w:ascii="Calibri" w:hAnsi="Calibri" w:eastAsia="Calibri" w:cs="Calibri"/>
      <w:color w:val="auto"/>
      <w:kern w:val="2"/>
      <w:sz w:val="22"/>
      <w:szCs w:val="22"/>
      <w:lang w:val="en-US" w:eastAsia="zh-CN" w:bidi="ar-SA"/>
    </w:rPr>
  </w:style>
  <w:style w:type="paragraph" w:styleId="Style41">
    <w:name w:val="Звичайний (веб)"/>
    <w:basedOn w:val="Normal"/>
    <w:qFormat/>
    <w:pPr>
      <w:spacing w:lineRule="auto" w:line="240" w:before="280" w:after="280"/>
    </w:pPr>
    <w:rPr>
      <w:rFonts w:ascii="Times New Roman" w:hAnsi="Times New Roman" w:eastAsia="Times New Roman" w:cs="Times New Roman"/>
      <w:sz w:val="24"/>
      <w:szCs w:val="24"/>
    </w:rPr>
  </w:style>
  <w:style w:type="paragraph" w:styleId="HTML1">
    <w:name w:val="Стандартний HTML"/>
    <w:basedOn w:val="Normal"/>
    <w:qFormat/>
    <w:pPr>
      <w:spacing w:lineRule="auto" w:line="240" w:before="0" w:after="0"/>
    </w:pPr>
    <w:rPr>
      <w:rFonts w:ascii="Consolas" w:hAnsi="Consolas" w:cs="Consolas"/>
      <w:sz w:val="20"/>
      <w:szCs w:val="20"/>
      <w:lang w:val="uk-UA"/>
    </w:rPr>
  </w:style>
  <w:style w:type="paragraph" w:styleId="33">
    <w:name w:val="Основний текст з відступом 3"/>
    <w:basedOn w:val="Normal"/>
    <w:qFormat/>
    <w:pPr>
      <w:spacing w:lineRule="auto" w:line="240" w:before="0" w:after="0"/>
      <w:ind w:left="0" w:right="0" w:firstLine="567"/>
      <w:jc w:val="both"/>
    </w:pPr>
    <w:rPr>
      <w:rFonts w:ascii="Times New Roman" w:hAnsi="Times New Roman" w:eastAsia="Times New Roman" w:cs="Times New Roman"/>
      <w:color w:val="000000"/>
      <w:sz w:val="24"/>
      <w:szCs w:val="20"/>
      <w:lang w:val="ru-RU"/>
    </w:rPr>
  </w:style>
  <w:style w:type="paragraph" w:styleId="Style42">
    <w:name w:val="Header"/>
    <w:basedOn w:val="Normal"/>
    <w:pPr>
      <w:tabs>
        <w:tab w:val="clear" w:pos="709"/>
        <w:tab w:val="center" w:pos="4677" w:leader="none"/>
        <w:tab w:val="right" w:pos="9355" w:leader="none"/>
      </w:tabs>
      <w:spacing w:lineRule="auto" w:line="240" w:before="0" w:after="0"/>
    </w:pPr>
    <w:rPr/>
  </w:style>
  <w:style w:type="paragraph" w:styleId="Style43">
    <w:name w:val="Вміст таблиці"/>
    <w:basedOn w:val="Normal"/>
    <w:qFormat/>
    <w:pPr>
      <w:suppressLineNumbers/>
    </w:pPr>
    <w:rPr/>
  </w:style>
  <w:style w:type="paragraph" w:styleId="Style44">
    <w:name w:val="Заголовок таблиці"/>
    <w:basedOn w:val="Style43"/>
    <w:qFormat/>
    <w:pPr>
      <w:suppressLineNumbers/>
      <w:jc w:val="center"/>
    </w:pPr>
    <w:rPr>
      <w:b/>
      <w:bCs/>
    </w:rPr>
  </w:style>
  <w:style w:type="paragraph" w:styleId="Style45">
    <w:name w:val="Body Text Indent"/>
    <w:basedOn w:val="Normal"/>
    <w:pPr>
      <w:ind w:left="0" w:right="0" w:firstLine="720"/>
      <w:jc w:val="both"/>
    </w:pPr>
    <w:rPr>
      <w:sz w:val="28"/>
      <w:szCs w:val="20"/>
      <w:lang w:val="uk-UA"/>
    </w:rPr>
  </w:style>
  <w:style w:type="paragraph" w:styleId="311">
    <w:name w:val="Основной текст с отступом 31"/>
    <w:basedOn w:val="Normal"/>
    <w:qFormat/>
    <w:pPr>
      <w:spacing w:before="0" w:after="120"/>
      <w:ind w:left="283" w:right="0" w:hanging="0"/>
    </w:pPr>
    <w:rPr>
      <w:bCs w:val="false"/>
      <w:sz w:val="16"/>
      <w:szCs w:val="16"/>
      <w:lang w:val="ru-RU"/>
    </w:rPr>
  </w:style>
  <w:style w:type="paragraph" w:styleId="Style46">
    <w:name w:val="Абзац списка"/>
    <w:basedOn w:val="Normal"/>
    <w:qFormat/>
    <w:pPr>
      <w:spacing w:lineRule="auto" w:line="276" w:before="0" w:after="200"/>
      <w:ind w:left="720" w:right="0" w:firstLine="709"/>
      <w:contextualSpacing/>
    </w:pPr>
    <w:rPr>
      <w:rFonts w:ascii="Calibri" w:hAnsi="Calibri" w:eastAsia="Calibri" w:cs="Calibri"/>
      <w:sz w:val="22"/>
      <w:szCs w:val="22"/>
    </w:rPr>
  </w:style>
  <w:style w:type="paragraph" w:styleId="211">
    <w:name w:val="Основной текст 21"/>
    <w:basedOn w:val="Normal"/>
    <w:qFormat/>
    <w:pPr>
      <w:spacing w:lineRule="auto" w:line="480" w:before="0" w:after="120"/>
    </w:pPr>
    <w:rPr>
      <w:rFonts w:cs="Mangal"/>
      <w:szCs w:val="21"/>
    </w:rPr>
  </w:style>
  <w:style w:type="paragraph" w:styleId="Style47">
    <w:name w:val="Обычный (веб)"/>
    <w:basedOn w:val="Normal"/>
    <w:qFormat/>
    <w:pPr>
      <w:spacing w:before="280" w:after="280"/>
    </w:pPr>
    <w:rPr/>
  </w:style>
  <w:style w:type="paragraph" w:styleId="13">
    <w:name w:val="Название объекта1"/>
    <w:basedOn w:val="Normal"/>
    <w:qFormat/>
    <w:pPr>
      <w:suppressLineNumbers/>
      <w:spacing w:before="120" w:after="120"/>
    </w:pPr>
    <w:rPr>
      <w:i/>
      <w:iCs/>
    </w:rPr>
  </w:style>
  <w:style w:type="paragraph" w:styleId="14">
    <w:name w:val="Заголовок1"/>
    <w:basedOn w:val="Normal"/>
    <w:next w:val="Style28"/>
    <w:qFormat/>
    <w:pPr>
      <w:keepNext w:val="true"/>
      <w:spacing w:before="240" w:after="120"/>
    </w:pPr>
    <w:rPr>
      <w:rFonts w:ascii="Liberation Sans;Arial" w:hAnsi="Liberation Sans;Arial" w:eastAsia="Microsoft YaHei" w:cs="Liberation Sans;Arial"/>
      <w:sz w:val="28"/>
      <w:szCs w:val="28"/>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Normal_x005F_x005F_x0000_</Template>
  <TotalTime>12</TotalTime>
  <Application>LibreOffice/7.1.3.2$Windows_X86_64 LibreOffice_project/47f78053abe362b9384784d31a6e56f8511eb1c1</Application>
  <AppVersion>15.0000</AppVersion>
  <Pages>4</Pages>
  <Words>973</Words>
  <Characters>6502</Characters>
  <CharactersWithSpaces>7365</CharactersWithSpaces>
  <Paragraphs>129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1995-11-21T17:41:00Z</dcterms:created>
  <dc:creator>Пользователь Windows</dc:creator>
  <dc:description/>
  <dc:language>uk-UA</dc:language>
  <cp:lastModifiedBy/>
  <cp:lastPrinted>2021-12-17T16:41:22Z</cp:lastPrinted>
  <dcterms:modified xsi:type="dcterms:W3CDTF">2021-12-17T16:41:30Z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