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E3F68" w:rsidRPr="005830A5" w:rsidRDefault="00F5027E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5830A5"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протоколу </w:t>
      </w:r>
    </w:p>
    <w:p w:rsidR="008E3F68" w:rsidRPr="005830A5" w:rsidRDefault="00F5027E">
      <w:pPr>
        <w:spacing w:after="0" w:line="240" w:lineRule="auto"/>
        <w:ind w:firstLine="851"/>
        <w:jc w:val="center"/>
        <w:rPr>
          <w:sz w:val="24"/>
          <w:szCs w:val="24"/>
          <w:lang w:val="ru-RU"/>
        </w:rPr>
      </w:pPr>
      <w:r w:rsidRPr="005830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  <w:r w:rsidR="005830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5830A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5830A5">
        <w:rPr>
          <w:rFonts w:ascii="Times New Roman" w:hAnsi="Times New Roman" w:cs="Times New Roman"/>
          <w:sz w:val="24"/>
          <w:szCs w:val="24"/>
          <w:lang w:val="uk-UA"/>
        </w:rPr>
        <w:t>від__________№__</w:t>
      </w:r>
      <w:r w:rsidR="005830A5">
        <w:rPr>
          <w:rFonts w:ascii="Times New Roman" w:hAnsi="Times New Roman" w:cs="Times New Roman"/>
          <w:sz w:val="24"/>
          <w:szCs w:val="24"/>
          <w:lang w:val="uk-UA"/>
        </w:rPr>
        <w:t>_</w:t>
      </w:r>
      <w:r w:rsidRPr="005830A5"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:rsidR="008E3F68" w:rsidRPr="005830A5" w:rsidRDefault="008E3F68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E3F68" w:rsidRDefault="00F502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Форма паспорту оцінки регуляторного акта</w:t>
      </w:r>
    </w:p>
    <w:p w:rsidR="008E3F68" w:rsidRDefault="008E3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035" w:type="dxa"/>
        <w:tblInd w:w="-173" w:type="dxa"/>
        <w:tblLayout w:type="fixed"/>
        <w:tblLook w:val="0000" w:firstRow="0" w:lastRow="0" w:firstColumn="0" w:lastColumn="0" w:noHBand="0" w:noVBand="0"/>
      </w:tblPr>
      <w:tblGrid>
        <w:gridCol w:w="561"/>
        <w:gridCol w:w="5103"/>
        <w:gridCol w:w="4371"/>
      </w:tblGrid>
      <w:tr w:rsidR="008E3F68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Pr="005830A5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5830A5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Найменування органу </w:t>
            </w:r>
            <w:r w:rsidRPr="005830A5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місцевого самоврядування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Луцька міська рада</w:t>
            </w:r>
          </w:p>
          <w:p w:rsidR="008E3F68" w:rsidRDefault="008E3F68">
            <w:pPr>
              <w:widowControl w:val="0"/>
              <w:spacing w:after="0" w:line="240" w:lineRule="auto"/>
              <w:ind w:firstLine="851"/>
              <w:jc w:val="center"/>
            </w:pPr>
          </w:p>
        </w:tc>
      </w:tr>
      <w:tr w:rsidR="008E3F68" w:rsidRPr="005830A5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Pr="005830A5" w:rsidRDefault="00F5027E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5830A5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Назва, дата прийняття та номер акта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Рішення виконавчого комітету</w:t>
            </w:r>
          </w:p>
          <w:p w:rsidR="008E3F68" w:rsidRPr="005830A5" w:rsidRDefault="00F5027E">
            <w:pPr>
              <w:widowControl w:val="0"/>
              <w:spacing w:after="0" w:line="240" w:lineRule="auto"/>
              <w:ind w:firstLine="851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“Про Порядок розміщення зовнішньої реклами на території Луцької міської територіальної громади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 19.02.2020 № 96-1</w:t>
            </w:r>
          </w:p>
          <w:p w:rsidR="008E3F68" w:rsidRPr="005830A5" w:rsidRDefault="008E3F68">
            <w:pPr>
              <w:widowControl w:val="0"/>
              <w:spacing w:after="0" w:line="240" w:lineRule="auto"/>
              <w:jc w:val="center"/>
              <w:rPr>
                <w:lang w:val="uk-UA"/>
              </w:rPr>
            </w:pPr>
          </w:p>
          <w:p w:rsidR="008E3F68" w:rsidRPr="005830A5" w:rsidRDefault="008E3F68">
            <w:pPr>
              <w:widowControl w:val="0"/>
              <w:spacing w:after="0" w:line="240" w:lineRule="auto"/>
              <w:ind w:firstLine="851"/>
              <w:jc w:val="center"/>
              <w:rPr>
                <w:lang w:val="uk-UA"/>
              </w:rPr>
            </w:pPr>
          </w:p>
        </w:tc>
      </w:tr>
      <w:tr w:rsidR="008E3F68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8E3F6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 w:rsidP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є акт обов’язковими для виконання двома 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більше суб’єктами господарювання?</w:t>
            </w:r>
          </w:p>
          <w:p w:rsidR="008E3F68" w:rsidRDefault="008E3F6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E3F6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 w:rsidP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  <w:p w:rsidR="008E3F68" w:rsidRDefault="008E3F68" w:rsidP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встановлює акт обов’язкові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  <w:p w:rsidR="008E3F68" w:rsidRDefault="008E3F68">
            <w:pPr>
              <w:widowControl w:val="0"/>
              <w:spacing w:after="0" w:line="24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 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8E3F68" w:rsidRDefault="008E3F6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E3F6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 w:rsidP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визначає акт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механізму забезпечення дотримання вимог (обов’язок отримання дозволу, погодження або отримання іншої адміністративної послуги, надання підтверджуючого документу, проведення експертизи, здійснення заходів контролю, подання звітності, тощо)?</w:t>
            </w:r>
          </w:p>
          <w:p w:rsidR="008E3F68" w:rsidRDefault="008E3F6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8E3F68">
        <w:trPr>
          <w:trHeight w:val="720"/>
        </w:trPr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F5027E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Висновок: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є регуляторним.</w:t>
            </w:r>
          </w:p>
          <w:p w:rsidR="008E3F68" w:rsidRDefault="008E3F68">
            <w:pPr>
              <w:pStyle w:val="af8"/>
              <w:widowControl w:val="0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F68" w:rsidRPr="005830A5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Відповідність вимогам актів вищої юридичної сили, а також компетенції відповідного органу</w:t>
            </w:r>
          </w:p>
        </w:tc>
      </w:tr>
      <w:tr w:rsidR="008E3F6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відповідає акт вимогам актів вищої юридичної сили?</w:t>
            </w:r>
          </w:p>
          <w:p w:rsidR="008E3F68" w:rsidRDefault="008E3F68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+</w:t>
            </w:r>
          </w:p>
          <w:p w:rsidR="008E3F68" w:rsidRDefault="008E3F6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Ні___ </w:t>
            </w:r>
          </w:p>
        </w:tc>
      </w:tr>
      <w:tr w:rsidR="008E3F6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був прийнятий в межах компетенції органу?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+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  <w:p w:rsidR="008E3F68" w:rsidRDefault="008E3F6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 w:rsidRPr="005830A5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У разі, якщо виявлено невідповідність хоча б одному із зазначених критеріїв подальші розділи паспорту не заповнюються (за винятком розділу «Рекомендації» у якому наводиться відповідне обгрунтування).</w:t>
            </w:r>
          </w:p>
        </w:tc>
      </w:tr>
      <w:tr w:rsidR="008E3F68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8E3F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були дотримані вимоги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законодавства щодо процедури прийняття регуляторних актів?</w:t>
            </w:r>
          </w:p>
          <w:p w:rsidR="008E3F68" w:rsidRDefault="008E3F6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+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</w:tc>
      </w:tr>
      <w:tr w:rsidR="008E3F68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разі, якщо виявлено невідповідність цьому критерію, продовжується заповнення наступних розділів паспорту, а у розділі «Рекомендації», за умови доцільності даного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 xml:space="preserve">регулювання,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зазначається про необхідність визнати цей акт таким, що потребує втрати чинності з одночасним розробленням нового регулювання з дотриманням всіх необхідних регуляторних процедур.</w:t>
            </w:r>
          </w:p>
          <w:p w:rsidR="008E3F68" w:rsidRDefault="008E3F6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</w:p>
        </w:tc>
      </w:tr>
      <w:tr w:rsidR="008E3F68" w:rsidRPr="005830A5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Визначення мети (цілі) акта органу та проблеми, яку цей акт мав би вирішува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E3F68" w:rsidRDefault="008E3F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Існуюче формулювання мети акта.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відсутнє ___</w:t>
            </w:r>
          </w:p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(робиться позначка)</w:t>
            </w:r>
          </w:p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 наводиться існуюче формулювання</w:t>
            </w:r>
          </w:p>
          <w:p w:rsidR="008E3F68" w:rsidRDefault="008E3F6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 w:rsidRPr="005830A5">
        <w:trPr>
          <w:trHeight w:val="86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мети акта за суб’єктивними чинниками.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проблем, які акт повинен був би вирішувати.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Оцінка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діючого акта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Хто є суб’єктами цього регулювання, скільки цих суб’єктів приблизно є?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Якими є обов’язкові вимоги що повинні виконуватися?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Які регуляторні інструменти використовуються (отримання дозволу, подача звітності, проведення заходів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контролю тощо)?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tabs>
                <w:tab w:val="right" w:pos="252"/>
                <w:tab w:val="center" w:pos="551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hanging="1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Приблизна оцінка вартості виконання всіх вимог для одного суб’єкта регулювання.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Скільки коштує адміністрування цього регулювання органом влади або місцевого самоврядування (затрати робочого часу на видачу дозволів, погодження 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перевірки)?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повністю забороняє, обмежує через квоти, зонування, дозвільну систему високі тарифи певні сектори чи види підприємницької діяльності (наприклад мобільні кав’ярні, мобільні заклади харчування, квартири де надаються послуги тимчасов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 розміщення, послуги гідів, перевізників, переносну торгівлю, тощо)?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встановлює вимогу обов’язкової послуги що повинна надаватись окремими суб’єктами господарювання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(комунальними підприємствами, установами тощо) у сферах, де такі послуги можуть надаватись приватними підприємствами в умовах вільного ринку?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встановлює вимоги які 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строєні під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діючі підприємства у тій чи іншій сферах, чи дискримінує підприємства за розміром (строку діяльності кількість працівників, використання комунальної послуги, довготривалі договори оренди, розмір матеріальних активів тощо)?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Ні ____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Так ___ (пояс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нення наводиться у обґрунтуванні розділу «Рекомендації»)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чи практика його виконання обмежує конкуренцію іншим методом, не описаним вище?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визначає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процедуру за якою індивідуальні рішення що стосуються суб’єктів господарювання (про видачу дозволу, погодження, іншого документу) приймається колегіально?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  <w:p w:rsidR="008E3F68" w:rsidRDefault="008E3F68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встановлює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процедуру, за якою індивідуальні рішення що стосуються суб’єктів господарювання приймаються посадовими особами без чіткого та вичерпного переліку критеріїв для прийняття таких рішень (можливість прийняття дискретних волюнтаристських рішень)?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 (пояснення наводиться у обґрунтуванні розділу «Рекомендації»)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делегує виконання регуляторної функції чи її частини (включно з наданням обов’язкових послуг) певному суб’єкту господарювання (комунальному підприємству, установі, тощо)?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вимагає придбання обладнання товарів чи послуг певного зразка чи у певних суб’єктів господарювання?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ендації»)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чи практика його призводить до збільшення корупційних можливостей іншими методами не описаним вище?</w:t>
            </w:r>
          </w:p>
          <w:p w:rsidR="008E3F68" w:rsidRDefault="008E3F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E3F68" w:rsidRDefault="00F5027E">
            <w:pPr>
              <w:widowControl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E3F68" w:rsidRPr="005830A5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Співвідношення масштабу регуляторного режиму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рівня фактичного вирішення проблеми.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8E3F6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3F68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Рекомендації</w:t>
            </w:r>
          </w:p>
        </w:tc>
      </w:tr>
      <w:tr w:rsidR="008E3F68" w:rsidRPr="005830A5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pStyle w:val="af8"/>
              <w:widowControl w:val="0"/>
              <w:spacing w:after="0" w:line="240" w:lineRule="auto"/>
              <w:ind w:left="2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Зазначається один з наступних варіантів:</w:t>
            </w:r>
          </w:p>
          <w:p w:rsidR="008E3F68" w:rsidRDefault="00F5027E">
            <w:pPr>
              <w:pStyle w:val="af8"/>
              <w:widowControl w:val="0"/>
              <w:spacing w:after="0" w:line="240" w:lineRule="auto"/>
              <w:ind w:left="0" w:firstLine="510"/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Залишити акт без змін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  <w:p w:rsidR="008E3F68" w:rsidRDefault="00F5027E">
            <w:pPr>
              <w:pStyle w:val="af8"/>
              <w:widowControl w:val="0"/>
              <w:spacing w:after="0" w:line="240" w:lineRule="auto"/>
              <w:ind w:left="0" w:firstLine="510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Внести зміни до діючого акта </w:t>
            </w:r>
          </w:p>
          <w:p w:rsidR="008E3F68" w:rsidRDefault="00F5027E">
            <w:pPr>
              <w:pStyle w:val="af8"/>
              <w:widowControl w:val="0"/>
              <w:spacing w:after="0" w:line="240" w:lineRule="auto"/>
              <w:ind w:left="0" w:firstLine="510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Визнати таким, що втратив чинність, діючий акт та прийняти новий із дотриманням вимогам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законодавства щодо змісту акта та процедури його прийняття.</w:t>
            </w:r>
          </w:p>
          <w:p w:rsidR="008E3F68" w:rsidRDefault="00F5027E">
            <w:pPr>
              <w:pStyle w:val="af8"/>
              <w:widowControl w:val="0"/>
              <w:spacing w:after="0" w:line="240" w:lineRule="auto"/>
              <w:ind w:left="737" w:hanging="170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Повністю визнати таким, що втратив чинність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</w:p>
        </w:tc>
      </w:tr>
      <w:tr w:rsidR="008E3F68" w:rsidRPr="005830A5">
        <w:tc>
          <w:tcPr>
            <w:tcW w:w="10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3F68" w:rsidRDefault="00F5027E">
            <w:pPr>
              <w:widowControl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Обґрунтування:</w:t>
            </w:r>
          </w:p>
          <w:p w:rsidR="008E3F68" w:rsidRDefault="00F5027E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Норми акта поширюю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ється на будь - яких суб’єктів господарювання, які є учасниками відносин, на регулювання яких спрямовано цей акт. Рішення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 обов’язковим для виконання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всіма учасниками рекламної діяльності – юридичними та фізичними особами-підприємцями нез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алежно від їх організаційно-правової форми та форми власності. Акт встановлює обов’язкові вимоги для виконання суб’єктами господарювання: (подача повного пакету документів для отримання дозвільного документу, вимоги щодо розміщення та вигляду засобів зовні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шньої реклами, здійснення оплати за тимчасове користування рекламних засобів, демонтаж рекламних засобів після закінчення строку дії дозволів). </w:t>
            </w:r>
          </w:p>
          <w:p w:rsidR="008E3F68" w:rsidRDefault="00F5027E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Відповідно до Порядку розміщення зовнішньої реклами на території ЛМТГ, визначається механізм видачі Дозволу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розміщення зовнішньої реклами (відмови у видачі), анулювання, переоформлення та продовження строку дії Дозволу, внесення змін у дозвіл, сплати за тимчасове користування місцем розміщення засобу зовнішньої реклами, контролю за дотриманням Порядку розміщення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зовнішньої реклами на території Луцької міської територіальної громади, а також детальних вимог до засобів зовнішньої реклами та місць їх розташування, демонтажу, обліку та зберігання засобів зовнішньої реклами.</w:t>
            </w:r>
          </w:p>
          <w:p w:rsidR="008E3F68" w:rsidRPr="005830A5" w:rsidRDefault="00F5027E">
            <w:pPr>
              <w:widowControl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Згідно даного рішення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надаються адм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іністративні послуги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8E3F68" w:rsidRDefault="00F5027E">
            <w:pPr>
              <w:widowControl w:val="0"/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1. 104/20.2.2/01 «Зміна технологічної схеми рекламного засобу протягом дії дозволу»; </w:t>
            </w:r>
          </w:p>
          <w:p w:rsidR="008E3F68" w:rsidRDefault="00F5027E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 105/20.2.2/02 «Внесення змін у дозвіл на розміщення зовнішньої реклами у разі зміни містобудівної   </w:t>
            </w:r>
          </w:p>
          <w:p w:rsidR="008E3F68" w:rsidRDefault="00F5027E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ситуації»; </w:t>
            </w:r>
          </w:p>
          <w:p w:rsidR="008E3F68" w:rsidRDefault="00F5027E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 106/20.2.2/03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 Продовження строку дії дозволу на розміщення зовнішньої реклами»; </w:t>
            </w:r>
          </w:p>
          <w:p w:rsidR="008E3F68" w:rsidRDefault="00F5027E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4. 177/20.2.2/04 «Дозвіл на розміщення зовнішньої реклами»; </w:t>
            </w:r>
          </w:p>
          <w:p w:rsidR="008E3F68" w:rsidRDefault="00F5027E">
            <w:pPr>
              <w:widowControl w:val="0"/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5. 124/20.2.2/05 «Дозвіл на розміщення тимчасової короткострокової зовнішньої реклами»;</w:t>
            </w:r>
          </w:p>
          <w:p w:rsidR="008E3F68" w:rsidRDefault="00F5027E">
            <w:pPr>
              <w:widowControl w:val="0"/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6. 131/20.2.2/06 «Пере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дозволу на розміщення зовнішньої реклами»; </w:t>
            </w:r>
          </w:p>
          <w:p w:rsidR="008E3F68" w:rsidRDefault="00F5027E">
            <w:pPr>
              <w:widowControl w:val="0"/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 201/20.2.2/07 «Анулювання дозволу на розміщення зовнішньої реклами». </w:t>
            </w:r>
          </w:p>
          <w:p w:rsidR="008E3F68" w:rsidRPr="005830A5" w:rsidRDefault="00F5027E">
            <w:pPr>
              <w:widowControl w:val="0"/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Регуляторний акт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розроблено відповідно до законів України “Про місцеве самоврядування в Україні, “Про рекламу”, “Про дозвільну сист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ему у сфері господарської діяльності”, “Про адміністративні послуги”, “Про благоустрій населених пунктів”, постанови Кабінету Міністрів України від 29.12.2003 № 2067 “Про затвердження Типових правил розміщення зовнішньої реклами” зі змінами.</w:t>
            </w:r>
          </w:p>
          <w:p w:rsidR="008E3F68" w:rsidRDefault="00F5027E" w:rsidP="00F5027E">
            <w:pPr>
              <w:pStyle w:val="aff0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Рішення пройшло повністю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регуляторну процедуру відповідно до Закону України “Про засади державної регуляторної політики у сфері господарської діяльності” та відповідає ст. 19. Конституції України (органи державної влади та органами місцевого самоврядуван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ня, їх посадові особи зобов’язані діяти лише на підставі, в межах повноважень та у спосіб, що передбачені Конституцією та законами України).</w:t>
            </w:r>
          </w:p>
        </w:tc>
      </w:tr>
    </w:tbl>
    <w:p w:rsidR="008E3F68" w:rsidRDefault="008E3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F68" w:rsidRPr="005830A5" w:rsidRDefault="008E3F68">
      <w:pPr>
        <w:spacing w:after="0" w:line="240" w:lineRule="auto"/>
        <w:jc w:val="center"/>
        <w:rPr>
          <w:lang w:val="ru-RU"/>
        </w:rPr>
      </w:pPr>
    </w:p>
    <w:sectPr w:rsidR="008E3F68" w:rsidRPr="005830A5">
      <w:headerReference w:type="default" r:id="rId7"/>
      <w:headerReference w:type="first" r:id="rId8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5027E">
      <w:pPr>
        <w:spacing w:after="0" w:line="240" w:lineRule="auto"/>
      </w:pPr>
      <w:r>
        <w:separator/>
      </w:r>
    </w:p>
  </w:endnote>
  <w:endnote w:type="continuationSeparator" w:id="0">
    <w:p w:rsidR="00000000" w:rsidRDefault="00F50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;Century Gothic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5027E">
      <w:pPr>
        <w:spacing w:after="0" w:line="240" w:lineRule="auto"/>
      </w:pPr>
      <w:r>
        <w:separator/>
      </w:r>
    </w:p>
  </w:footnote>
  <w:footnote w:type="continuationSeparator" w:id="0">
    <w:p w:rsidR="00000000" w:rsidRDefault="00F50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F68" w:rsidRDefault="00F5027E">
    <w:pPr>
      <w:pStyle w:val="afd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  <w:p w:rsidR="008E3F68" w:rsidRDefault="008E3F68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F68" w:rsidRDefault="008E3F68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A67FC"/>
    <w:multiLevelType w:val="multilevel"/>
    <w:tmpl w:val="DC4292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E3F68"/>
    <w:rsid w:val="005830A5"/>
    <w:rsid w:val="008E3F68"/>
    <w:rsid w:val="00F5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3158"/>
  <w15:docId w15:val="{204D6EC0-0E1D-42BE-8133-C52B89BB4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val="en-US" w:bidi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Times New Roman"/>
    </w:rPr>
  </w:style>
  <w:style w:type="character" w:customStyle="1" w:styleId="a4">
    <w:name w:val="Шрифт абзацу за промовчанням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5">
    <w:name w:val="Шрифт абзацу за замовчуванням"/>
    <w:qFormat/>
  </w:style>
  <w:style w:type="character" w:customStyle="1" w:styleId="1">
    <w:name w:val="Знак примітки1"/>
    <w:qFormat/>
    <w:rPr>
      <w:sz w:val="16"/>
      <w:szCs w:val="16"/>
    </w:rPr>
  </w:style>
  <w:style w:type="character" w:customStyle="1" w:styleId="a6">
    <w:name w:val="Текст примітки Знак"/>
    <w:qFormat/>
    <w:rPr>
      <w:sz w:val="20"/>
      <w:szCs w:val="20"/>
    </w:rPr>
  </w:style>
  <w:style w:type="character" w:customStyle="1" w:styleId="a7">
    <w:name w:val="Тема примітки Знак"/>
    <w:qFormat/>
    <w:rPr>
      <w:b/>
      <w:bCs/>
      <w:sz w:val="20"/>
      <w:szCs w:val="20"/>
    </w:rPr>
  </w:style>
  <w:style w:type="character" w:customStyle="1" w:styleId="a8">
    <w:name w:val="Текст у виносці Знак"/>
    <w:qFormat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Pr>
      <w:rFonts w:ascii="Times New Roman" w:hAnsi="Times New Roman" w:cs="Times New Roman"/>
    </w:rPr>
  </w:style>
  <w:style w:type="character" w:customStyle="1" w:styleId="rvts23">
    <w:name w:val="rvts23"/>
    <w:qFormat/>
    <w:rPr>
      <w:rFonts w:ascii="Times New Roman" w:hAnsi="Times New Roman" w:cs="Times New Roman"/>
    </w:rPr>
  </w:style>
  <w:style w:type="character" w:customStyle="1" w:styleId="aa">
    <w:name w:val="Основной текст_"/>
    <w:qFormat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Гіперпосилання"/>
    <w:rPr>
      <w:color w:val="0563C1"/>
      <w:u w:val="single"/>
    </w:rPr>
  </w:style>
  <w:style w:type="character" w:customStyle="1" w:styleId="10">
    <w:name w:val="Незакрита згадка1"/>
    <w:qFormat/>
    <w:rPr>
      <w:color w:val="808080"/>
      <w:shd w:val="clear" w:color="auto" w:fill="E6E6E6"/>
    </w:rPr>
  </w:style>
  <w:style w:type="character" w:customStyle="1" w:styleId="ac">
    <w:name w:val="Нижній колонтитул Знак"/>
    <w:qFormat/>
    <w:rPr>
      <w:lang w:val="uk-UA"/>
    </w:rPr>
  </w:style>
  <w:style w:type="character" w:customStyle="1" w:styleId="ad">
    <w:name w:val="Відвідане гіперпосилання"/>
    <w:rPr>
      <w:color w:val="954F72"/>
      <w:u w:val="single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Pr>
      <w:rFonts w:ascii="Consolas" w:hAnsi="Consolas" w:cs="Consolas"/>
      <w:sz w:val="20"/>
      <w:szCs w:val="20"/>
    </w:rPr>
  </w:style>
  <w:style w:type="character" w:customStyle="1" w:styleId="31">
    <w:name w:val="Основний текст з відступом 3 Знак"/>
    <w:qFormat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e">
    <w:name w:val="Верхній колонтитул Знак"/>
    <w:basedOn w:val="a5"/>
    <w:qFormat/>
  </w:style>
  <w:style w:type="character" w:customStyle="1" w:styleId="af">
    <w:name w:val="Виділення жирним"/>
    <w:qFormat/>
    <w:rPr>
      <w:b/>
      <w:bCs/>
    </w:rPr>
  </w:style>
  <w:style w:type="paragraph" w:styleId="af0">
    <w:name w:val="Title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1">
    <w:name w:val="List"/>
    <w:basedOn w:val="a0"/>
    <w:rPr>
      <w:rFonts w:cs="Arial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3">
    <w:name w:val="Покажчик"/>
    <w:basedOn w:val="a"/>
    <w:qFormat/>
    <w:pPr>
      <w:suppressLineNumbers/>
    </w:pPr>
    <w:rPr>
      <w:rFonts w:cs="Arial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af4">
    <w:name w:val="Назва об'єкта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Текст примітки1"/>
    <w:basedOn w:val="a"/>
    <w:qFormat/>
    <w:pPr>
      <w:spacing w:line="240" w:lineRule="auto"/>
    </w:pPr>
    <w:rPr>
      <w:sz w:val="20"/>
      <w:szCs w:val="20"/>
      <w:lang w:val="uk-UA"/>
    </w:rPr>
  </w:style>
  <w:style w:type="paragraph" w:customStyle="1" w:styleId="af5">
    <w:name w:val="Тема примітки"/>
    <w:basedOn w:val="12"/>
    <w:next w:val="12"/>
    <w:qFormat/>
    <w:rPr>
      <w:b/>
      <w:bCs/>
    </w:rPr>
  </w:style>
  <w:style w:type="paragraph" w:customStyle="1" w:styleId="af6">
    <w:name w:val="Текст у виносці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7">
    <w:name w:val="Нормальний текст"/>
    <w:basedOn w:val="a"/>
    <w:qFormat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 w:cs="Times New Roman"/>
      <w:sz w:val="23"/>
      <w:szCs w:val="23"/>
      <w:lang w:val="uk-UA"/>
    </w:rPr>
  </w:style>
  <w:style w:type="paragraph" w:customStyle="1" w:styleId="af8">
    <w:name w:val="Абзац списку"/>
    <w:basedOn w:val="a"/>
    <w:qFormat/>
    <w:pPr>
      <w:spacing w:after="200" w:line="276" w:lineRule="auto"/>
      <w:ind w:left="720"/>
      <w:contextualSpacing/>
    </w:pPr>
    <w:rPr>
      <w:lang w:val="uk-UA"/>
    </w:rPr>
  </w:style>
  <w:style w:type="paragraph" w:customStyle="1" w:styleId="af9">
    <w:name w:val="Верхній і нижній колонтитули"/>
    <w:basedOn w:val="a"/>
    <w:qFormat/>
  </w:style>
  <w:style w:type="paragraph" w:styleId="afa">
    <w:name w:val="footer"/>
    <w:basedOn w:val="a"/>
    <w:pPr>
      <w:spacing w:after="0" w:line="240" w:lineRule="auto"/>
    </w:pPr>
    <w:rPr>
      <w:sz w:val="20"/>
      <w:szCs w:val="20"/>
      <w:lang w:val="uk-UA"/>
    </w:rPr>
  </w:style>
  <w:style w:type="paragraph" w:customStyle="1" w:styleId="afb">
    <w:name w:val="Без інтервалів"/>
    <w:qFormat/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afc">
    <w:name w:val="Звичайний (веб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0">
    <w:name w:val="Стандартний HTML"/>
    <w:basedOn w:val="a"/>
    <w:qFormat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10">
    <w:name w:val="Основний текст з відступом 31"/>
    <w:basedOn w:val="a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styleId="afd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e">
    <w:name w:val="Вміст таблиці"/>
    <w:basedOn w:val="a"/>
    <w:qFormat/>
    <w:pPr>
      <w:suppressLineNumbers/>
    </w:pPr>
  </w:style>
  <w:style w:type="paragraph" w:customStyle="1" w:styleId="aff">
    <w:name w:val="Заголовок таблиці"/>
    <w:basedOn w:val="afe"/>
    <w:qFormat/>
    <w:pPr>
      <w:jc w:val="center"/>
    </w:pPr>
    <w:rPr>
      <w:b/>
      <w:bCs/>
    </w:rPr>
  </w:style>
  <w:style w:type="paragraph" w:styleId="aff0">
    <w:name w:val="No Spacing"/>
    <w:qFormat/>
    <w:rPr>
      <w:rFonts w:ascii="Calibri" w:eastAsia="Calibri" w:hAnsi="Calibri" w:cs="Calibri"/>
      <w:sz w:val="22"/>
      <w:szCs w:val="22"/>
      <w:lang w:val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5373</Words>
  <Characters>3063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Користувач</cp:lastModifiedBy>
  <cp:revision>15</cp:revision>
  <cp:lastPrinted>1995-11-21T17:41:00Z</cp:lastPrinted>
  <dcterms:created xsi:type="dcterms:W3CDTF">1995-11-21T17:41:00Z</dcterms:created>
  <dcterms:modified xsi:type="dcterms:W3CDTF">2021-12-18T20:25:00Z</dcterms:modified>
  <dc:language>uk-UA</dc:language>
</cp:coreProperties>
</file>