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2B18" w:rsidRDefault="00FF6BE4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до протоколу</w:t>
      </w:r>
    </w:p>
    <w:p w:rsidR="00662B18" w:rsidRDefault="00FF6BE4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від_________№_____</w:t>
      </w:r>
    </w:p>
    <w:p w:rsidR="00662B18" w:rsidRDefault="00662B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62B18" w:rsidRDefault="00FF6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Форма паспорту оцінки регуляторного акта</w:t>
      </w:r>
    </w:p>
    <w:p w:rsidR="00662B18" w:rsidRDefault="00662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82" w:type="dxa"/>
        <w:tblInd w:w="-96" w:type="dxa"/>
        <w:tblLayout w:type="fixed"/>
        <w:tblLook w:val="0000" w:firstRow="0" w:lastRow="0" w:firstColumn="0" w:lastColumn="0" w:noHBand="0" w:noVBand="0"/>
      </w:tblPr>
      <w:tblGrid>
        <w:gridCol w:w="563"/>
        <w:gridCol w:w="4999"/>
        <w:gridCol w:w="4420"/>
      </w:tblGrid>
      <w:tr w:rsidR="00662B18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Pr="00BE3A60" w:rsidRDefault="00FF6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E3A60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Найменування органу </w:t>
            </w:r>
            <w:r w:rsidRPr="00BE3A60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місцевого самоврядування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Луцька міська рада </w:t>
            </w:r>
          </w:p>
          <w:p w:rsidR="00662B18" w:rsidRDefault="00662B18">
            <w:pPr>
              <w:widowControl w:val="0"/>
              <w:spacing w:after="0" w:line="240" w:lineRule="auto"/>
              <w:ind w:firstLine="851"/>
              <w:jc w:val="center"/>
            </w:pPr>
          </w:p>
        </w:tc>
      </w:tr>
      <w:tr w:rsidR="00662B18" w:rsidRPr="00BE3A60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Pr="00BE3A60" w:rsidRDefault="00FF6BE4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BE3A60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Назва, дата прийняття та номер акта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Рішення виконавчого комітету</w:t>
            </w:r>
          </w:p>
          <w:p w:rsidR="00662B18" w:rsidRPr="00BE3A60" w:rsidRDefault="00FF6BE4">
            <w:pPr>
              <w:widowControl w:val="0"/>
              <w:spacing w:after="0" w:line="240" w:lineRule="auto"/>
              <w:ind w:firstLine="851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“Про порядок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розміщення та утримання обладнання для паркування велосипедів у місті Луцьку ” від 18.09.2013 № 569-1</w:t>
            </w:r>
          </w:p>
          <w:p w:rsidR="00662B18" w:rsidRDefault="00662B18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662B18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662B18" w:rsidRDefault="00FF6BE4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  <w:p w:rsidR="00662B18" w:rsidRDefault="00662B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662B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є акт обов’язковими для виконання двома та більше суб’єктами господарювання?</w:t>
            </w:r>
          </w:p>
          <w:p w:rsidR="00662B18" w:rsidRDefault="00662B1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</w:t>
            </w:r>
          </w:p>
          <w:p w:rsidR="00662B18" w:rsidRPr="00BE3A60" w:rsidRDefault="00FF6BE4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Так +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(пояснення наводиться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обґрунтуванні розділу «Рекомендації»)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662B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встановлює акт обов’язкові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  <w:p w:rsidR="00662B18" w:rsidRDefault="00662B18">
            <w:pPr>
              <w:widowControl w:val="0"/>
              <w:spacing w:after="0" w:line="24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662B18" w:rsidRPr="00BE3A60" w:rsidRDefault="00FF6BE4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662B18" w:rsidRPr="00BE3A60" w:rsidRDefault="00FF6BE4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(пояснення наводиться 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обґрунтуванні розділу «Рекомендації»)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662B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визначає акт механізми забезпечення дотримання вимог (обов’язок отримання дозволу, погодження або отримання іншої адміністративної послуги, надання підтверджуючого документу, проведення експертизи, здійснення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заходів контролю, подання звітності, тощо)?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662B18" w:rsidRPr="00BE3A60" w:rsidRDefault="00FF6BE4">
            <w:pPr>
              <w:widowControl w:val="0"/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+  (пояснення наводиться у обґрунтуванні розділу «Рекомендації»)</w:t>
            </w:r>
          </w:p>
        </w:tc>
      </w:tr>
      <w:tr w:rsidR="00662B18" w:rsidRPr="00BE3A60">
        <w:trPr>
          <w:trHeight w:val="932"/>
        </w:trPr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Висновок: </w:t>
            </w:r>
          </w:p>
          <w:p w:rsidR="00662B18" w:rsidRDefault="00FF6BE4">
            <w:pPr>
              <w:pStyle w:val="af7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є регуляторним;</w:t>
            </w:r>
          </w:p>
          <w:p w:rsidR="00662B18" w:rsidRDefault="00FF6BE4">
            <w:pPr>
              <w:pStyle w:val="af7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не є регуляторним та не потребує подальшого аналізу </w:t>
            </w:r>
          </w:p>
        </w:tc>
      </w:tr>
      <w:tr w:rsidR="00662B18" w:rsidRPr="00BE3A60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Відповідність вимогам актів вищої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юридичної сили, а також компетенції відповідного органу</w:t>
            </w:r>
          </w:p>
        </w:tc>
      </w:tr>
      <w:tr w:rsidR="00662B18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відповідає акт вимогам актів вищої юридичної сили?</w:t>
            </w:r>
          </w:p>
          <w:p w:rsidR="00662B18" w:rsidRDefault="00662B18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662B18" w:rsidRDefault="00662B1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Ні___ </w:t>
            </w:r>
          </w:p>
        </w:tc>
      </w:tr>
      <w:tr w:rsidR="00662B18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2.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був прийнятий в межах компетенції органу?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+ 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  <w:p w:rsidR="00662B18" w:rsidRDefault="00662B1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 w:rsidRPr="00BE3A60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 xml:space="preserve">У разі, якщо виявлено невідповідність хоча б одному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із зазначених критеріїв подальші розділи паспорту не заповнюються (за винятком розділу «Рекомендації» у якому наводиться відповідне обґрунтування).</w:t>
            </w:r>
          </w:p>
        </w:tc>
      </w:tr>
      <w:tr w:rsidR="00662B18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були дотримані вимоги законодавства щодо процедури прийняття регуляторних актів?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+ </w:t>
            </w: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</w:tc>
      </w:tr>
      <w:tr w:rsidR="00662B18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разі, якщо виявлено невідповідність цьому критерію, продовжується заповнення наступних розділів паспорту, а у розділі «Рекомендації», за умови доцільності даного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 xml:space="preserve">регулювання, зазначається про необхідність визнати цей акт таким, що потребує втрати чинності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з одночасним розробленням нового регулювання з дотриманням всіх необхідних регуляторних процедур.</w:t>
            </w:r>
          </w:p>
        </w:tc>
      </w:tr>
      <w:tr w:rsidR="00662B18" w:rsidRPr="00BE3A60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Визначення мети (цілі) акта органу та проблеми, яку цей акт мав би вирішувати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Існуюче формулювання мети акта.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відсутнє ___</w:t>
            </w:r>
          </w:p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(робиться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позначка)</w:t>
            </w:r>
          </w:p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 наводиться існуюче формулювання</w:t>
            </w:r>
          </w:p>
          <w:p w:rsidR="00662B18" w:rsidRDefault="00662B1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 w:rsidRPr="00BE3A60">
        <w:trPr>
          <w:trHeight w:val="862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мети акта за суб’єктивними чинниками.</w:t>
            </w:r>
          </w:p>
          <w:p w:rsidR="00662B18" w:rsidRDefault="00662B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3.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проблем, які акт повинен був би вирішувати.</w:t>
            </w:r>
          </w:p>
          <w:p w:rsidR="00662B18" w:rsidRDefault="00662B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Оцінка діючого акта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Хто є суб’єктами цього регулювання, скільки цих суб’єктів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приблизно є?</w:t>
            </w: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Якими є обов’язкові вимоги що повинні виконуватися?</w:t>
            </w: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регуляторні інструменти використовуються (отримання дозволу, подача звітності, проведення заході контролю тощо)?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Приблизна оцінка вартості виконання всіх вимог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одного суб’єкта регулювання.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Скільки коштує адміністрування цього регулювання органом влади або місцевого самоврядування (затрати робочого часу на видачу дозволів, погодження та перевірки)?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повністю забороняє, обмежує через квоти,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зонування, дозвільну систему високі тарифи певні сектори чи види підприємницької діяльності (наприклад мобільні кав’ярні, мобільні заклади харчування, квартири де надаються послуги тимчасового розміщення, послуги гідів, перевізників, переносну торгівлю, то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що)?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вимогу обов’язкової послуги що повинна надаватись окремими суб’єктами господарювання (комунальними підприємствами, установами тощо) у сферах, де такі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можуть надаватись приватними підприємствами в умовах вільного ринку?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вимоги які настроєні під діючі підприємства у тій чи іншій сферах, чи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дискримінує підприємства за розміром (строку діяльності кількість працівників,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використання комунальної послуги, довготривалі договори оренди, розмір матеріальних активів тощо)?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Ні ____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чи практика його виконання обмежує конкуренцію іншим методом, не описаним вище?</w:t>
            </w: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визначає процедуру за якою індивідуальні рішення що стосуються суб’єктів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господарювання (про видачу дозволу, погодження, іншого документу) приймається колегіально?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  <w:p w:rsidR="00662B18" w:rsidRDefault="00662B1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процедуру, за якою індивідуальні рішення що стосуються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суб’єктів господарювання приймаються посадовими особами без чіткого та вичерпного переліку критеріїв для прийняття таких рішень (можливість прийняття дискретних волюнтаристських рішень)?</w:t>
            </w: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делегує виконання регуляторної функції чи її частини (включно з наданням обов’язкових послуг) певному суб’єкту господарювання (комунальному підприємству, установі, тощо)?</w:t>
            </w: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 ___ (пояснення наводиться у обґрунтуванні розділу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«Рекомендації»)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вимагає придбання обладнання товарів чи послуг певного зразка чи у певних суб’єктів господарювання?</w:t>
            </w: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чи практика його призводить 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корупційних можливостей іншими методами не описаним вище?</w:t>
            </w:r>
          </w:p>
          <w:p w:rsidR="00662B18" w:rsidRDefault="00662B1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662B18" w:rsidRDefault="00FF6BE4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662B18" w:rsidRPr="00BE3A60"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4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Співвідношення масштабу регуляторного режиму та рівня фактичного вирішення проблеми.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662B1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62B18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FF6BE4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Рекомендації</w:t>
            </w:r>
          </w:p>
        </w:tc>
      </w:tr>
      <w:tr w:rsidR="00662B18" w:rsidRPr="00BE3A60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Default="00BE3A60">
            <w:pPr>
              <w:pStyle w:val="af7"/>
              <w:widowControl w:val="0"/>
              <w:spacing w:after="0" w:line="240" w:lineRule="auto"/>
              <w:ind w:left="2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</w:t>
            </w:r>
            <w:r w:rsidR="00FF6BE4">
              <w:rPr>
                <w:rFonts w:ascii="Times New Roman" w:hAnsi="Times New Roman" w:cs="Times New Roman"/>
                <w:iCs/>
                <w:sz w:val="24"/>
                <w:szCs w:val="24"/>
              </w:rPr>
              <w:t>Зазначається один з наступних варіантів:</w:t>
            </w:r>
          </w:p>
          <w:p w:rsidR="00662B18" w:rsidRDefault="00FF6BE4">
            <w:pPr>
              <w:pStyle w:val="af7"/>
              <w:widowControl w:val="0"/>
              <w:spacing w:after="0" w:line="240" w:lineRule="auto"/>
              <w:ind w:left="0" w:firstLine="510"/>
              <w:jc w:val="both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Залишити акт без змін.</w:t>
            </w:r>
          </w:p>
          <w:p w:rsidR="00662B18" w:rsidRDefault="00FF6BE4">
            <w:pPr>
              <w:pStyle w:val="af7"/>
              <w:widowControl w:val="0"/>
              <w:spacing w:after="0" w:line="240" w:lineRule="auto"/>
              <w:ind w:left="0" w:firstLine="510"/>
              <w:jc w:val="both"/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Внести зміни до діючого акта.</w:t>
            </w:r>
          </w:p>
          <w:p w:rsidR="00662B18" w:rsidRDefault="00FF6BE4">
            <w:pPr>
              <w:pStyle w:val="af7"/>
              <w:widowControl w:val="0"/>
              <w:spacing w:after="0" w:line="240" w:lineRule="auto"/>
              <w:ind w:left="0" w:firstLine="510"/>
              <w:jc w:val="both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Визнати таким, що втратив чинність, діючий акт та прийняти новий із дотриманням вимогам законодавства щодо змісту акта та процедури його прийняття.</w:t>
            </w:r>
          </w:p>
          <w:p w:rsidR="00662B18" w:rsidRDefault="00FF6BE4">
            <w:pPr>
              <w:pStyle w:val="af7"/>
              <w:widowControl w:val="0"/>
              <w:spacing w:after="0" w:line="240" w:lineRule="auto"/>
              <w:ind w:left="0" w:firstLine="510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Повністю визнати таким, що втратив чинність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</w:p>
        </w:tc>
      </w:tr>
      <w:tr w:rsidR="00662B18" w:rsidRPr="00BE3A60">
        <w:tc>
          <w:tcPr>
            <w:tcW w:w="9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2B18" w:rsidRPr="00BE3A60" w:rsidRDefault="00FF6BE4">
            <w:pPr>
              <w:widowControl w:val="0"/>
              <w:spacing w:after="0" w:line="240" w:lineRule="auto"/>
              <w:contextualSpacing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    </w:t>
            </w:r>
            <w:r w:rsidR="00BE3A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Обґрунтування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: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норми акта поширюються на будь - яких суб’єктів господарювання, які є учасниками відносин, на регулювання яких спрямовано цей акт. Відповідно до Порядку розміщення та утримання обладнання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для паркування велосипедів у місті Луцьку визначається механізм та рекомендації щодо розміщення та утримання обладнання для паркування велосипедів, їх зовнішнього вигляду (яке має бути обладнання для паркування велосипеда,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велосипедна стійка, стоянка) та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ериторії міста, землях комунальної власності і т п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(далі-Порядок). Щодо </w:t>
            </w:r>
            <w:r w:rsidR="00BE3A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відповідності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місця розташування обладнання для паркування велосипедів існуючим будівельним нормам,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визначає департамент містобудування, земельних ресурсів та реклами протягом 5 робочих дні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від дня реєстрації відповідного звернення фізичної або юридичної особи. Департамент письмово повідомляє замовнику про погодження місця розташування обладнання для паркування велосипедів і веде реєстр погоджень їх прив’язки. Строк дії погоджень є необмеже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ним. </w:t>
            </w:r>
          </w:p>
          <w:p w:rsidR="00662B18" w:rsidRDefault="00FF6BE4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Порядок розміщення та утримання обладнання для паркування велосипедів розроблено також відповідно до законів України “Про місцеве самоврядування в Україні”, “Про регулювання містобудівної діяльності”.</w:t>
            </w:r>
          </w:p>
          <w:p w:rsidR="00662B18" w:rsidRDefault="00FF6BE4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Регуляторний акт пройшов повністю регулятор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ну процедуру відповідно до Закону України “Про засади державної регуляторної політики у сфері господарської діяльності” та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ідповідає ст. 19. Конституції України (органи державної влади та органи місцевого самоврядування,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їх посадові особи зобов’язані діяти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ише на підставі,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 межах повноважень та у спосіб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що передбачено Конституцією та законами України).</w:t>
            </w:r>
          </w:p>
          <w:p w:rsidR="00662B18" w:rsidRPr="00BE3A60" w:rsidRDefault="00662B18">
            <w:pPr>
              <w:widowControl w:val="0"/>
              <w:spacing w:after="0" w:line="240" w:lineRule="auto"/>
              <w:contextualSpacing/>
              <w:jc w:val="both"/>
              <w:rPr>
                <w:lang w:val="uk-UA"/>
              </w:rPr>
            </w:pPr>
          </w:p>
        </w:tc>
      </w:tr>
    </w:tbl>
    <w:p w:rsidR="00662B18" w:rsidRDefault="00662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2B18" w:rsidRDefault="00662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662B18">
      <w:headerReference w:type="default" r:id="rId7"/>
      <w:headerReference w:type="first" r:id="rId8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F6BE4">
      <w:pPr>
        <w:spacing w:after="0" w:line="240" w:lineRule="auto"/>
      </w:pPr>
      <w:r>
        <w:separator/>
      </w:r>
    </w:p>
  </w:endnote>
  <w:endnote w:type="continuationSeparator" w:id="0">
    <w:p w:rsidR="00000000" w:rsidRDefault="00FF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;Century Gothic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F6BE4">
      <w:pPr>
        <w:spacing w:after="0" w:line="240" w:lineRule="auto"/>
      </w:pPr>
      <w:r>
        <w:separator/>
      </w:r>
    </w:p>
  </w:footnote>
  <w:footnote w:type="continuationSeparator" w:id="0">
    <w:p w:rsidR="00000000" w:rsidRDefault="00FF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B18" w:rsidRDefault="00FF6BE4">
    <w:pPr>
      <w:pStyle w:val="afc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  <w:p w:rsidR="00662B18" w:rsidRDefault="00662B18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B18" w:rsidRDefault="00662B18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4367B"/>
    <w:multiLevelType w:val="multilevel"/>
    <w:tmpl w:val="975420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E7D5E58"/>
    <w:multiLevelType w:val="multilevel"/>
    <w:tmpl w:val="1C50A55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2B18"/>
    <w:rsid w:val="00662B18"/>
    <w:rsid w:val="00BE3A60"/>
    <w:rsid w:val="00FF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EBDF2"/>
  <w15:docId w15:val="{D9F070AF-C1A8-41E1-B876-329729EA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spacing w:after="160" w:line="252" w:lineRule="auto"/>
    </w:pPr>
    <w:rPr>
      <w:rFonts w:ascii="Calibri" w:eastAsia="Calibri" w:hAnsi="Calibri" w:cs="Calibri"/>
      <w:kern w:val="2"/>
      <w:sz w:val="22"/>
      <w:szCs w:val="22"/>
      <w:lang w:val="en-US" w:bidi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4">
    <w:name w:val="Шрифт абзацу за замовчуванням"/>
    <w:qFormat/>
  </w:style>
  <w:style w:type="character" w:customStyle="1" w:styleId="a5">
    <w:name w:val="Знак примітки"/>
    <w:qFormat/>
    <w:rPr>
      <w:sz w:val="16"/>
      <w:szCs w:val="16"/>
    </w:rPr>
  </w:style>
  <w:style w:type="character" w:customStyle="1" w:styleId="a6">
    <w:name w:val="Текст примітки Знак"/>
    <w:qFormat/>
    <w:rPr>
      <w:sz w:val="20"/>
      <w:szCs w:val="20"/>
    </w:rPr>
  </w:style>
  <w:style w:type="character" w:customStyle="1" w:styleId="a7">
    <w:name w:val="Тема примітки Знак"/>
    <w:qFormat/>
    <w:rPr>
      <w:b/>
      <w:bCs/>
      <w:sz w:val="20"/>
      <w:szCs w:val="20"/>
    </w:rPr>
  </w:style>
  <w:style w:type="character" w:customStyle="1" w:styleId="a8">
    <w:name w:val="Текст у виносці Знак"/>
    <w:qFormat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Pr>
      <w:rFonts w:ascii="Times New Roman" w:hAnsi="Times New Roman" w:cs="Times New Roman"/>
    </w:rPr>
  </w:style>
  <w:style w:type="character" w:customStyle="1" w:styleId="rvts23">
    <w:name w:val="rvts23"/>
    <w:qFormat/>
    <w:rPr>
      <w:rFonts w:ascii="Times New Roman" w:hAnsi="Times New Roman" w:cs="Times New Roman"/>
    </w:rPr>
  </w:style>
  <w:style w:type="character" w:customStyle="1" w:styleId="aa">
    <w:name w:val="Основной текст_"/>
    <w:qFormat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Гіперпосилання"/>
    <w:rPr>
      <w:color w:val="0563C1"/>
      <w:u w:val="single"/>
    </w:rPr>
  </w:style>
  <w:style w:type="character" w:customStyle="1" w:styleId="1">
    <w:name w:val="Незакрита згадка1"/>
    <w:qFormat/>
    <w:rPr>
      <w:color w:val="808080"/>
      <w:shd w:val="clear" w:color="auto" w:fill="E6E6E6"/>
    </w:rPr>
  </w:style>
  <w:style w:type="character" w:customStyle="1" w:styleId="ac">
    <w:name w:val="Нижній колонтитул Знак"/>
    <w:qFormat/>
    <w:rPr>
      <w:lang w:val="uk-UA"/>
    </w:rPr>
  </w:style>
  <w:style w:type="character" w:customStyle="1" w:styleId="ad">
    <w:name w:val="Відвідане гіперпосилання"/>
    <w:rPr>
      <w:color w:val="954F72"/>
      <w:u w:val="single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Pr>
      <w:rFonts w:ascii="Consolas" w:hAnsi="Consolas" w:cs="Consolas"/>
      <w:sz w:val="20"/>
      <w:szCs w:val="20"/>
    </w:rPr>
  </w:style>
  <w:style w:type="character" w:customStyle="1" w:styleId="31">
    <w:name w:val="Основний текст з відступом 3 Знак"/>
    <w:qFormat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e">
    <w:name w:val="Верхній колонтитул Знак"/>
    <w:basedOn w:val="a4"/>
    <w:qFormat/>
  </w:style>
  <w:style w:type="paragraph" w:styleId="af">
    <w:name w:val="Title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0">
    <w:name w:val="List"/>
    <w:basedOn w:val="a0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2">
    <w:name w:val="Покажчик"/>
    <w:basedOn w:val="a"/>
    <w:qFormat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af3">
    <w:name w:val="Текст примітки"/>
    <w:basedOn w:val="a"/>
    <w:qFormat/>
    <w:pPr>
      <w:spacing w:line="240" w:lineRule="auto"/>
    </w:pPr>
    <w:rPr>
      <w:sz w:val="20"/>
      <w:szCs w:val="20"/>
      <w:lang w:val="uk-UA"/>
    </w:rPr>
  </w:style>
  <w:style w:type="paragraph" w:customStyle="1" w:styleId="af4">
    <w:name w:val="Тема примітки"/>
    <w:basedOn w:val="af3"/>
    <w:next w:val="af3"/>
    <w:qFormat/>
    <w:rPr>
      <w:b/>
      <w:bCs/>
    </w:rPr>
  </w:style>
  <w:style w:type="paragraph" w:customStyle="1" w:styleId="af5">
    <w:name w:val="Текст у виносці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6">
    <w:name w:val="Нормальний текст"/>
    <w:basedOn w:val="a"/>
    <w:qFormat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 w:cs="Times New Roman"/>
      <w:sz w:val="23"/>
      <w:szCs w:val="23"/>
      <w:lang w:val="uk-UA"/>
    </w:rPr>
  </w:style>
  <w:style w:type="paragraph" w:customStyle="1" w:styleId="af7">
    <w:name w:val="Абзац списку"/>
    <w:basedOn w:val="a"/>
    <w:qFormat/>
    <w:pPr>
      <w:spacing w:after="200" w:line="276" w:lineRule="auto"/>
      <w:ind w:left="720"/>
      <w:contextualSpacing/>
    </w:pPr>
    <w:rPr>
      <w:lang w:val="uk-UA"/>
    </w:rPr>
  </w:style>
  <w:style w:type="paragraph" w:customStyle="1" w:styleId="af8">
    <w:name w:val="Верхній і нижній колонтитули"/>
    <w:basedOn w:val="a"/>
    <w:qFormat/>
  </w:style>
  <w:style w:type="paragraph" w:styleId="af9">
    <w:name w:val="footer"/>
    <w:basedOn w:val="a"/>
    <w:pPr>
      <w:spacing w:after="0" w:line="240" w:lineRule="auto"/>
    </w:pPr>
    <w:rPr>
      <w:sz w:val="20"/>
      <w:szCs w:val="20"/>
      <w:lang w:val="uk-UA"/>
    </w:rPr>
  </w:style>
  <w:style w:type="paragraph" w:customStyle="1" w:styleId="afa">
    <w:name w:val="Без інтервалів"/>
    <w:qFormat/>
    <w:pPr>
      <w:overflowPunct w:val="0"/>
    </w:pPr>
    <w:rPr>
      <w:rFonts w:ascii="Calibri" w:eastAsia="Calibri" w:hAnsi="Calibri" w:cs="Calibri"/>
      <w:kern w:val="2"/>
      <w:sz w:val="22"/>
      <w:szCs w:val="22"/>
      <w:lang w:val="en-US" w:bidi="ar-SA"/>
    </w:rPr>
  </w:style>
  <w:style w:type="paragraph" w:customStyle="1" w:styleId="afb">
    <w:name w:val="Звичайний (веб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0">
    <w:name w:val="Стандартний HTML"/>
    <w:basedOn w:val="a"/>
    <w:qFormat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2">
    <w:name w:val="Основний текст з відступом 3"/>
    <w:basedOn w:val="a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styleId="af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d">
    <w:name w:val="Вміст таблиці"/>
    <w:basedOn w:val="a"/>
    <w:qFormat/>
    <w:pPr>
      <w:suppressLineNumbers/>
    </w:pPr>
  </w:style>
  <w:style w:type="paragraph" w:customStyle="1" w:styleId="afe">
    <w:name w:val="Заголовок таблиці"/>
    <w:basedOn w:val="afd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4735</Words>
  <Characters>2700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Користувач</cp:lastModifiedBy>
  <cp:revision>9</cp:revision>
  <cp:lastPrinted>1995-11-21T17:41:00Z</cp:lastPrinted>
  <dcterms:created xsi:type="dcterms:W3CDTF">1995-11-21T17:41:00Z</dcterms:created>
  <dcterms:modified xsi:type="dcterms:W3CDTF">2021-12-18T18:41:00Z</dcterms:modified>
  <dc:language>uk-UA</dc:language>
</cp:coreProperties>
</file>