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lineRule="auto" w:line="240" w:before="0" w:after="0"/>
        <w:jc w:val="center"/>
        <w:rPr/>
      </w:pPr>
      <w:r>
        <w:rPr>
          <w:rFonts w:eastAsia="Times New Roman" w:cs="Times New Roman" w:ascii="Times New Roman" w:hAnsi="Times New Roman"/>
          <w:b w:val="false"/>
          <w:bCs w:val="false"/>
          <w:color w:val="000000"/>
          <w:sz w:val="24"/>
          <w:szCs w:val="24"/>
          <w:lang w:val="uk-UA"/>
        </w:rPr>
        <w:t xml:space="preserve">                                                                                                                        </w:t>
      </w:r>
      <w:r>
        <w:rPr>
          <w:rFonts w:cs="Times New Roman" w:ascii="Times New Roman" w:hAnsi="Times New Roman"/>
          <w:b w:val="false"/>
          <w:bCs w:val="false"/>
          <w:color w:val="000000"/>
          <w:sz w:val="24"/>
          <w:szCs w:val="24"/>
          <w:lang w:val="uk-UA"/>
        </w:rPr>
        <w:t>Додаток до протоколу</w:t>
      </w:r>
    </w:p>
    <w:p>
      <w:pPr>
        <w:pStyle w:val="Normal"/>
        <w:spacing w:lineRule="auto" w:line="240" w:before="0" w:after="0"/>
        <w:ind w:left="0" w:right="0" w:firstLine="851"/>
        <w:jc w:val="right"/>
        <w:rPr/>
      </w:pPr>
      <w:r>
        <w:rPr>
          <w:rFonts w:eastAsia="Times New Roman" w:cs="Times New Roman" w:ascii="Times New Roman" w:hAnsi="Times New Roman"/>
          <w:b w:val="false"/>
          <w:bCs w:val="false"/>
          <w:color w:val="000000"/>
          <w:sz w:val="24"/>
          <w:szCs w:val="24"/>
          <w:lang w:val="uk-UA"/>
        </w:rPr>
        <w:t xml:space="preserve">  </w:t>
      </w:r>
      <w:r>
        <w:rPr>
          <w:rFonts w:cs="Times New Roman" w:ascii="Times New Roman" w:hAnsi="Times New Roman"/>
          <w:b w:val="false"/>
          <w:bCs w:val="false"/>
          <w:color w:val="000000"/>
          <w:sz w:val="24"/>
          <w:szCs w:val="24"/>
          <w:lang w:val="uk-UA"/>
        </w:rPr>
        <w:t>від__________№_____</w:t>
      </w:r>
    </w:p>
    <w:p>
      <w:pPr>
        <w:pStyle w:val="Normal"/>
        <w:spacing w:lineRule="auto" w:line="240" w:before="0" w:after="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r>
    </w:p>
    <w:p>
      <w:pPr>
        <w:pStyle w:val="Normal"/>
        <w:spacing w:lineRule="auto" w:line="240" w:before="0" w:after="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t>Форма паспорту оцінки регуляторного акта</w:t>
      </w:r>
    </w:p>
    <w:p>
      <w:pPr>
        <w:pStyle w:val="Normal"/>
        <w:spacing w:lineRule="auto" w:line="240" w:before="0" w:after="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r>
    </w:p>
    <w:tbl>
      <w:tblPr>
        <w:tblW w:w="10155" w:type="dxa"/>
        <w:jc w:val="left"/>
        <w:tblInd w:w="-221" w:type="dxa"/>
        <w:tblLayout w:type="fixed"/>
        <w:tblCellMar>
          <w:top w:w="0" w:type="dxa"/>
          <w:left w:w="108" w:type="dxa"/>
          <w:bottom w:w="0" w:type="dxa"/>
          <w:right w:w="108" w:type="dxa"/>
        </w:tblCellMar>
      </w:tblPr>
      <w:tblGrid>
        <w:gridCol w:w="569"/>
        <w:gridCol w:w="5115"/>
        <w:gridCol w:w="4471"/>
      </w:tblGrid>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center"/>
              <w:rPr>
                <w:rFonts w:ascii="Times New Roman" w:hAnsi="Times New Roman" w:cs="Times New Roman"/>
                <w:color w:val="000000"/>
                <w:sz w:val="24"/>
                <w:szCs w:val="24"/>
                <w:u w:val="single"/>
                <w:lang w:val="uk-UA"/>
              </w:rPr>
            </w:pPr>
            <w:r>
              <w:rPr>
                <w:rFonts w:cs="Times New Roman" w:ascii="Times New Roman" w:hAnsi="Times New Roman"/>
                <w:color w:val="000000"/>
                <w:sz w:val="24"/>
                <w:szCs w:val="24"/>
                <w:u w:val="single"/>
                <w:lang w:val="uk-UA"/>
              </w:rPr>
              <w:t>Найменування органу державної влади або місцевого самоврядування</w:t>
            </w:r>
          </w:p>
          <w:p>
            <w:pPr>
              <w:pStyle w:val="Normal"/>
              <w:widowControl w:val="false"/>
              <w:spacing w:lineRule="auto" w:line="240" w:before="0" w:after="0"/>
              <w:ind w:left="0" w:right="0" w:firstLine="851"/>
              <w:jc w:val="center"/>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Луцька міська рада</w:t>
            </w:r>
          </w:p>
          <w:p>
            <w:pPr>
              <w:pStyle w:val="Normal"/>
              <w:widowControl w:val="false"/>
              <w:spacing w:lineRule="auto" w:line="240" w:before="0" w:after="0"/>
              <w:ind w:left="0" w:right="0" w:firstLine="851"/>
              <w:jc w:val="center"/>
              <w:rPr>
                <w:color w:val="000000"/>
              </w:rPr>
            </w:pPr>
            <w:r>
              <w:rPr>
                <w:color w:val="000000"/>
              </w:rPr>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color w:val="000000"/>
                <w:sz w:val="24"/>
                <w:szCs w:val="24"/>
                <w:u w:val="single"/>
                <w:lang w:val="uk-UA"/>
              </w:rPr>
            </w:pPr>
            <w:r>
              <w:rPr>
                <w:rFonts w:cs="Times New Roman" w:ascii="Times New Roman" w:hAnsi="Times New Roman"/>
                <w:color w:val="000000"/>
                <w:sz w:val="24"/>
                <w:szCs w:val="24"/>
                <w:u w:val="single"/>
                <w:lang w:val="uk-UA"/>
              </w:rPr>
              <w:t>Назва, дата прийняття та номер акта</w:t>
            </w:r>
          </w:p>
          <w:p>
            <w:pPr>
              <w:pStyle w:val="Normal"/>
              <w:widowControl w:val="false"/>
              <w:spacing w:lineRule="auto" w:line="240" w:before="0" w:after="0"/>
              <w:ind w:left="0" w:right="0" w:firstLine="851"/>
              <w:jc w:val="center"/>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Рішення виконавчого комітету</w:t>
            </w:r>
          </w:p>
          <w:p>
            <w:pPr>
              <w:pStyle w:val="Normal"/>
              <w:widowControl w:val="false"/>
              <w:spacing w:lineRule="auto" w:line="240" w:before="0" w:after="0"/>
              <w:ind w:left="0" w:right="0" w:firstLine="851"/>
              <w:jc w:val="center"/>
              <w:rPr/>
            </w:pPr>
            <w:r>
              <w:rPr>
                <w:rFonts w:cs="Times New Roman" w:ascii="Times New Roman" w:hAnsi="Times New Roman"/>
                <w:b/>
                <w:bCs/>
                <w:color w:val="000000"/>
                <w:sz w:val="24"/>
                <w:szCs w:val="24"/>
                <w:lang w:val="uk-UA"/>
              </w:rPr>
              <w:t>“</w:t>
            </w:r>
            <w:r>
              <w:rPr>
                <w:rFonts w:cs="Times New Roman" w:ascii="Times New Roman" w:hAnsi="Times New Roman"/>
                <w:b/>
                <w:bCs/>
                <w:color w:val="000000"/>
                <w:sz w:val="24"/>
                <w:szCs w:val="24"/>
                <w:lang w:val="uk-UA"/>
              </w:rPr>
              <w:t>Про вдосконалення організації та проведення конкурсів на право оренди нежитлових приміщень територіальної громади міста Луцька” від 03.12.2014 № 711-1</w:t>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Чи є акт регуляторним</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є акт обов’язковими для виконання двома та більше суб’єктами господарювання?</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w:t>
            </w:r>
          </w:p>
          <w:p>
            <w:pPr>
              <w:pStyle w:val="Normal"/>
              <w:widowControl w:val="false"/>
              <w:spacing w:lineRule="auto" w:line="240" w:before="0" w:after="0"/>
              <w:ind w:left="0" w:right="0" w:firstLine="851"/>
              <w:jc w:val="both"/>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0"/>
                <w:szCs w:val="20"/>
                <w:lang w:val="uk-UA"/>
              </w:rPr>
              <w:t xml:space="preserve"> </w:t>
            </w:r>
            <w:r>
              <w:rPr>
                <w:rFonts w:cs="Times New Roman" w:ascii="Times New Roman" w:hAnsi="Times New Roman"/>
                <w:color w:val="000000"/>
                <w:sz w:val="24"/>
                <w:szCs w:val="24"/>
                <w:lang w:val="uk-UA"/>
              </w:rPr>
              <w:t xml:space="preserve">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встановлює акт обов’язкові для виконання вимоги (наприклад, вимірювані параметри, вимоги щодо кваліфікаційного рівня, вимоги щодо зовнішнього вигляду тощо)?</w:t>
            </w:r>
          </w:p>
          <w:p>
            <w:pPr>
              <w:pStyle w:val="Normal"/>
              <w:widowControl w:val="false"/>
              <w:spacing w:lineRule="auto" w:line="240" w:before="0" w:after="0"/>
              <w:ind w:left="851" w:right="0" w:hanging="0"/>
              <w:contextualSpacing/>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Ні__</w:t>
            </w:r>
          </w:p>
          <w:p>
            <w:pPr>
              <w:pStyle w:val="Normal"/>
              <w:widowControl w:val="false"/>
              <w:spacing w:lineRule="auto" w:line="240" w:before="0" w:after="0"/>
              <w:ind w:left="0" w:right="0" w:firstLine="851"/>
              <w:jc w:val="both"/>
              <w:rPr/>
            </w:pPr>
            <w:r>
              <w:rPr>
                <w:rFonts w:cs="Times New Roman" w:ascii="Times New Roman" w:hAnsi="Times New Roman"/>
                <w:b/>
                <w:bCs/>
                <w:color w:val="000000"/>
                <w:sz w:val="20"/>
                <w:szCs w:val="20"/>
                <w:lang w:val="uk-UA"/>
              </w:rPr>
              <w:t>Так +</w:t>
            </w:r>
            <w:r>
              <w:rPr>
                <w:rFonts w:cs="Times New Roman" w:ascii="Times New Roman" w:hAnsi="Times New Roman"/>
                <w:color w:val="000000"/>
                <w:sz w:val="24"/>
                <w:szCs w:val="24"/>
                <w:lang w:val="uk-UA"/>
              </w:rPr>
              <w:t>(пояснення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визначає акт механізми забезпечення дотримання вимог (обов’язок отримання дозволу, погодження або отримання іншої адміністративної послуги, надання підтверджуючого документу, проведення експертизи, здійснення заходів контролю, подання звітності, тощо)?</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Ні___</w:t>
            </w:r>
          </w:p>
          <w:p>
            <w:pPr>
              <w:pStyle w:val="Normal"/>
              <w:widowControl w:val="false"/>
              <w:spacing w:lineRule="auto" w:line="240" w:before="0" w:after="0"/>
              <w:ind w:left="0" w:right="0" w:firstLine="851"/>
              <w:jc w:val="both"/>
              <w:rPr/>
            </w:pPr>
            <w:r>
              <w:rPr>
                <w:rFonts w:cs="Times New Roman" w:ascii="Times New Roman" w:hAnsi="Times New Roman"/>
                <w:b/>
                <w:bCs/>
                <w:color w:val="000000"/>
                <w:sz w:val="20"/>
                <w:szCs w:val="20"/>
                <w:lang w:val="uk-UA"/>
              </w:rPr>
              <w:t>Так +</w:t>
            </w:r>
            <w:r>
              <w:rPr>
                <w:rFonts w:cs="Times New Roman" w:ascii="Times New Roman" w:hAnsi="Times New Roman"/>
                <w:b/>
                <w:bCs/>
                <w:color w:val="000000"/>
                <w:sz w:val="24"/>
                <w:szCs w:val="24"/>
                <w:lang w:val="uk-UA"/>
              </w:rPr>
              <w:t xml:space="preserve"> (</w:t>
            </w:r>
            <w:r>
              <w:rPr>
                <w:rFonts w:cs="Times New Roman" w:ascii="Times New Roman" w:hAnsi="Times New Roman"/>
                <w:b w:val="false"/>
                <w:bCs w:val="false"/>
                <w:color w:val="000000"/>
                <w:sz w:val="24"/>
                <w:szCs w:val="24"/>
                <w:lang w:val="uk-UA"/>
              </w:rPr>
              <w:t>пояснення наводиться у обґрунтуванні розділу «Рекомендації»)</w:t>
            </w:r>
          </w:p>
        </w:tc>
      </w:tr>
      <w:tr>
        <w:trPr>
          <w:trHeight w:val="973" w:hRule="atLeast"/>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 xml:space="preserve">         </w:t>
            </w:r>
            <w:r>
              <w:rPr>
                <w:rFonts w:cs="Times New Roman" w:ascii="Times New Roman" w:hAnsi="Times New Roman"/>
                <w:color w:val="000000"/>
                <w:sz w:val="24"/>
                <w:szCs w:val="24"/>
                <w:lang w:val="uk-UA"/>
              </w:rPr>
              <w:t>Висновок:</w:t>
            </w:r>
          </w:p>
          <w:p>
            <w:pPr>
              <w:pStyle w:val="Normal"/>
              <w:widowControl w:val="false"/>
              <w:shd w:val="clear" w:fill="auto"/>
              <w:suppressAutoHyphens w:val="true"/>
              <w:bidi w:val="0"/>
              <w:spacing w:lineRule="auto" w:line="240" w:before="0" w:after="0"/>
              <w:ind w:left="0" w:right="0" w:firstLine="567"/>
              <w:jc w:val="both"/>
              <w:rPr>
                <w:rFonts w:ascii="Times New Roman" w:hAnsi="Times New Roman" w:cs="Times New Roman"/>
                <w:b/>
                <w:b/>
                <w:bCs/>
                <w:color w:val="000000"/>
                <w:sz w:val="24"/>
                <w:szCs w:val="24"/>
              </w:rPr>
            </w:pPr>
            <w:r>
              <w:rPr>
                <w:rFonts w:cs="Times New Roman" w:ascii="Times New Roman" w:hAnsi="Times New Roman"/>
                <w:b/>
                <w:bCs/>
                <w:color w:val="000000"/>
                <w:sz w:val="24"/>
                <w:szCs w:val="24"/>
              </w:rPr>
              <w:t>- акт є регуляторним;</w:t>
            </w:r>
          </w:p>
          <w:p>
            <w:pPr>
              <w:pStyle w:val="Normal"/>
              <w:widowControl w:val="false"/>
              <w:shd w:val="clear" w:fill="auto"/>
              <w:suppressAutoHyphens w:val="true"/>
              <w:bidi w:val="0"/>
              <w:spacing w:lineRule="auto" w:line="240" w:before="0" w:after="0"/>
              <w:ind w:left="0" w:right="0" w:firstLine="567"/>
              <w:jc w:val="both"/>
              <w:rPr/>
            </w:pPr>
            <w:r>
              <w:rPr>
                <w:rFonts w:cs="Times New Roman" w:ascii="Times New Roman" w:hAnsi="Times New Roman"/>
                <w:b/>
                <w:bCs/>
                <w:color w:val="000000"/>
                <w:sz w:val="24"/>
                <w:szCs w:val="24"/>
              </w:rPr>
              <w:t>- </w:t>
            </w:r>
            <w:r>
              <w:rPr>
                <w:rFonts w:cs="Times New Roman" w:ascii="Times New Roman" w:hAnsi="Times New Roman"/>
                <w:color w:val="000000"/>
                <w:sz w:val="24"/>
                <w:szCs w:val="24"/>
              </w:rPr>
              <w:t>акт не є регуляторним та не потребує подальшого аналізу.</w:t>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iCs/>
                <w:color w:val="000000"/>
                <w:sz w:val="24"/>
                <w:szCs w:val="24"/>
                <w:lang w:val="uk-UA"/>
              </w:rPr>
            </w:pPr>
            <w:r>
              <w:rPr>
                <w:rFonts w:cs="Times New Roman" w:ascii="Times New Roman" w:hAnsi="Times New Roman"/>
                <w:b/>
                <w:iCs/>
                <w:color w:val="000000"/>
                <w:sz w:val="24"/>
                <w:szCs w:val="24"/>
                <w:lang w:val="uk-UA"/>
              </w:rPr>
              <w:t>Відповідність вимогам актів вищої юридичної сили, а також компетенції відповідного органу</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napToGrid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відповідає акт вимогам актів вищої юридичної сили?</w:t>
            </w:r>
          </w:p>
          <w:p>
            <w:pPr>
              <w:pStyle w:val="Normal"/>
              <w:widowControl w:val="false"/>
              <w:spacing w:lineRule="auto" w:line="240" w:before="0" w:after="0"/>
              <w:ind w:left="36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pPr>
            <w:r>
              <w:rPr>
                <w:rFonts w:cs="Times New Roman" w:ascii="Times New Roman" w:hAnsi="Times New Roman"/>
                <w:b/>
                <w:bCs/>
                <w:color w:val="000000"/>
                <w:sz w:val="24"/>
                <w:szCs w:val="24"/>
                <w:lang w:val="uk-UA"/>
              </w:rPr>
              <w:t>Т</w:t>
            </w:r>
            <w:r>
              <w:rPr>
                <w:rFonts w:cs="Times New Roman" w:ascii="Times New Roman" w:hAnsi="Times New Roman"/>
                <w:b/>
                <w:bCs/>
                <w:color w:val="000000"/>
                <w:sz w:val="20"/>
                <w:szCs w:val="20"/>
                <w:lang w:val="uk-UA"/>
              </w:rPr>
              <w:t>ак +</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Ні___</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tabs>
                <w:tab w:val="clear" w:pos="709"/>
                <w:tab w:val="right" w:pos="252" w:leader="none"/>
                <w:tab w:val="center" w:pos="551" w:leader="none"/>
              </w:tabs>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був прийнятий в межах компетенції органу?</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Так +</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хоча б одному із зазначених критеріїв подальші розділи паспорту не заповнюються (за винятком розділу «Рекомендації» у якому наводиться відповідне обгрунтування).</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були дотримані вимоги законодавства щодо процедури прийняття регуляторних актів?</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t>Так +</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w:t>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t>У разі, якщо виявлено невідповідність цьому критерію, продовжується заповнення наступних розділів паспорту, а у розділі «Рекомендації», за умови доцільності даного регулювання, зазначається про необхідність визнати цей акт таким, що потребує втрати чинності з одночасним розробленням нового регулювання з дотриманням всіх необхідних регуляторних процедур.</w:t>
            </w:r>
          </w:p>
          <w:p>
            <w:pPr>
              <w:pStyle w:val="Normal"/>
              <w:widowControl w:val="false"/>
              <w:spacing w:lineRule="auto" w:line="240" w:before="0" w:after="0"/>
              <w:ind w:left="0" w:right="0" w:firstLine="851"/>
              <w:rPr>
                <w:rFonts w:ascii="Times New Roman" w:hAnsi="Times New Roman" w:cs="Times New Roman"/>
                <w:i/>
                <w:i/>
                <w:iCs/>
                <w:color w:val="000000"/>
                <w:sz w:val="24"/>
                <w:szCs w:val="24"/>
                <w:lang w:val="uk-UA"/>
              </w:rPr>
            </w:pPr>
            <w:r>
              <w:rPr>
                <w:rFonts w:cs="Times New Roman" w:ascii="Times New Roman" w:hAnsi="Times New Roman"/>
                <w:i/>
                <w:iCs/>
                <w:color w:val="000000"/>
                <w:sz w:val="24"/>
                <w:szCs w:val="24"/>
                <w:lang w:val="uk-UA"/>
              </w:rPr>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Визначення мети (цілі) акта органу та проблеми, яку цей акт мав би вирішувати</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Існуюче формулювання мети акта.</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Формулювання відсутнє ___</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(робиться позначка)</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або наводиться існуюче формулювання</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rHeight w:val="862" w:hRule="atLeast"/>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Визначення мети акта за суб’єктивними чинниками.</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tab/>
              <w:tab/>
              <w:t>3</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Визначення проблем, які акт повинен був би вирішувати.</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Оцінка діючого акта</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Хто є суб’єктами цього регулювання, скільки цих суб’єктів приблизно є?</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2.</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Якими є обов’язкові вимоги що повинні виконуватися?</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3.</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Які регуляторні інструменти використовуються (отримання дозволу, подача звітності, проведення заході контролю тощо)?</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4.</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14"/>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Приблизна оцінка вартості виконання всіх вимог для одного суб’єкта регулювання.</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5.</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Скільки коштує адміністрування цього регулювання органом влади або місцевого самоврядування (затрати робочого часу на видачу дозволів, погодження та перевірки)?</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6.</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повністю забороняє, обмежує через квоти, зонування, дозвільну систему високі тарифи певні сектори чи види підприємницької діяльності (наприклад мобільні кав’ярні, мобільні заклади харчування, квартири де надаються послуги тимчасового розміщення, послуги гідів, перевізників, переносну торгівлю, тощо)?</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7.</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вимогу обов’язкової послуги що повинна надаватись окремими суб’єктами господарювання (комунальними підприємствами, установами тощо) у сферах, де такі послуги можуть надаватись приватними підприємствами в умовах вільного ринку?</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8.</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вимоги які настроєні під діючі підприємства у тій чи іншій сферах, чи дискримінує підприємства за розміром (строку діяльності кількість працівників, використання комунальної послуги, довготривалі договори оренди, розмір матеріальних активів тощо)?</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9.</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чи практика його виконання обмежує конкуренцію іншим методом, не описаним вище?</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10.</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визначає процедуру за якою індивідуальні рішення що стосуються суб’єктів господарювання (про видачу дозволу, погодження, іншого документу) приймається колегіально?</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11.</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встановлює процедуру, за якою індивідуальні рішення що стосуються суб’єктів господарювання приймаються посадовими особами без чіткого та вичерпного переліку критеріїв для прийняття таких рішень (можливість прийняття дискретних волюнтаристських рішень)?</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12.</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делегує виконання регуляторної функції чи її частини (включно з наданням обов’язкових послуг) певному суб’єкту господарювання (комунальному підприємству, установі, тощо)?</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13.</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вимагає придбання обладнання товарів чи послуг певного зразка чи у певних суб’єктів господарювання?</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14.</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Чи акт чи практика його призводить до збільшення корупційних можливостей іншими методами не описаним вище?</w:t>
            </w:r>
          </w:p>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Ні ____</w:t>
            </w:r>
          </w:p>
          <w:p>
            <w:pPr>
              <w:pStyle w:val="Normal"/>
              <w:widowControl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Так ___ (пояснення наводиться у обґрунтуванні розділу «Рекомендації»)</w:t>
            </w:r>
          </w:p>
        </w:tc>
      </w:tr>
      <w:tr>
        <w:trPr/>
        <w:tc>
          <w:tcPr>
            <w:tcW w:w="569"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ind w:left="0" w:right="0" w:hanging="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15.</w:t>
            </w:r>
          </w:p>
        </w:tc>
        <w:tc>
          <w:tcPr>
            <w:tcW w:w="5115" w:type="dxa"/>
            <w:tcBorders>
              <w:top w:val="single" w:sz="4" w:space="0" w:color="000000"/>
              <w:left w:val="single" w:sz="4" w:space="0" w:color="000000"/>
              <w:bottom w:val="single" w:sz="4" w:space="0" w:color="000000"/>
            </w:tcBorders>
            <w:shd w:fill="auto" w:val="clear"/>
          </w:tcPr>
          <w:p>
            <w:pPr>
              <w:pStyle w:val="Normal"/>
              <w:widowControl w:val="false"/>
              <w:spacing w:lineRule="auto" w:line="240" w:before="0" w:after="0"/>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t>Співвідношення масштабу регуляторного режиму та рівня фактичного вирішення проблеми.</w:t>
            </w:r>
          </w:p>
        </w:tc>
        <w:tc>
          <w:tcPr>
            <w:tcW w:w="4471"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both"/>
              <w:rPr>
                <w:rFonts w:ascii="Times New Roman" w:hAnsi="Times New Roman" w:cs="Times New Roman"/>
                <w:color w:val="000000"/>
                <w:sz w:val="24"/>
                <w:szCs w:val="24"/>
                <w:lang w:val="uk-UA"/>
              </w:rPr>
            </w:pPr>
            <w:r>
              <w:rPr>
                <w:rFonts w:cs="Times New Roman" w:ascii="Times New Roman" w:hAnsi="Times New Roman"/>
                <w:color w:val="000000"/>
                <w:sz w:val="24"/>
                <w:szCs w:val="24"/>
                <w:lang w:val="uk-UA"/>
              </w:rPr>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tbl>
            <w:tblPr>
              <w:tblW w:w="9856" w:type="dxa"/>
              <w:jc w:val="left"/>
              <w:tblInd w:w="0" w:type="dxa"/>
              <w:tblLayout w:type="fixed"/>
              <w:tblCellMar>
                <w:top w:w="0" w:type="dxa"/>
                <w:left w:w="108" w:type="dxa"/>
                <w:bottom w:w="0" w:type="dxa"/>
                <w:right w:w="108" w:type="dxa"/>
              </w:tblCellMar>
            </w:tblPr>
            <w:tblGrid>
              <w:gridCol w:w="9856"/>
            </w:tblGrid>
            <w:tr>
              <w:trPr/>
              <w:tc>
                <w:tcPr>
                  <w:tcW w:w="9856"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napToGrid w:val="false"/>
                    <w:spacing w:lineRule="auto" w:line="240" w:before="0" w:after="0"/>
                    <w:ind w:left="0" w:right="0" w:firstLine="851"/>
                    <w:jc w:val="center"/>
                    <w:rPr>
                      <w:rFonts w:ascii="Times New Roman" w:hAnsi="Times New Roman" w:cs="Times New Roman"/>
                      <w:b/>
                      <w:b/>
                      <w:color w:val="000000"/>
                      <w:sz w:val="24"/>
                      <w:szCs w:val="24"/>
                      <w:lang w:val="uk-UA"/>
                    </w:rPr>
                  </w:pPr>
                  <w:r>
                    <w:rPr>
                      <w:rFonts w:cs="Times New Roman" w:ascii="Times New Roman" w:hAnsi="Times New Roman"/>
                      <w:b/>
                      <w:color w:val="000000"/>
                      <w:sz w:val="24"/>
                      <w:szCs w:val="24"/>
                      <w:lang w:val="uk-UA"/>
                    </w:rPr>
                    <w:t>Рекомендації</w:t>
                  </w:r>
                </w:p>
              </w:tc>
            </w:tr>
          </w:tbl>
          <w:p>
            <w:pPr>
              <w:pStyle w:val="Style35"/>
              <w:widowControl w:val="false"/>
              <w:shd w:val="clear" w:fill="auto"/>
              <w:suppressAutoHyphens w:val="true"/>
              <w:bidi w:val="0"/>
              <w:spacing w:lineRule="auto" w:line="240" w:before="0" w:after="0"/>
              <w:ind w:left="0" w:right="0" w:firstLine="567"/>
              <w:contextualSpacing/>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Залишити акт без змін.</w:t>
            </w:r>
          </w:p>
          <w:p>
            <w:pPr>
              <w:pStyle w:val="Style35"/>
              <w:widowControl w:val="false"/>
              <w:shd w:val="clear" w:fill="auto"/>
              <w:suppressAutoHyphens w:val="true"/>
              <w:bidi w:val="0"/>
              <w:spacing w:lineRule="auto" w:line="240" w:before="0" w:after="0"/>
              <w:ind w:left="0" w:right="0" w:firstLine="567"/>
              <w:contextualSpacing/>
              <w:rPr/>
            </w:pPr>
            <w:r>
              <w:rPr>
                <w:rFonts w:cs="Times New Roman" w:ascii="Times New Roman" w:hAnsi="Times New Roman"/>
                <w:b w:val="false"/>
                <w:bCs w:val="false"/>
                <w:iCs/>
                <w:color w:val="000000"/>
                <w:sz w:val="24"/>
                <w:szCs w:val="24"/>
              </w:rPr>
              <w:t>•</w:t>
            </w:r>
            <w:r>
              <w:rPr>
                <w:rFonts w:eastAsia="Times New Roman" w:cs="Times New Roman" w:ascii="Times New Roman" w:hAnsi="Times New Roman"/>
                <w:b w:val="false"/>
                <w:bCs w:val="false"/>
                <w:iCs/>
                <w:color w:val="000000"/>
                <w:sz w:val="24"/>
                <w:szCs w:val="24"/>
              </w:rPr>
              <w:t> </w:t>
            </w:r>
            <w:r>
              <w:rPr>
                <w:rFonts w:cs="Times New Roman" w:ascii="Times New Roman" w:hAnsi="Times New Roman"/>
                <w:b w:val="false"/>
                <w:bCs w:val="false"/>
                <w:iCs/>
                <w:color w:val="000000"/>
                <w:sz w:val="24"/>
                <w:szCs w:val="24"/>
              </w:rPr>
              <w:t>Внести зміни до діючого акта в частині приєднання сільських територій до міста.</w:t>
            </w:r>
          </w:p>
          <w:p>
            <w:pPr>
              <w:pStyle w:val="Style35"/>
              <w:widowControl w:val="false"/>
              <w:shd w:val="clear" w:fill="auto"/>
              <w:suppressAutoHyphens w:val="true"/>
              <w:bidi w:val="0"/>
              <w:spacing w:lineRule="auto" w:line="240" w:before="0" w:after="0"/>
              <w:ind w:left="0" w:right="0" w:firstLine="567"/>
              <w:contextualSpacing/>
              <w:rPr/>
            </w:pPr>
            <w:r>
              <w:rPr>
                <w:rFonts w:cs="Times New Roman" w:ascii="Times New Roman" w:hAnsi="Times New Roman"/>
                <w:iCs/>
                <w:color w:val="000000"/>
                <w:sz w:val="24"/>
                <w:szCs w:val="24"/>
              </w:rPr>
              <w:t>•</w:t>
            </w:r>
            <w:r>
              <w:rPr>
                <w:rFonts w:eastAsia="Times New Roman" w:cs="Times New Roman" w:ascii="Times New Roman" w:hAnsi="Times New Roman"/>
                <w:iCs/>
                <w:color w:val="000000"/>
                <w:sz w:val="24"/>
                <w:szCs w:val="24"/>
              </w:rPr>
              <w:t> </w:t>
            </w:r>
            <w:r>
              <w:rPr>
                <w:rFonts w:cs="Times New Roman" w:ascii="Times New Roman" w:hAnsi="Times New Roman"/>
                <w:iCs/>
                <w:color w:val="000000"/>
                <w:sz w:val="24"/>
                <w:szCs w:val="24"/>
              </w:rPr>
              <w:t>Визнати таким, що втратив чинність, діючий акт та прийняти новий із дотриманням вимогам законодавства щодо змісту акта та процедури його прийняття.</w:t>
            </w:r>
          </w:p>
          <w:p>
            <w:pPr>
              <w:pStyle w:val="Style35"/>
              <w:widowControl w:val="false"/>
              <w:shd w:val="clear" w:fill="auto"/>
              <w:suppressAutoHyphens w:val="true"/>
              <w:bidi w:val="0"/>
              <w:spacing w:lineRule="auto" w:line="240" w:before="0" w:after="0"/>
              <w:ind w:left="0" w:right="0" w:firstLine="567"/>
              <w:contextualSpacing/>
              <w:jc w:val="both"/>
              <w:rPr/>
            </w:pPr>
            <w:r>
              <w:rPr>
                <w:rFonts w:cs="Times New Roman" w:ascii="Times New Roman" w:hAnsi="Times New Roman"/>
                <w:b/>
                <w:bCs/>
                <w:iCs/>
                <w:color w:val="000000"/>
                <w:sz w:val="24"/>
                <w:szCs w:val="24"/>
              </w:rPr>
              <w:t>•</w:t>
            </w:r>
            <w:r>
              <w:rPr>
                <w:rFonts w:cs="Times New Roman" w:ascii="Times New Roman" w:hAnsi="Times New Roman"/>
                <w:b/>
                <w:bCs/>
                <w:iCs/>
                <w:color w:val="000000"/>
                <w:sz w:val="24"/>
                <w:szCs w:val="24"/>
              </w:rPr>
              <w:t>Повністю визнати таким, що втратив чинніс</w:t>
            </w:r>
            <w:r>
              <w:rPr>
                <w:rFonts w:cs="Times New Roman" w:ascii="Times New Roman" w:hAnsi="Times New Roman"/>
                <w:b/>
                <w:bCs/>
                <w:iCs/>
                <w:color w:val="000000"/>
                <w:sz w:val="24"/>
                <w:szCs w:val="24"/>
                <w:u w:val="none"/>
              </w:rPr>
              <w:t>ть.</w:t>
            </w:r>
          </w:p>
        </w:tc>
      </w:tr>
      <w:tr>
        <w:trPr/>
        <w:tc>
          <w:tcPr>
            <w:tcW w:w="10155"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spacing w:lineRule="auto" w:line="240" w:before="0" w:after="0"/>
              <w:ind w:left="0" w:right="0" w:hanging="0"/>
              <w:contextualSpacing/>
              <w:jc w:val="both"/>
              <w:rPr/>
            </w:pPr>
            <w:r>
              <w:rPr>
                <w:rFonts w:cs="Times New Roman" w:ascii="Times New Roman" w:hAnsi="Times New Roman"/>
                <w:b/>
                <w:bCs/>
                <w:color w:val="000000"/>
                <w:sz w:val="24"/>
                <w:szCs w:val="24"/>
                <w:lang w:val="uk-UA"/>
              </w:rPr>
              <w:t xml:space="preserve">      </w:t>
            </w:r>
            <w:r>
              <w:rPr>
                <w:rFonts w:cs="Times New Roman" w:ascii="Times New Roman" w:hAnsi="Times New Roman"/>
                <w:b/>
                <w:bCs/>
                <w:color w:val="000000"/>
                <w:sz w:val="24"/>
                <w:szCs w:val="24"/>
                <w:lang w:val="uk-UA"/>
              </w:rPr>
              <w:t xml:space="preserve">Обґрунтування: </w:t>
            </w:r>
            <w:r>
              <w:rPr>
                <w:rFonts w:cs="Times New Roman" w:ascii="Times New Roman" w:hAnsi="Times New Roman"/>
                <w:color w:val="000000"/>
                <w:sz w:val="24"/>
                <w:szCs w:val="24"/>
                <w:lang w:val="uk-UA"/>
              </w:rPr>
              <w:t>Норми акта поширюються на будь - яких суб’єктів господарювання,які є учасниками відносин, на регулювання яких спрямовано цей акт.</w:t>
            </w:r>
          </w:p>
          <w:p>
            <w:pPr>
              <w:pStyle w:val="Normal"/>
              <w:widowControl w:val="false"/>
              <w:shd w:val="clear" w:fill="auto"/>
              <w:suppressAutoHyphens w:val="true"/>
              <w:bidi w:val="0"/>
              <w:spacing w:lineRule="auto" w:line="240" w:before="0" w:after="160"/>
              <w:ind w:left="0" w:right="170" w:firstLine="567"/>
              <w:jc w:val="both"/>
              <w:rPr/>
            </w:pPr>
            <w:r>
              <w:rPr>
                <w:rFonts w:cs="Times New Roman" w:ascii="Times New Roman" w:hAnsi="Times New Roman"/>
                <w:color w:val="000000"/>
                <w:sz w:val="24"/>
                <w:szCs w:val="24"/>
                <w:lang w:val="uk-UA"/>
              </w:rPr>
              <w:t xml:space="preserve">Даним рішенням затверджено Положення, що врегульовує порядок проведення </w:t>
            </w:r>
            <w:r>
              <w:rPr>
                <w:rFonts w:cs="Times New Roman" w:ascii="Times New Roman" w:hAnsi="Times New Roman"/>
                <w:bCs/>
                <w:color w:val="000000"/>
                <w:sz w:val="24"/>
                <w:szCs w:val="24"/>
                <w:lang w:val="uk-UA"/>
              </w:rPr>
              <w:t xml:space="preserve">конкурсів на право оренди нежитлових приміщень територіальної громади міста та регулює відносини, пов’язані з укладенням договору оренди об’єктів комунальної власності територіальної громади  на конкурентних засадах. </w:t>
            </w:r>
            <w:r>
              <w:rPr>
                <w:rFonts w:cs="Times New Roman" w:ascii="Times New Roman" w:hAnsi="Times New Roman"/>
                <w:color w:val="000000"/>
                <w:sz w:val="24"/>
                <w:szCs w:val="24"/>
                <w:lang w:val="uk-UA"/>
              </w:rPr>
              <w:t>Вказане Положення розроблене відповідно до законів України “Про місцеве самоврядування в Україні”, “Про оренду державного та комунального майна”, Цивільного кодексу України, інших законодавчих актів, нормативно-правових актів Луцької міської ради.</w:t>
            </w:r>
          </w:p>
          <w:p>
            <w:pPr>
              <w:pStyle w:val="Normal"/>
              <w:widowControl w:val="false"/>
              <w:shd w:val="clear" w:fill="auto"/>
              <w:suppressAutoHyphens w:val="true"/>
              <w:bidi w:val="0"/>
              <w:spacing w:lineRule="auto" w:line="240" w:before="0" w:after="160"/>
              <w:ind w:left="0" w:right="170" w:firstLine="567"/>
              <w:jc w:val="both"/>
              <w:rPr/>
            </w:pPr>
            <w:r>
              <w:rPr>
                <w:rFonts w:cs="Times New Roman" w:ascii="Times New Roman" w:hAnsi="Times New Roman"/>
                <w:color w:val="000000"/>
                <w:sz w:val="24"/>
                <w:szCs w:val="24"/>
                <w:lang w:val="uk-UA"/>
              </w:rPr>
              <w:t xml:space="preserve">Відповідно до Закону України «Про оренду державного та комунального майна» Положення, що врегульовує </w:t>
            </w:r>
            <w:r>
              <w:rPr>
                <w:rFonts w:cs="Times New Roman" w:ascii="Times New Roman" w:hAnsi="Times New Roman"/>
                <w:bCs/>
                <w:color w:val="000000"/>
                <w:sz w:val="24"/>
                <w:szCs w:val="24"/>
                <w:lang w:val="uk-UA"/>
              </w:rPr>
              <w:t>організацію та проведення конкурсів на право оренди нежитлових приміщень</w:t>
            </w:r>
            <w:r>
              <w:rPr>
                <w:rFonts w:cs="Times New Roman" w:ascii="Times New Roman" w:hAnsi="Times New Roman"/>
                <w:color w:val="000000"/>
                <w:sz w:val="24"/>
                <w:szCs w:val="24"/>
                <w:lang w:val="uk-UA"/>
              </w:rPr>
              <w:t xml:space="preserve"> відноситься до компетенції міської ради. Право на участь у конкурсі мають фізичні та юридичні особи, що можуть згідно з законодавством бути орендарями комунального майна. Подаються обов’язкові документи на конкурс, а саме: про внесення грошових коштів у розмірі місячної  орендної плати за об’єкт, що здається в оренду, розрахованому на підставі додатку 2 “Методика розрахунку орендної плати за майно територіальної громади ”, копії установчих документів (для юридичних осіб), копію виписки (витягу) з Єдиного державного реєстру юридичних осіб та фізичних осіб-підприємців.</w:t>
            </w:r>
          </w:p>
          <w:p>
            <w:pPr>
              <w:pStyle w:val="Normal"/>
              <w:widowControl w:val="false"/>
              <w:shd w:val="clear" w:fill="auto"/>
              <w:suppressAutoHyphens w:val="true"/>
              <w:bidi w:val="0"/>
              <w:spacing w:lineRule="auto" w:line="240" w:before="0" w:after="160"/>
              <w:ind w:left="0" w:right="170" w:firstLine="567"/>
              <w:jc w:val="both"/>
              <w:rPr/>
            </w:pPr>
            <w:r>
              <w:rPr>
                <w:rFonts w:cs="Times New Roman" w:ascii="Times New Roman" w:hAnsi="Times New Roman"/>
                <w:color w:val="000000"/>
                <w:sz w:val="24"/>
                <w:szCs w:val="24"/>
                <w:lang w:val="uk-UA"/>
              </w:rPr>
              <w:t xml:space="preserve"> </w:t>
            </w:r>
            <w:r>
              <w:rPr>
                <w:rFonts w:cs="Times New Roman" w:ascii="Times New Roman" w:hAnsi="Times New Roman"/>
                <w:sz w:val="24"/>
                <w:szCs w:val="24"/>
                <w:lang w:val="uk-UA"/>
              </w:rPr>
              <w:t>Регуляторний акт повністю пройшов регуляторну процедуру відповідно до Закону України “Про засади державної регуляторної політики у сфері господарської діяльності” та відповідає ст. 19. Конституції України (органи державної влади та органами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pPr>
              <w:pStyle w:val="Normal"/>
              <w:widowControl w:val="false"/>
              <w:shd w:val="clear" w:fill="auto"/>
              <w:suppressAutoHyphens w:val="true"/>
              <w:bidi w:val="0"/>
              <w:spacing w:lineRule="auto" w:line="240" w:before="0" w:after="160"/>
              <w:ind w:left="0" w:right="170" w:firstLine="567"/>
              <w:jc w:val="both"/>
              <w:rPr>
                <w:i/>
                <w:i/>
                <w:iCs/>
              </w:rPr>
            </w:pPr>
            <w:r>
              <w:rPr>
                <w:rFonts w:cs="Times New Roman" w:ascii="Times New Roman" w:hAnsi="Times New Roman"/>
                <w:b w:val="false"/>
                <w:bCs w:val="false"/>
                <w:i/>
                <w:iCs/>
                <w:color w:val="000000"/>
                <w:sz w:val="24"/>
                <w:szCs w:val="24"/>
                <w:lang w:val="uk-UA"/>
              </w:rPr>
              <w:t>Даний регуляторний необхідно п</w:t>
            </w:r>
            <w:r>
              <w:rPr>
                <w:rFonts w:cs="Times New Roman" w:ascii="Times New Roman" w:hAnsi="Times New Roman"/>
                <w:b w:val="false"/>
                <w:bCs w:val="false"/>
                <w:i/>
                <w:iCs/>
                <w:color w:val="000000"/>
                <w:sz w:val="24"/>
                <w:szCs w:val="24"/>
                <w:lang w:val="ru-RU"/>
              </w:rPr>
              <w:t>овністю визнати таким, що втратив чинність, у зв’язку з прийняттям Закону України «Про оренду державного та комунального майна»</w:t>
            </w:r>
            <w:r>
              <w:rPr>
                <w:rFonts w:cs="Arial" w:ascii="Arial" w:hAnsi="Arial"/>
                <w:b w:val="false"/>
                <w:bCs w:val="false"/>
                <w:i/>
                <w:iCs/>
                <w:color w:val="000000"/>
                <w:sz w:val="24"/>
                <w:szCs w:val="24"/>
                <w:shd w:fill="FFFFFF" w:val="clear"/>
                <w:lang w:val="ru-RU"/>
              </w:rPr>
              <w:t xml:space="preserve"> </w:t>
            </w:r>
            <w:r>
              <w:rPr>
                <w:rFonts w:cs="Times New Roman" w:ascii="Times New Roman" w:hAnsi="Times New Roman"/>
                <w:b w:val="false"/>
                <w:bCs w:val="false"/>
                <w:i/>
                <w:iCs/>
                <w:color w:val="000000"/>
                <w:sz w:val="24"/>
                <w:szCs w:val="24"/>
                <w:shd w:fill="FFFFFF" w:val="clear"/>
                <w:lang w:val="ru-RU"/>
              </w:rPr>
              <w:t>від 03.10.2019 № 157-</w:t>
            </w:r>
            <w:r>
              <w:rPr>
                <w:rFonts w:cs="Times New Roman" w:ascii="Times New Roman" w:hAnsi="Times New Roman"/>
                <w:b w:val="false"/>
                <w:bCs w:val="false"/>
                <w:i/>
                <w:iCs/>
                <w:color w:val="000000"/>
                <w:sz w:val="24"/>
                <w:szCs w:val="24"/>
                <w:shd w:fill="FFFFFF" w:val="clear"/>
              </w:rPr>
              <w:t>IX</w:t>
            </w:r>
            <w:r>
              <w:rPr>
                <w:rFonts w:cs="Times New Roman" w:ascii="Times New Roman" w:hAnsi="Times New Roman"/>
                <w:b w:val="false"/>
                <w:bCs w:val="false"/>
                <w:i/>
                <w:iCs/>
                <w:color w:val="000000"/>
                <w:sz w:val="24"/>
                <w:szCs w:val="24"/>
                <w:shd w:fill="FFFFFF" w:val="clear"/>
                <w:lang w:val="uk-UA"/>
              </w:rPr>
              <w:t>, який передбачає проведення електорнних аукціонів через електорно-торгову систему «Прозоро. Продажі».</w:t>
            </w:r>
          </w:p>
          <w:p>
            <w:pPr>
              <w:pStyle w:val="Normal"/>
              <w:widowControl w:val="false"/>
              <w:spacing w:lineRule="auto" w:line="240" w:before="0" w:after="0"/>
              <w:ind w:left="1080" w:right="0" w:hanging="0"/>
              <w:contextualSpacing/>
              <w:jc w:val="both"/>
              <w:rPr>
                <w:rFonts w:ascii="Times New Roman" w:hAnsi="Times New Roman" w:cs="Times New Roman"/>
                <w:b/>
                <w:b/>
                <w:bCs/>
                <w:color w:val="000000"/>
                <w:sz w:val="24"/>
                <w:szCs w:val="24"/>
                <w:lang w:val="uk-UA"/>
              </w:rPr>
            </w:pPr>
            <w:r>
              <w:rPr>
                <w:rFonts w:cs="Times New Roman" w:ascii="Times New Roman" w:hAnsi="Times New Roman"/>
                <w:b/>
                <w:bCs/>
                <w:color w:val="000000"/>
                <w:sz w:val="24"/>
                <w:szCs w:val="24"/>
                <w:lang w:val="uk-UA"/>
              </w:rPr>
            </w:r>
          </w:p>
        </w:tc>
      </w:tr>
    </w:tbl>
    <w:p>
      <w:pPr>
        <w:pStyle w:val="Normal"/>
        <w:spacing w:lineRule="auto" w:line="240" w:before="0" w:after="0"/>
        <w:jc w:val="center"/>
        <w:rPr>
          <w:rFonts w:ascii="Times New Roman" w:hAnsi="Times New Roman" w:cs="Times New Roman"/>
          <w:b/>
          <w:b/>
          <w:color w:val="000000"/>
          <w:sz w:val="28"/>
          <w:szCs w:val="28"/>
          <w:lang w:val="uk-UA"/>
        </w:rPr>
      </w:pPr>
      <w:r>
        <w:rPr>
          <w:rFonts w:cs="Times New Roman" w:ascii="Times New Roman" w:hAnsi="Times New Roman"/>
          <w:b/>
          <w:color w:val="000000"/>
          <w:sz w:val="28"/>
          <w:szCs w:val="28"/>
          <w:lang w:val="uk-UA"/>
        </w:rPr>
      </w:r>
    </w:p>
    <w:p>
      <w:pPr>
        <w:pStyle w:val="Normal"/>
        <w:spacing w:lineRule="auto" w:line="240" w:before="0" w:after="0"/>
        <w:jc w:val="center"/>
        <w:rPr>
          <w:rFonts w:ascii="Times New Roman" w:hAnsi="Times New Roman" w:cs="Times New Roman"/>
          <w:b/>
          <w:b/>
          <w:color w:val="000000"/>
          <w:sz w:val="28"/>
          <w:szCs w:val="28"/>
          <w:lang w:val="ru-RU"/>
        </w:rPr>
      </w:pPr>
      <w:r>
        <w:rPr/>
      </w:r>
    </w:p>
    <w:sectPr>
      <w:headerReference w:type="default" r:id="rId2"/>
      <w:headerReference w:type="first" r:id="rId3"/>
      <w:type w:val="nextPage"/>
      <w:pgSz w:w="12240" w:h="15840"/>
      <w:pgMar w:left="1701" w:right="850" w:header="708" w:top="851" w:footer="0"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Wingdings">
    <w:charset w:val="cc"/>
    <w:family w:val="roman"/>
    <w:pitch w:val="variable"/>
  </w:font>
  <w:font w:name="Symbol">
    <w:charset w:val="cc"/>
    <w:family w:val="roman"/>
    <w:pitch w:val="variable"/>
  </w:font>
  <w:font w:name="Segoe UI">
    <w:charset w:val="cc"/>
    <w:family w:val="roman"/>
    <w:pitch w:val="variable"/>
  </w:font>
  <w:font w:name="Antiqua">
    <w:altName w:val="Century Gothic"/>
    <w:charset w:val="cc"/>
    <w:family w:val="roman"/>
    <w:pitch w:val="variable"/>
  </w:font>
  <w:font w:name="Consolas">
    <w:charset w:val="cc"/>
    <w:family w:val="roman"/>
    <w:pitch w:val="variable"/>
  </w:font>
  <w:font w:name="Liberation Sans">
    <w:altName w:val="Arial"/>
    <w:charset w:val="cc"/>
    <w:family w:val="roman"/>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jc w:val="center"/>
      <w:rPr/>
    </w:pPr>
    <w:r>
      <w:rPr/>
      <w:fldChar w:fldCharType="begin"/>
    </w:r>
    <w:r>
      <w:rPr/>
      <w:instrText> PAGE </w:instrText>
    </w:r>
    <w:r>
      <w:rPr/>
      <w:fldChar w:fldCharType="separate"/>
    </w:r>
    <w:r>
      <w:rPr/>
      <w:t>4</w:t>
    </w:r>
    <w:r>
      <w:rPr/>
      <w:fldChar w:fldCharType="end"/>
    </w:r>
  </w:p>
  <w:p>
    <w:pPr>
      <w:pStyle w:val="Style4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4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uk-UA" w:eastAsia="zh-CN" w:bidi="hi-IN"/>
      </w:rPr>
    </w:rPrDefault>
    <w:pPrDefault>
      <w:pPr>
        <w:suppressAutoHyphens w:val="true"/>
      </w:pPr>
    </w:pPrDefault>
  </w:docDefaults>
  <w:style w:type="paragraph" w:styleId="Normal">
    <w:name w:val="Normal"/>
    <w:qFormat/>
    <w:pPr>
      <w:widowControl/>
      <w:suppressAutoHyphens w:val="true"/>
      <w:overflowPunct w:val="true"/>
      <w:bidi w:val="0"/>
      <w:spacing w:lineRule="auto" w:line="252" w:before="0" w:after="160"/>
      <w:jc w:val="left"/>
    </w:pPr>
    <w:rPr>
      <w:rFonts w:ascii="Calibri" w:hAnsi="Calibri" w:eastAsia="Calibri" w:cs="Calibri"/>
      <w:color w:val="auto"/>
      <w:kern w:val="2"/>
      <w:sz w:val="22"/>
      <w:szCs w:val="22"/>
      <w:lang w:val="en-US" w:eastAsia="zh-CN" w:bidi="ar-SA"/>
    </w:rPr>
  </w:style>
  <w:style w:type="paragraph" w:styleId="2">
    <w:name w:val="Heading 2"/>
    <w:basedOn w:val="Style25"/>
    <w:next w:val="Style26"/>
    <w:qFormat/>
    <w:pPr>
      <w:spacing w:before="200" w:after="120"/>
      <w:ind w:left="0" w:right="0" w:hanging="0"/>
      <w:outlineLvl w:val="1"/>
    </w:pPr>
    <w:rPr>
      <w:b/>
      <w:bCs/>
      <w:sz w:val="32"/>
      <w:szCs w:val="32"/>
    </w:rPr>
  </w:style>
  <w:style w:type="paragraph" w:styleId="3">
    <w:name w:val="Heading 3"/>
    <w:basedOn w:val="Normal"/>
    <w:next w:val="Style26"/>
    <w:qFormat/>
    <w:pPr>
      <w:numPr>
        <w:ilvl w:val="2"/>
        <w:numId w:val="1"/>
      </w:numPr>
      <w:spacing w:lineRule="auto" w:line="240" w:before="280" w:after="280"/>
      <w:outlineLvl w:val="2"/>
    </w:pPr>
    <w:rPr>
      <w:rFonts w:ascii="Times New Roman" w:hAnsi="Times New Roman" w:eastAsia="Times New Roman" w:cs="Times New Roman"/>
      <w:b/>
      <w:bCs/>
      <w:sz w:val="27"/>
      <w:szCs w:val="27"/>
      <w:lang w:val="uk-U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Cambria" w:hAnsi="Cambria" w:cs="Times New Roman"/>
    </w:rPr>
  </w:style>
  <w:style w:type="character" w:styleId="Style12">
    <w:name w:val="Основной шрифт абзаца"/>
    <w:qFormat/>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rFonts w:cs="Times New Roman"/>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Style13">
    <w:name w:val="Шрифт абзацу за замовчуванням"/>
    <w:qFormat/>
    <w:rPr/>
  </w:style>
  <w:style w:type="character" w:styleId="Style14">
    <w:name w:val="Знак примітки"/>
    <w:qFormat/>
    <w:rPr>
      <w:sz w:val="16"/>
      <w:szCs w:val="16"/>
    </w:rPr>
  </w:style>
  <w:style w:type="character" w:styleId="Style15">
    <w:name w:val="Текст примітки Знак"/>
    <w:qFormat/>
    <w:rPr>
      <w:sz w:val="20"/>
      <w:szCs w:val="20"/>
    </w:rPr>
  </w:style>
  <w:style w:type="character" w:styleId="Style16">
    <w:name w:val="Тема примітки Знак"/>
    <w:qFormat/>
    <w:rPr>
      <w:b/>
      <w:bCs/>
      <w:sz w:val="20"/>
      <w:szCs w:val="20"/>
    </w:rPr>
  </w:style>
  <w:style w:type="character" w:styleId="Style17">
    <w:name w:val="Текст у виносці Знак"/>
    <w:qFormat/>
    <w:rPr>
      <w:rFonts w:ascii="Segoe UI" w:hAnsi="Segoe UI" w:cs="Segoe UI"/>
      <w:sz w:val="18"/>
      <w:szCs w:val="18"/>
    </w:rPr>
  </w:style>
  <w:style w:type="character" w:styleId="Style18">
    <w:name w:val="Нормальний текст Знак"/>
    <w:qFormat/>
    <w:rPr>
      <w:rFonts w:ascii="Antiqua;Century Gothic" w:hAnsi="Antiqua;Century Gothic" w:cs="Antiqua;Century Gothic"/>
      <w:sz w:val="26"/>
      <w:szCs w:val="20"/>
    </w:rPr>
  </w:style>
  <w:style w:type="character" w:styleId="Rvts9">
    <w:name w:val="rvts9"/>
    <w:qFormat/>
    <w:rPr>
      <w:rFonts w:ascii="Times New Roman" w:hAnsi="Times New Roman" w:cs="Times New Roman"/>
    </w:rPr>
  </w:style>
  <w:style w:type="character" w:styleId="Rvts23">
    <w:name w:val="rvts23"/>
    <w:qFormat/>
    <w:rPr>
      <w:rFonts w:ascii="Times New Roman" w:hAnsi="Times New Roman" w:cs="Times New Roman"/>
    </w:rPr>
  </w:style>
  <w:style w:type="character" w:styleId="Style19">
    <w:name w:val="Основной текст_"/>
    <w:qFormat/>
    <w:rPr>
      <w:rFonts w:ascii="Times New Roman" w:hAnsi="Times New Roman" w:eastAsia="Times New Roman" w:cs="Times New Roman"/>
      <w:sz w:val="23"/>
      <w:szCs w:val="23"/>
      <w:shd w:fill="FFFFFF" w:val="clear"/>
    </w:rPr>
  </w:style>
  <w:style w:type="character" w:styleId="Style20">
    <w:name w:val="Гіперпосилання"/>
    <w:rPr>
      <w:color w:val="0563C1"/>
      <w:u w:val="single"/>
    </w:rPr>
  </w:style>
  <w:style w:type="character" w:styleId="1">
    <w:name w:val="Незакрита згадка1"/>
    <w:qFormat/>
    <w:rPr>
      <w:color w:val="808080"/>
      <w:shd w:fill="E6E6E6" w:val="clear"/>
    </w:rPr>
  </w:style>
  <w:style w:type="character" w:styleId="Style21">
    <w:name w:val="Нижній колонтитул Знак"/>
    <w:qFormat/>
    <w:rPr>
      <w:lang w:val="uk-UA"/>
    </w:rPr>
  </w:style>
  <w:style w:type="character" w:styleId="Style22">
    <w:name w:val="Відвідане гіперпосилання"/>
    <w:rPr>
      <w:color w:val="954F72"/>
      <w:u w:val="single"/>
    </w:rPr>
  </w:style>
  <w:style w:type="character" w:styleId="31">
    <w:name w:val="Заголовок 3 Знак"/>
    <w:qFormat/>
    <w:rPr>
      <w:rFonts w:ascii="Times New Roman" w:hAnsi="Times New Roman" w:eastAsia="Times New Roman" w:cs="Times New Roman"/>
      <w:b/>
      <w:bCs/>
      <w:sz w:val="27"/>
      <w:szCs w:val="27"/>
    </w:rPr>
  </w:style>
  <w:style w:type="character" w:styleId="HTML">
    <w:name w:val="Стандартний HTML Знак"/>
    <w:qFormat/>
    <w:rPr>
      <w:rFonts w:ascii="Consolas" w:hAnsi="Consolas" w:cs="Consolas"/>
      <w:sz w:val="20"/>
      <w:szCs w:val="20"/>
    </w:rPr>
  </w:style>
  <w:style w:type="character" w:styleId="32">
    <w:name w:val="Основний текст з відступом 3 Знак"/>
    <w:qFormat/>
    <w:rPr>
      <w:rFonts w:ascii="Times New Roman" w:hAnsi="Times New Roman" w:eastAsia="Times New Roman" w:cs="Times New Roman"/>
      <w:color w:val="000000"/>
      <w:sz w:val="24"/>
      <w:szCs w:val="20"/>
      <w:lang w:val="ru-RU"/>
    </w:rPr>
  </w:style>
  <w:style w:type="character" w:styleId="Style23">
    <w:name w:val="Верхній колонтитул Знак"/>
    <w:basedOn w:val="Style13"/>
    <w:qFormat/>
    <w:rPr/>
  </w:style>
  <w:style w:type="character" w:styleId="Style24">
    <w:name w:val="Текст выноски Знак"/>
    <w:qFormat/>
    <w:rPr>
      <w:rFonts w:ascii="Segoe UI" w:hAnsi="Segoe UI" w:eastAsia="Calibri" w:cs="Segoe UI"/>
      <w:sz w:val="18"/>
      <w:szCs w:val="18"/>
      <w:lang w:val="en-US" w:eastAsia="zh-CN"/>
    </w:rPr>
  </w:style>
  <w:style w:type="paragraph" w:styleId="Style25">
    <w:name w:val="Заголовок"/>
    <w:basedOn w:val="Normal"/>
    <w:next w:val="Style26"/>
    <w:qFormat/>
    <w:pPr>
      <w:keepNext w:val="true"/>
      <w:spacing w:before="240" w:after="120"/>
    </w:pPr>
    <w:rPr>
      <w:rFonts w:ascii="Liberation Sans;Arial" w:hAnsi="Liberation Sans;Arial" w:eastAsia="Microsoft YaHei" w:cs="Ari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Arial"/>
    </w:rPr>
  </w:style>
  <w:style w:type="paragraph" w:styleId="Style28">
    <w:name w:val="Caption"/>
    <w:basedOn w:val="Normal"/>
    <w:qFormat/>
    <w:pPr>
      <w:suppressLineNumbers/>
      <w:spacing w:before="120" w:after="120"/>
    </w:pPr>
    <w:rPr>
      <w:rFonts w:cs="Arial"/>
      <w:i/>
      <w:iCs/>
      <w:sz w:val="24"/>
      <w:szCs w:val="24"/>
    </w:rPr>
  </w:style>
  <w:style w:type="paragraph" w:styleId="Style29">
    <w:name w:val="Покажчик"/>
    <w:basedOn w:val="Normal"/>
    <w:qFormat/>
    <w:pPr>
      <w:suppressLineNumbers/>
    </w:pPr>
    <w:rPr>
      <w:rFonts w:cs="Arial"/>
    </w:rPr>
  </w:style>
  <w:style w:type="paragraph" w:styleId="11">
    <w:name w:val="Заголовок1"/>
    <w:basedOn w:val="Normal"/>
    <w:next w:val="Style26"/>
    <w:qFormat/>
    <w:pPr>
      <w:keepNext w:val="true"/>
      <w:spacing w:before="240" w:after="120"/>
    </w:pPr>
    <w:rPr>
      <w:rFonts w:ascii="Liberation Sans;Arial" w:hAnsi="Liberation Sans;Arial" w:eastAsia="Microsoft YaHei" w:cs="Arial"/>
      <w:sz w:val="28"/>
      <w:szCs w:val="28"/>
    </w:rPr>
  </w:style>
  <w:style w:type="paragraph" w:styleId="Style30">
    <w:name w:val="Название объекта"/>
    <w:basedOn w:val="Normal"/>
    <w:qFormat/>
    <w:pPr>
      <w:suppressLineNumbers/>
      <w:spacing w:before="120" w:after="120"/>
    </w:pPr>
    <w:rPr>
      <w:rFonts w:cs="Arial"/>
      <w:i/>
      <w:iCs/>
      <w:sz w:val="24"/>
      <w:szCs w:val="24"/>
    </w:rPr>
  </w:style>
  <w:style w:type="paragraph" w:styleId="Style31">
    <w:name w:val="Текст примітки"/>
    <w:basedOn w:val="Normal"/>
    <w:qFormat/>
    <w:pPr>
      <w:spacing w:lineRule="auto" w:line="240"/>
    </w:pPr>
    <w:rPr>
      <w:sz w:val="20"/>
      <w:szCs w:val="20"/>
      <w:lang w:val="uk-UA"/>
    </w:rPr>
  </w:style>
  <w:style w:type="paragraph" w:styleId="Style32">
    <w:name w:val="Тема примітки"/>
    <w:basedOn w:val="Style31"/>
    <w:next w:val="Style31"/>
    <w:qFormat/>
    <w:pPr/>
    <w:rPr>
      <w:b/>
      <w:bCs/>
      <w:lang w:val="uk-UA"/>
    </w:rPr>
  </w:style>
  <w:style w:type="paragraph" w:styleId="Style33">
    <w:name w:val="Текст у виносці"/>
    <w:basedOn w:val="Normal"/>
    <w:qFormat/>
    <w:pPr>
      <w:spacing w:lineRule="auto" w:line="240" w:before="0" w:after="0"/>
    </w:pPr>
    <w:rPr>
      <w:rFonts w:ascii="Segoe UI" w:hAnsi="Segoe UI" w:cs="Segoe UI"/>
      <w:sz w:val="18"/>
      <w:szCs w:val="18"/>
      <w:lang w:val="uk-UA"/>
    </w:rPr>
  </w:style>
  <w:style w:type="paragraph" w:styleId="Style34">
    <w:name w:val="Нормальний текст"/>
    <w:basedOn w:val="Normal"/>
    <w:qFormat/>
    <w:pPr>
      <w:spacing w:lineRule="auto" w:line="240" w:before="120" w:after="0"/>
      <w:ind w:left="0" w:right="0" w:firstLine="567"/>
      <w:jc w:val="both"/>
    </w:pPr>
    <w:rPr>
      <w:rFonts w:ascii="Antiqua;Century Gothic" w:hAnsi="Antiqua;Century Gothic" w:cs="Antiqua;Century Gothic"/>
      <w:sz w:val="26"/>
      <w:szCs w:val="20"/>
      <w:lang w:val="uk-UA"/>
    </w:rPr>
  </w:style>
  <w:style w:type="paragraph" w:styleId="4">
    <w:name w:val="Основной текст4"/>
    <w:basedOn w:val="Normal"/>
    <w:qFormat/>
    <w:pPr>
      <w:widowControl w:val="false"/>
      <w:shd w:val="clear" w:fill="FFFFFF"/>
      <w:spacing w:lineRule="exact" w:line="475" w:before="4500" w:after="0"/>
      <w:ind w:left="0" w:right="0" w:hanging="460"/>
    </w:pPr>
    <w:rPr>
      <w:rFonts w:ascii="Times New Roman" w:hAnsi="Times New Roman" w:eastAsia="Times New Roman" w:cs="Times New Roman"/>
      <w:sz w:val="23"/>
      <w:szCs w:val="23"/>
      <w:lang w:val="uk-UA"/>
    </w:rPr>
  </w:style>
  <w:style w:type="paragraph" w:styleId="Style35">
    <w:name w:val="Абзац списку"/>
    <w:basedOn w:val="Normal"/>
    <w:qFormat/>
    <w:pPr>
      <w:spacing w:lineRule="auto" w:line="276" w:before="0" w:after="200"/>
      <w:ind w:left="720" w:right="0" w:hanging="0"/>
      <w:contextualSpacing/>
    </w:pPr>
    <w:rPr>
      <w:lang w:val="uk-UA"/>
    </w:rPr>
  </w:style>
  <w:style w:type="paragraph" w:styleId="Style36">
    <w:name w:val="Верхній і нижній колонтитули"/>
    <w:basedOn w:val="Normal"/>
    <w:qFormat/>
    <w:pPr>
      <w:suppressLineNumbers/>
      <w:tabs>
        <w:tab w:val="clear" w:pos="709"/>
        <w:tab w:val="center" w:pos="4819" w:leader="none"/>
        <w:tab w:val="right" w:pos="9638" w:leader="none"/>
      </w:tabs>
    </w:pPr>
    <w:rPr/>
  </w:style>
  <w:style w:type="paragraph" w:styleId="Style37">
    <w:name w:val="Footer"/>
    <w:basedOn w:val="Normal"/>
    <w:pPr>
      <w:spacing w:lineRule="auto" w:line="240" w:before="0" w:after="0"/>
    </w:pPr>
    <w:rPr>
      <w:sz w:val="20"/>
      <w:szCs w:val="20"/>
      <w:lang w:val="uk-UA"/>
    </w:rPr>
  </w:style>
  <w:style w:type="paragraph" w:styleId="Style38">
    <w:name w:val="Без інтервалів"/>
    <w:qFormat/>
    <w:pPr>
      <w:widowControl/>
      <w:suppressAutoHyphens w:val="true"/>
      <w:overflowPunct w:val="true"/>
      <w:bidi w:val="0"/>
      <w:spacing w:before="0" w:after="0"/>
      <w:jc w:val="left"/>
    </w:pPr>
    <w:rPr>
      <w:rFonts w:ascii="Calibri" w:hAnsi="Calibri" w:eastAsia="Calibri" w:cs="Calibri"/>
      <w:color w:val="auto"/>
      <w:kern w:val="2"/>
      <w:sz w:val="22"/>
      <w:szCs w:val="22"/>
      <w:lang w:val="en-US" w:eastAsia="zh-CN" w:bidi="ar-SA"/>
    </w:rPr>
  </w:style>
  <w:style w:type="paragraph" w:styleId="Style39">
    <w:name w:val="Звичайний (веб)"/>
    <w:basedOn w:val="Normal"/>
    <w:qFormat/>
    <w:pPr>
      <w:spacing w:lineRule="auto" w:line="240" w:before="280" w:after="280"/>
    </w:pPr>
    <w:rPr>
      <w:rFonts w:ascii="Times New Roman" w:hAnsi="Times New Roman" w:eastAsia="Times New Roman" w:cs="Times New Roman"/>
      <w:sz w:val="24"/>
      <w:szCs w:val="24"/>
    </w:rPr>
  </w:style>
  <w:style w:type="paragraph" w:styleId="HTML1">
    <w:name w:val="Стандартний HTML"/>
    <w:basedOn w:val="Normal"/>
    <w:qFormat/>
    <w:pPr>
      <w:spacing w:lineRule="auto" w:line="240" w:before="0" w:after="0"/>
    </w:pPr>
    <w:rPr>
      <w:rFonts w:ascii="Consolas" w:hAnsi="Consolas" w:cs="Consolas"/>
      <w:sz w:val="20"/>
      <w:szCs w:val="20"/>
      <w:lang w:val="uk-UA"/>
    </w:rPr>
  </w:style>
  <w:style w:type="paragraph" w:styleId="33">
    <w:name w:val="Основний текст з відступом 3"/>
    <w:basedOn w:val="Normal"/>
    <w:qFormat/>
    <w:pPr>
      <w:spacing w:lineRule="auto" w:line="240" w:before="0" w:after="0"/>
      <w:ind w:left="0" w:right="0" w:firstLine="567"/>
      <w:jc w:val="both"/>
    </w:pPr>
    <w:rPr>
      <w:rFonts w:ascii="Times New Roman" w:hAnsi="Times New Roman" w:eastAsia="Times New Roman" w:cs="Times New Roman"/>
      <w:color w:val="000000"/>
      <w:sz w:val="24"/>
      <w:szCs w:val="20"/>
      <w:lang w:val="ru-RU"/>
    </w:rPr>
  </w:style>
  <w:style w:type="paragraph" w:styleId="Style40">
    <w:name w:val="Header"/>
    <w:basedOn w:val="Normal"/>
    <w:pPr>
      <w:tabs>
        <w:tab w:val="clear" w:pos="709"/>
        <w:tab w:val="center" w:pos="4677" w:leader="none"/>
        <w:tab w:val="right" w:pos="9355" w:leader="none"/>
      </w:tabs>
      <w:spacing w:lineRule="auto" w:line="240" w:before="0" w:after="0"/>
    </w:pPr>
    <w:rPr/>
  </w:style>
  <w:style w:type="paragraph" w:styleId="Style41">
    <w:name w:val="Вміст таблиці"/>
    <w:basedOn w:val="Normal"/>
    <w:qFormat/>
    <w:pPr>
      <w:suppressLineNumbers/>
    </w:pPr>
    <w:rPr/>
  </w:style>
  <w:style w:type="paragraph" w:styleId="Style42">
    <w:name w:val="Заголовок таблиці"/>
    <w:basedOn w:val="Style41"/>
    <w:qFormat/>
    <w:pPr>
      <w:suppressLineNumbers/>
      <w:jc w:val="center"/>
    </w:pPr>
    <w:rPr>
      <w:b/>
      <w:bCs/>
    </w:rPr>
  </w:style>
  <w:style w:type="paragraph" w:styleId="Style43">
    <w:name w:val="Текст выноски"/>
    <w:basedOn w:val="Normal"/>
    <w:qFormat/>
    <w:pPr>
      <w:spacing w:lineRule="auto" w:line="240" w:before="0" w:after="0"/>
    </w:pPr>
    <w:rPr>
      <w:rFonts w:ascii="Segoe UI" w:hAnsi="Segoe UI" w:cs="Segoe UI"/>
      <w:sz w:val="18"/>
      <w:szCs w:val="18"/>
    </w:rPr>
  </w:style>
  <w:style w:type="paragraph" w:styleId="Style44">
    <w:name w:val="Без интервала"/>
    <w:qFormat/>
    <w:pPr>
      <w:widowControl/>
      <w:suppressAutoHyphens w:val="true"/>
      <w:bidi w:val="0"/>
      <w:spacing w:before="0" w:after="0"/>
      <w:jc w:val="left"/>
    </w:pPr>
    <w:rPr>
      <w:rFonts w:ascii="Calibri" w:hAnsi="Calibri" w:eastAsia="Calibri" w:cs="Calibri"/>
      <w:color w:val="auto"/>
      <w:kern w:val="0"/>
      <w:sz w:val="22"/>
      <w:szCs w:val="22"/>
      <w:lang w:val="en-US" w:eastAsia="zh-CN" w:bidi="ar-SA"/>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Normal_x005F_x0000_</Template>
  <TotalTime>122</TotalTime>
  <Application>LibreOffice/7.1.3.2$Windows_X86_64 LibreOffice_project/47f78053abe362b9384784d31a6e56f8511eb1c1</Application>
  <AppVersion>15.0000</AppVersion>
  <Pages>4</Pages>
  <Words>1019</Words>
  <Characters>6892</Characters>
  <CharactersWithSpaces>7944</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1995-11-21T17:41:00Z</dcterms:created>
  <dc:creator>Пользователь Windows</dc:creator>
  <dc:description/>
  <dc:language>uk-UA</dc:language>
  <cp:lastModifiedBy/>
  <cp:lastPrinted>2021-12-17T15:32:08Z</cp:lastPrinted>
  <dcterms:modified xsi:type="dcterms:W3CDTF">2021-12-17T15:33:18Z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