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77831" w:rsidRDefault="00645B4B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протоколу </w:t>
      </w:r>
    </w:p>
    <w:p w:rsidR="00F77831" w:rsidRDefault="00645B4B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від________№______</w:t>
      </w:r>
    </w:p>
    <w:p w:rsidR="00F77831" w:rsidRDefault="00F77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831" w:rsidRDefault="00645B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F77831" w:rsidRDefault="00F77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819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62"/>
        <w:gridCol w:w="4913"/>
        <w:gridCol w:w="4344"/>
      </w:tblGrid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Pr="00645B4B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645B4B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Найменування органу </w:t>
            </w:r>
            <w:r w:rsidRPr="00645B4B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місцевого самоврядування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Луцька міська рада 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Pr="00645B4B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645B4B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645B4B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F77831" w:rsidRPr="00645B4B" w:rsidRDefault="00645B4B" w:rsidP="00645B4B">
            <w:pPr>
              <w:widowControl w:val="0"/>
              <w:spacing w:after="0" w:line="240" w:lineRule="auto"/>
              <w:ind w:firstLine="30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 Правила розміщення та функціонування тимчасових споруд для провадження підприємницької діяльності на території міста Луцька” </w:t>
            </w:r>
          </w:p>
          <w:p w:rsidR="00F77831" w:rsidRDefault="00645B4B" w:rsidP="00645B4B">
            <w:pPr>
              <w:widowControl w:val="0"/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 06.12.2018 № 804-1</w:t>
            </w:r>
          </w:p>
          <w:p w:rsidR="00645B4B" w:rsidRDefault="00645B4B" w:rsidP="00645B4B">
            <w:pPr>
              <w:widowControl w:val="0"/>
              <w:spacing w:after="0" w:line="240" w:lineRule="auto"/>
              <w:ind w:firstLine="3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є акт обов’язковими для виконання двома та більше суб’єктами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господарювання?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F77831" w:rsidRPr="00645B4B" w:rsidRDefault="00645B4B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5B4B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5B4B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77831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F77831" w:rsidRPr="00645B4B" w:rsidRDefault="00645B4B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пояснення наводиться у обґрунтуванні розділу «Рекомендації»)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F77831" w:rsidRDefault="00F77831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77831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визначає акт механізми забезпечення дотримання вимог (обов’язок отримання дозволу, погодження або отримання іншої адміністративної послуги, надання підтверджуючого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документу, проведення експертизи, здійснення заходів контролю, подання звітності, тощо)?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F77831" w:rsidRPr="00645B4B" w:rsidRDefault="00645B4B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пояснення наводиться у обґрунтуванні розділу «Рекомендації»)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</w:p>
        </w:tc>
      </w:tr>
      <w:tr w:rsidR="00F77831" w:rsidRPr="00645B4B">
        <w:trPr>
          <w:trHeight w:val="832"/>
        </w:trPr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Висновок:</w:t>
            </w:r>
          </w:p>
          <w:p w:rsidR="00F77831" w:rsidRDefault="00645B4B">
            <w:pPr>
              <w:pStyle w:val="af9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F77831" w:rsidRDefault="00645B4B">
            <w:pPr>
              <w:pStyle w:val="af9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  <w:p w:rsidR="00F77831" w:rsidRDefault="00F77831">
            <w:pPr>
              <w:pStyle w:val="af9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831" w:rsidRPr="00645B4B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F778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ак+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F778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був прийнятий в межах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компетенції органу?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ак+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Ні___</w:t>
            </w:r>
          </w:p>
        </w:tc>
      </w:tr>
      <w:tr w:rsidR="00F77831" w:rsidRPr="00645B4B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У разі, якщо виявлено невідповідність хоча б одному із зазначених критеріїв подальші розділи паспорту не заповнюються (за винятком розділу «Рекомендації» у якому наводиться відповідне обґрунтування).</w:t>
            </w:r>
          </w:p>
        </w:tc>
      </w:tr>
      <w:tr w:rsidR="00F778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5B4B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77831" w:rsidRDefault="00645B4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були дотримані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вимоги законодавства щодо процедури прийняття регуляторних актів?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___+ 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цьому критерію, продовжується заповнення наступних розділів паспорту, а у розділі «Рекомендації», за умови доцільності даного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регулювання, зазначається про необхідність визнати цей акт таким, що потребує втрати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чинності з одночасним розробленням нового регулювання з дотриманням всіх необхідних регуляторних процедур.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lastRenderedPageBreak/>
              <w:t>Визначення мети (цілі) акта органу та проблеми, яку цей акт 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 би вирішувати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Формулювання відсутнє ___</w:t>
            </w:r>
          </w:p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(робиться позначка)</w:t>
            </w:r>
          </w:p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rPr>
          <w:trHeight w:val="8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Визначення мети акта за суб’єктивними чинниками.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ab/>
              <w:t>3.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Які регуляторні інструменти використовуються (отримання дозволу, подача звітності, проведення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заході контролю тощо)?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Скільки коштує адміністрування цього регулювання органом влади або місцевого самоврядування (затрати робочого часу на видачу дозволів,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погодження та перевірки)?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акт повністю забороняє, обмежує через квоти, зонування, дозвільну систему високі тарифи певні сектори чи види підприємницької діяльності (наприклад мобільні кав’ярні, мобільні заклади харчування, квартири де надаються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послуги тимчасового розміщення, послуги гідів, перевізників, переносну торгівлю, тощо)?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акт встановлює вимогу обов’язкової послуги що повинна надаватись окремими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суб’єктами господарювання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встановлює вимоги які настроєні під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діючі підприємства у тій чи іншій сферах, чи дискримінує підприємства за розміром (строку діяльності кількість працівників, використання комунальної послуги, довготривалі договори оренди, розмір матеріальних активів тощ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о)?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визначає процедуру за якою 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F77831" w:rsidRDefault="00F77831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встановлює процедуру, за 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волюнтаристських рішен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ь)?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 певному суб’єкту господарювання (комунальному підприємству, установ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і, тощо)?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Так ___ (пояснення наводиться у обґрунтуванні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F77831" w:rsidRDefault="00F7783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F77831" w:rsidRDefault="00645B4B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77831" w:rsidRPr="00645B4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15.</w:t>
            </w:r>
          </w:p>
        </w:tc>
        <w:tc>
          <w:tcPr>
            <w:tcW w:w="4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Співвідношення масштабу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регуляторного режиму та рівня фактичного вирішення проблеми.</w:t>
            </w:r>
          </w:p>
        </w:tc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645B4B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F77831"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Default="00F77831">
            <w:pPr>
              <w:pStyle w:val="af9"/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77831" w:rsidRDefault="00645B4B">
            <w:pPr>
              <w:pStyle w:val="af9"/>
              <w:widowControl w:val="0"/>
              <w:spacing w:after="0" w:line="240" w:lineRule="auto"/>
              <w:ind w:left="0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Залишити акт без змін.</w:t>
            </w:r>
          </w:p>
          <w:p w:rsidR="00F77831" w:rsidRDefault="00F77831">
            <w:pPr>
              <w:pStyle w:val="af9"/>
              <w:widowControl w:val="0"/>
              <w:spacing w:after="0" w:line="240" w:lineRule="auto"/>
              <w:ind w:left="1080"/>
            </w:pPr>
          </w:p>
        </w:tc>
      </w:tr>
      <w:tr w:rsidR="00F77831" w:rsidRPr="00645B4B">
        <w:trPr>
          <w:trHeight w:val="1484"/>
        </w:trPr>
        <w:tc>
          <w:tcPr>
            <w:tcW w:w="9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831" w:rsidRPr="00645B4B" w:rsidRDefault="00645B4B">
            <w:pPr>
              <w:widowControl w:val="0"/>
              <w:spacing w:after="0" w:line="240" w:lineRule="auto"/>
              <w:contextualSpacing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</w:t>
            </w:r>
            <w:r w:rsidRPr="00645B4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Обґрунтування:</w:t>
            </w:r>
            <w:r w:rsidRPr="00645B4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Pr="00645B4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Норми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акта поширюються на суб’єктів господарювання, які є учасниками відносин з питань розміщення тимчасових споруд на території міста Луцька на регулювання яких спрямовано цей акт. </w:t>
            </w:r>
          </w:p>
          <w:p w:rsidR="00F77831" w:rsidRDefault="00645B4B" w:rsidP="00645B4B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 встановлює обов’язкові для виконання суб’єктами господарювання вимоги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(вимірювальні параметри, вимоги щодо зовнішнього вигляду тимчасових споруд, наявності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погоджень тощо) 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изначає механізм проведення конкурсу на оформлення права на користування окремими елементами благоустрою комунальної власності для розміщення тимчасови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 споруд з метою провадження підприємницької діяльності на відповідній території.</w:t>
            </w:r>
          </w:p>
          <w:p w:rsidR="00F77831" w:rsidRPr="00645B4B" w:rsidRDefault="00645B4B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 до Правил розміщення та функціонування тимчасових споруд (ТС) для провадження підприємницької діяльності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 території міста Луцька,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визначається механізм розміщенн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та функціонування ТС торговельного, побутового та соціально-культурного призначення для провадження підприємницької діяльності, літніх торговельних майданчиків, на землях комунальної власності, на власних земельних ділянках, або земельних ділянках, надан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 в користування (визначені загальні положення, термінологія; визначені вимоги до розміщення та функціонування ТС; порядок розміщення ТС; порядок встановлення літніх торговельних майданчиків біля закладів ресторанного господарства; визначені обов’язки суб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’єктів господарювання; припинення дії погодження розміщення та функціонування ТС; погодження розміщення ТС для пунктів одноразової торгівлі (послуг); підстави та порядок демонтажу ТС).</w:t>
            </w:r>
          </w:p>
          <w:p w:rsidR="00F77831" w:rsidRDefault="00645B4B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 визначає механізми забезпечення дотримання вимог щодо отримання Вис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новку про відповідність намірів щодо місця розташування ТС, погодження розміщення та функціонування ТС, оформлення паспорта прив’язки - як результатів отримання адміністративних послуги. </w:t>
            </w:r>
          </w:p>
          <w:p w:rsidR="00F77831" w:rsidRDefault="00645B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Надаються адміністративні послуги:</w:t>
            </w:r>
          </w:p>
          <w:p w:rsidR="00F77831" w:rsidRPr="00645B4B" w:rsidRDefault="00645B4B">
            <w:pPr>
              <w:widowControl w:val="0"/>
              <w:spacing w:after="0" w:line="240" w:lineRule="auto"/>
              <w:ind w:firstLine="567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- 97/20/03 “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 xml:space="preserve">Надання дозволу на </w:t>
            </w:r>
            <w:r>
              <w:rPr>
                <w:rStyle w:val="af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lang w:val="uk-UA"/>
              </w:rPr>
              <w:t>розташування /продовження розташування/ тимчасової споруди для провадження підприємницької діяльності”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F77831" w:rsidRDefault="00645B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- 199/20/09 “Надання погодження /продовження/ розміщення тимчасової споруди для провадження підприємницької діяльності”;</w:t>
            </w:r>
          </w:p>
          <w:p w:rsidR="00F77831" w:rsidRDefault="00645B4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- 96/20/02 “Оформлення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продовження паспорта прив’язки тимчасової споруди для провадження підприємницької діяльності та укладання договору на право тимчасового користування окремими елементами благоустрою комунальної власності для розміщення тимчасових споруд з метою провадження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підприємницької діяльності на території міста Луцька”.</w:t>
            </w:r>
          </w:p>
          <w:p w:rsidR="00F77831" w:rsidRDefault="00645B4B" w:rsidP="00645B4B">
            <w:pPr>
              <w:widowControl w:val="0"/>
              <w:spacing w:after="0" w:line="240" w:lineRule="auto"/>
              <w:ind w:firstLine="45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Рішення розроблено відповідно до законів України “Про місцеве самоврядування в Україні”, “Про регулювання містобудівної діяльності”, “Про благоустрій населених пунктів”, враховуючи рішення виконавчого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комітету від 25.01.2017 № 18/16 “Про тимчасове користування окремими елементами благоустрою комунальної власності для розміщення тимчасових споруд з метою провадження підприємницької діяльності на території міста Луцька”.</w:t>
            </w:r>
          </w:p>
          <w:p w:rsidR="00F77831" w:rsidRPr="00645B4B" w:rsidRDefault="00645B4B" w:rsidP="00645B4B">
            <w:pPr>
              <w:widowControl w:val="0"/>
              <w:spacing w:after="0" w:line="240" w:lineRule="auto"/>
              <w:ind w:firstLine="456"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Регуляторний акт пройшов повністю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регуляторну процедуру відповідно до Закону України “Про засади державної регуляторної політики у сфері господарської діяльності” 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ідповідає ст. 19. Конституції України (органи державної влади та органи місцевого самоврядування,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 посадові особи зобов’яза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ні діяти лише на підставі,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межах повноважень та у спосіб ,що передбачено Конституцією та законами України).</w:t>
            </w:r>
          </w:p>
          <w:p w:rsidR="00F77831" w:rsidRPr="00645B4B" w:rsidRDefault="00F77831">
            <w:pPr>
              <w:widowControl w:val="0"/>
              <w:spacing w:after="0" w:line="240" w:lineRule="auto"/>
              <w:jc w:val="both"/>
              <w:rPr>
                <w:color w:val="FF0000"/>
                <w:lang w:val="uk-UA"/>
              </w:rPr>
            </w:pPr>
          </w:p>
        </w:tc>
      </w:tr>
    </w:tbl>
    <w:p w:rsidR="00F77831" w:rsidRDefault="00F77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7831" w:rsidRPr="00645B4B" w:rsidRDefault="00F77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F77831" w:rsidRPr="00645B4B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45B4B">
      <w:pPr>
        <w:spacing w:after="0" w:line="240" w:lineRule="auto"/>
      </w:pPr>
      <w:r>
        <w:separator/>
      </w:r>
    </w:p>
  </w:endnote>
  <w:endnote w:type="continuationSeparator" w:id="0">
    <w:p w:rsidR="00000000" w:rsidRDefault="0064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45B4B">
      <w:pPr>
        <w:spacing w:after="0" w:line="240" w:lineRule="auto"/>
      </w:pPr>
      <w:r>
        <w:separator/>
      </w:r>
    </w:p>
  </w:footnote>
  <w:footnote w:type="continuationSeparator" w:id="0">
    <w:p w:rsidR="00000000" w:rsidRDefault="00645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831" w:rsidRDefault="00645B4B">
    <w:pPr>
      <w:pStyle w:val="afe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F77831" w:rsidRDefault="00F77831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831" w:rsidRDefault="00F77831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148AC"/>
    <w:multiLevelType w:val="multilevel"/>
    <w:tmpl w:val="7222FF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825BEA"/>
    <w:multiLevelType w:val="multilevel"/>
    <w:tmpl w:val="C0F2B58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7831"/>
    <w:rsid w:val="00645B4B"/>
    <w:rsid w:val="00F7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666DD"/>
  <w15:docId w15:val="{FA05FEDF-D8BA-455A-8F6C-C288E01F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160" w:line="252" w:lineRule="auto"/>
    </w:pPr>
    <w:rPr>
      <w:rFonts w:ascii="Calibri" w:eastAsia="Calibri" w:hAnsi="Calibri" w:cs="Calibri"/>
      <w:kern w:val="2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Times New Roman"/>
    </w:rPr>
  </w:style>
  <w:style w:type="character" w:customStyle="1" w:styleId="a4">
    <w:name w:val="Шрифт абзацу за промовчанням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5">
    <w:name w:val="Шрифт абзацу за замовчуванням"/>
    <w:qFormat/>
  </w:style>
  <w:style w:type="character" w:customStyle="1" w:styleId="1">
    <w:name w:val="Знак примітки1"/>
    <w:qFormat/>
    <w:rPr>
      <w:sz w:val="16"/>
      <w:szCs w:val="16"/>
    </w:rPr>
  </w:style>
  <w:style w:type="character" w:customStyle="1" w:styleId="a6">
    <w:name w:val="Текст примітки Знак"/>
    <w:qFormat/>
    <w:rPr>
      <w:sz w:val="20"/>
      <w:szCs w:val="20"/>
    </w:rPr>
  </w:style>
  <w:style w:type="character" w:customStyle="1" w:styleId="a7">
    <w:name w:val="Тема примітки Знак"/>
    <w:qFormat/>
    <w:rPr>
      <w:b/>
      <w:bCs/>
      <w:sz w:val="20"/>
      <w:szCs w:val="20"/>
    </w:rPr>
  </w:style>
  <w:style w:type="character" w:customStyle="1" w:styleId="a8">
    <w:name w:val="Текст у виносці Знак"/>
    <w:qFormat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Pr>
      <w:rFonts w:ascii="Times New Roman" w:hAnsi="Times New Roman" w:cs="Times New Roman"/>
    </w:rPr>
  </w:style>
  <w:style w:type="character" w:customStyle="1" w:styleId="rvts23">
    <w:name w:val="rvts23"/>
    <w:qFormat/>
    <w:rPr>
      <w:rFonts w:ascii="Times New Roman" w:hAnsi="Times New Roman" w:cs="Times New Roman"/>
    </w:rPr>
  </w:style>
  <w:style w:type="character" w:customStyle="1" w:styleId="aa">
    <w:name w:val="Основной текст_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Pr>
      <w:color w:val="0563C1"/>
      <w:u w:val="single"/>
    </w:rPr>
  </w:style>
  <w:style w:type="character" w:customStyle="1" w:styleId="10">
    <w:name w:val="Незакрита згадка1"/>
    <w:qFormat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Pr>
      <w:lang w:val="uk-UA"/>
    </w:rPr>
  </w:style>
  <w:style w:type="character" w:customStyle="1" w:styleId="ad">
    <w:name w:val="Відвідане гіперпосилання"/>
    <w:rPr>
      <w:color w:val="954F72"/>
      <w:u w:val="single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5"/>
    <w:qFormat/>
  </w:style>
  <w:style w:type="character" w:customStyle="1" w:styleId="af">
    <w:name w:val="Виділення жирним"/>
    <w:qFormat/>
    <w:rPr>
      <w:b/>
      <w:bCs/>
    </w:rPr>
  </w:style>
  <w:style w:type="character" w:customStyle="1" w:styleId="af0">
    <w:name w:val="Знак примітки"/>
    <w:qFormat/>
    <w:rPr>
      <w:sz w:val="16"/>
      <w:szCs w:val="16"/>
    </w:rPr>
  </w:style>
  <w:style w:type="paragraph" w:styleId="af1">
    <w:name w:val="Title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2">
    <w:name w:val="List"/>
    <w:basedOn w:val="a0"/>
    <w:rPr>
      <w:rFonts w:cs="Ari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4">
    <w:name w:val="Покажчик"/>
    <w:basedOn w:val="a"/>
    <w:qFormat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5">
    <w:name w:val="Назва об'єкта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Текст примітки1"/>
    <w:basedOn w:val="a"/>
    <w:qFormat/>
    <w:pPr>
      <w:spacing w:line="240" w:lineRule="auto"/>
    </w:pPr>
    <w:rPr>
      <w:sz w:val="20"/>
      <w:szCs w:val="20"/>
      <w:lang w:val="uk-UA"/>
    </w:rPr>
  </w:style>
  <w:style w:type="paragraph" w:customStyle="1" w:styleId="af6">
    <w:name w:val="Тема примітки"/>
    <w:basedOn w:val="12"/>
    <w:next w:val="12"/>
    <w:qFormat/>
    <w:rPr>
      <w:b/>
      <w:bCs/>
    </w:rPr>
  </w:style>
  <w:style w:type="paragraph" w:customStyle="1" w:styleId="af7">
    <w:name w:val="Текст у виносці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8">
    <w:name w:val="Нормальний текст"/>
    <w:basedOn w:val="a"/>
    <w:qFormat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9">
    <w:name w:val="Абзац списку"/>
    <w:basedOn w:val="a"/>
    <w:qFormat/>
    <w:pPr>
      <w:spacing w:after="200" w:line="276" w:lineRule="auto"/>
      <w:ind w:left="720"/>
      <w:contextualSpacing/>
    </w:pPr>
    <w:rPr>
      <w:lang w:val="uk-UA"/>
    </w:rPr>
  </w:style>
  <w:style w:type="paragraph" w:customStyle="1" w:styleId="afa">
    <w:name w:val="Верхній і нижній колонтитули"/>
    <w:basedOn w:val="a"/>
    <w:qFormat/>
  </w:style>
  <w:style w:type="paragraph" w:styleId="afb">
    <w:name w:val="footer"/>
    <w:basedOn w:val="a"/>
    <w:pPr>
      <w:spacing w:after="0" w:line="240" w:lineRule="auto"/>
    </w:pPr>
    <w:rPr>
      <w:sz w:val="20"/>
      <w:szCs w:val="20"/>
      <w:lang w:val="uk-UA"/>
    </w:rPr>
  </w:style>
  <w:style w:type="paragraph" w:customStyle="1" w:styleId="afc">
    <w:name w:val="Без інтервалів"/>
    <w:qFormat/>
    <w:pPr>
      <w:overflowPunct w:val="0"/>
    </w:pPr>
    <w:rPr>
      <w:rFonts w:ascii="Calibri" w:eastAsia="Calibri" w:hAnsi="Calibri" w:cs="Calibri"/>
      <w:kern w:val="2"/>
      <w:sz w:val="22"/>
      <w:szCs w:val="22"/>
      <w:lang w:val="en-US" w:bidi="ar-SA"/>
    </w:rPr>
  </w:style>
  <w:style w:type="paragraph" w:customStyle="1" w:styleId="afd">
    <w:name w:val="Звичайний (веб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10">
    <w:name w:val="Основний текст з відступом 31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e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">
    <w:name w:val="Вміст таблиці"/>
    <w:basedOn w:val="a"/>
    <w:qFormat/>
    <w:pPr>
      <w:suppressLineNumbers/>
    </w:pPr>
  </w:style>
  <w:style w:type="paragraph" w:customStyle="1" w:styleId="aff0">
    <w:name w:val="Заголовок таблиці"/>
    <w:basedOn w:val="aff"/>
    <w:qFormat/>
    <w:pPr>
      <w:jc w:val="center"/>
    </w:pPr>
    <w:rPr>
      <w:b/>
      <w:bCs/>
    </w:rPr>
  </w:style>
  <w:style w:type="paragraph" w:customStyle="1" w:styleId="32">
    <w:name w:val="Основний текст з відступом 3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customStyle="1" w:styleId="aff1">
    <w:name w:val="Текст примітки"/>
    <w:basedOn w:val="a"/>
    <w:qFormat/>
    <w:pPr>
      <w:spacing w:line="240" w:lineRule="auto"/>
    </w:pPr>
    <w:rPr>
      <w:sz w:val="20"/>
      <w:szCs w:val="20"/>
      <w:lang w:val="uk-U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5606</Words>
  <Characters>3196</Characters>
  <Application>Microsoft Office Word</Application>
  <DocSecurity>0</DocSecurity>
  <Lines>26</Lines>
  <Paragraphs>17</Paragraphs>
  <ScaleCrop>false</ScaleCrop>
  <Company/>
  <LinksUpToDate>false</LinksUpToDate>
  <CharactersWithSpaces>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Користувач</cp:lastModifiedBy>
  <cp:revision>9</cp:revision>
  <cp:lastPrinted>1995-11-21T17:41:00Z</cp:lastPrinted>
  <dcterms:created xsi:type="dcterms:W3CDTF">1995-11-21T17:41:00Z</dcterms:created>
  <dcterms:modified xsi:type="dcterms:W3CDTF">2021-12-18T18:46:00Z</dcterms:modified>
  <dc:language>uk-UA</dc:language>
</cp:coreProperties>
</file>