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58" w:rsidRDefault="001811FD">
      <w:pPr>
        <w:spacing w:after="0" w:line="240" w:lineRule="auto"/>
        <w:ind w:firstLine="851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Додаток до протоколу</w:t>
      </w:r>
    </w:p>
    <w:p w:rsidR="00922358" w:rsidRDefault="001811FD">
      <w:pPr>
        <w:spacing w:after="0" w:line="240" w:lineRule="auto"/>
        <w:ind w:firstLine="851"/>
        <w:jc w:val="right"/>
        <w:rPr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>від_________№_____</w:t>
      </w:r>
    </w:p>
    <w:p w:rsidR="00922358" w:rsidRDefault="009223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22358" w:rsidRDefault="001811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922358" w:rsidRDefault="009223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926" w:type="dxa"/>
        <w:tblInd w:w="157" w:type="dxa"/>
        <w:tblLayout w:type="fixed"/>
        <w:tblLook w:val="04A0"/>
      </w:tblPr>
      <w:tblGrid>
        <w:gridCol w:w="518"/>
        <w:gridCol w:w="5886"/>
        <w:gridCol w:w="3522"/>
      </w:tblGrid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Pr="001811FD" w:rsidRDefault="001811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1811F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1811F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Луцька міська рада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Pr="001811FD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u w:val="single"/>
                <w:lang w:val="ru-RU"/>
              </w:rPr>
            </w:pPr>
            <w:r w:rsidRPr="001811FD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Назва, дата прийняття та номер акта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Рішення виконавчого комітету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“Про затвердження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показників для визначення відновної вартості зелених насаджень на території Луцької міської територіальної громади”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від 03.11.2021 № 886-1</w:t>
            </w:r>
          </w:p>
        </w:tc>
      </w:tr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color w:val="18A30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18A30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922358" w:rsidRDefault="00922358">
            <w:pPr>
              <w:widowControl w:val="0"/>
              <w:spacing w:after="0" w:line="240" w:lineRule="auto"/>
              <w:ind w:left="851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Так +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18A30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Чи визначає акт механізми 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проведення експертизи, здійснення заходів контролю, подання звітності, тощо)?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922358" w:rsidRPr="001811FD">
        <w:trPr>
          <w:trHeight w:val="894"/>
        </w:trPr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Висновок:</w:t>
            </w:r>
          </w:p>
          <w:p w:rsidR="00922358" w:rsidRDefault="001811FD">
            <w:pPr>
              <w:pStyle w:val="afa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922358" w:rsidRDefault="001811FD">
            <w:pPr>
              <w:pStyle w:val="afa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не є регуляторним та не потребує подальшого аналізу</w:t>
            </w:r>
          </w:p>
        </w:tc>
      </w:tr>
      <w:tr w:rsidR="00922358" w:rsidRPr="001811FD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 xml:space="preserve">Відповідність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  <w:t>вимогам актів вищої юридичної сили, а також компетенції відповідного органу</w:t>
            </w:r>
          </w:p>
        </w:tc>
      </w:tr>
      <w:tr w:rsidR="0092235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color w:val="10680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922358" w:rsidRDefault="00922358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/>
              </w:rPr>
              <w:t>ак +</w:t>
            </w:r>
          </w:p>
          <w:p w:rsidR="00922358" w:rsidRDefault="001811FD">
            <w:pPr>
              <w:pStyle w:val="aff0"/>
              <w:widowControl w:val="0"/>
              <w:spacing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Ні___</w:t>
            </w:r>
          </w:p>
        </w:tc>
      </w:tr>
      <w:tr w:rsidR="0092235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color w:val="10680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Чи акт був прийнятий в межах компетенції органу?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rPr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Так +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Ні ___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i/>
                <w:iCs/>
                <w:color w:val="FC5C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t>хоча б одному із зазначених критеріїв подальші розділи паспорту не заповнюються (за винятком розділу «Рекомендації» у якому наводиться відповідне обґрунтування).</w:t>
            </w:r>
          </w:p>
        </w:tc>
      </w:tr>
      <w:tr w:rsidR="0092235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 були дотримані вимоги законодавства щодо процедури прийняття регуляторних актів?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Так +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</w:t>
            </w:r>
          </w:p>
        </w:tc>
      </w:tr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цьому критерію,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  <w:lang w:val="uk-UA"/>
              </w:rPr>
              <w:t>продовжується заповнення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 наступних розділів паспорту, а у розділі «Рекомендації», за умови доцільності даного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>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/>
              </w:rPr>
              <w:t>егуляторних процедур.</w:t>
            </w:r>
          </w:p>
        </w:tc>
      </w:tr>
      <w:tr w:rsidR="00922358" w:rsidRPr="001811FD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Визначення мети (цілі) акта органу та проблеми, яку цей акт мав би вирішувати</w:t>
            </w:r>
          </w:p>
        </w:tc>
      </w:tr>
      <w:tr w:rsidR="00922358" w:rsidRPr="001811FD">
        <w:trPr>
          <w:trHeight w:val="104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Формулювання відсутнє ___</w:t>
            </w:r>
          </w:p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(робиться позначка)</w:t>
            </w:r>
          </w:p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або наводиться існуюче формулювання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rPr>
          <w:trHeight w:val="55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Визначення мети акта за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суб’єктивними чинниками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rPr>
          <w:trHeight w:val="66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2358" w:rsidRDefault="001811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92235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Хто є суб’єктами цього регулювання, скільки цих суб’єктів приблизно є?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Які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регуляторні 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Скільки коштує адміністрування цього регулювання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органом влади 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акт повністю забороняє, обмежує через квоти, зонування, дозвільну систему високі тарифи певні сектори чи види підприємницької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діяльності (наприклад мобільні кав’ярні, мобільні заклади харчування, квартири де надаються послуги тимчасового розміщення, послуги гідів, перевізників, переносну торгівлю, тощо)?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 акт встановлює вимогу обов’язкової послуги що повинна надаватись окремими суб’єктами господарювання (комунальними підприємствами, установами тощо) у сферах, де такі послуги можуть надаватись приватними підприємствами в умовах вільного ринку?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акт встановлює вимоги які настроєні під діючі підприємства у тій чи іншій сферах, чи дискримінує підприємства за розміром (строку діяльності кількість працівників,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використання комунальної послуги,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довготривалі договори оренди, розмір матеріальних активів тощо)?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исаним вище?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акт визначає процедуру за якою індивідуальні рішення що стосуються суб’єктів господарювання (про видачу дозволу, погодження, іншого документу) приймається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колегіально?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922358" w:rsidRDefault="00922358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акт встановлює процедуру, за якою індивідуальні рішення що стосуються суб’єктів господарювання приймаються посадовими особами без чіткого та вичерпного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переліку критеріїв для прийняття таких рішень (можливість прийняття дискретних волюнтаристських рішень)?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 з наданням обов’язкових послуг) певному суб’єкту господарювання (комунальному підприємству, установі, тощо)?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 акт вимагає придбання обладнання товарів чи послуг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певного зразка чи у певних суб’єктів господарювання?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Ні ____</w:t>
            </w:r>
          </w:p>
          <w:p w:rsidR="00922358" w:rsidRDefault="001811FD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922358" w:rsidRPr="001811F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22358" w:rsidRDefault="001811FD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Співвідношення масштабу регуляторного режиму та рівня фактичного вирішення проблеми.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widowControl w:val="0"/>
              <w:snapToGri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22358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1811FD">
            <w:pPr>
              <w:widowControl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922358" w:rsidRPr="001811FD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Default="00922358">
            <w:pPr>
              <w:pStyle w:val="afa"/>
              <w:widowControl w:val="0"/>
              <w:spacing w:after="0" w:line="240" w:lineRule="auto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</w:p>
          <w:tbl>
            <w:tblPr>
              <w:tblW w:w="9750" w:type="dxa"/>
              <w:tblLayout w:type="fixed"/>
              <w:tblLook w:val="04A0"/>
            </w:tblPr>
            <w:tblGrid>
              <w:gridCol w:w="9750"/>
            </w:tblGrid>
            <w:tr w:rsidR="00922358" w:rsidRPr="001811FD">
              <w:tc>
                <w:tcPr>
                  <w:tcW w:w="97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922358" w:rsidRDefault="001811FD">
                  <w:pPr>
                    <w:pStyle w:val="afa"/>
                    <w:widowControl w:val="0"/>
                    <w:spacing w:after="0" w:line="240" w:lineRule="auto"/>
                    <w:ind w:left="22"/>
                    <w:rPr>
                      <w:color w:val="FF000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Зазначається один з наступних варіантів:</w:t>
                  </w:r>
                </w:p>
                <w:p w:rsidR="00922358" w:rsidRDefault="001811FD">
                  <w:pPr>
                    <w:pStyle w:val="afa"/>
                    <w:widowControl w:val="0"/>
                    <w:spacing w:after="0" w:line="240" w:lineRule="auto"/>
                    <w:ind w:left="0" w:firstLine="567"/>
                  </w:pP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4"/>
                      <w:szCs w:val="24"/>
                    </w:rPr>
                    <w:t>Залишити акт без змін.</w:t>
                  </w:r>
                </w:p>
                <w:p w:rsidR="00922358" w:rsidRDefault="001811FD">
                  <w:pPr>
                    <w:pStyle w:val="afa"/>
                    <w:widowControl w:val="0"/>
                    <w:spacing w:after="0" w:line="240" w:lineRule="auto"/>
                    <w:ind w:left="0" w:firstLine="567"/>
                  </w:pPr>
                  <w:r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/>
                      <w:iCs/>
                      <w:color w:val="000000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 xml:space="preserve">Внести </w:t>
                  </w:r>
                  <w:r>
                    <w:rPr>
                      <w:rFonts w:ascii="Times New Roman" w:hAnsi="Times New Roman"/>
                      <w:iCs/>
                      <w:color w:val="000000"/>
                      <w:sz w:val="24"/>
                      <w:szCs w:val="24"/>
                    </w:rPr>
                    <w:t>зміни до діючого акта.</w:t>
                  </w:r>
                </w:p>
                <w:p w:rsidR="00922358" w:rsidRDefault="001811FD">
                  <w:pPr>
                    <w:pStyle w:val="afa"/>
                    <w:widowControl w:val="0"/>
                    <w:spacing w:after="0" w:line="240" w:lineRule="auto"/>
                    <w:ind w:left="0" w:firstLine="567"/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 </w:t>
                  </w:r>
                  <w:bookmarkStart w:id="0" w:name="__DdeLink__748_2768456388"/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Визнати таким, що втратив чинність, діючий акт та прийняти новий із дотриманням вимогам законодавства щодо змісту акта та процедури його прийняття.</w:t>
                  </w:r>
                  <w:bookmarkEnd w:id="0"/>
                </w:p>
                <w:p w:rsidR="00922358" w:rsidRDefault="001811FD">
                  <w:pPr>
                    <w:pStyle w:val="afa"/>
                    <w:widowControl w:val="0"/>
                    <w:spacing w:after="0" w:line="240" w:lineRule="auto"/>
                    <w:ind w:left="0" w:firstLine="567"/>
                  </w:pP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•</w:t>
                  </w:r>
                  <w:r>
                    <w:rPr>
                      <w:rFonts w:ascii="Times New Roman" w:eastAsia="Times New Roman" w:hAnsi="Times New Roman"/>
                      <w:iCs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Повністю визнати таким, що втратив чинність.</w:t>
                  </w:r>
                </w:p>
              </w:tc>
            </w:tr>
          </w:tbl>
          <w:p w:rsidR="00922358" w:rsidRPr="001811FD" w:rsidRDefault="00922358">
            <w:pPr>
              <w:widowControl w:val="0"/>
              <w:spacing w:after="0" w:line="240" w:lineRule="auto"/>
              <w:contextualSpacing/>
              <w:jc w:val="both"/>
              <w:rPr>
                <w:color w:val="FF0000"/>
                <w:lang w:val="ru-RU"/>
              </w:rPr>
            </w:pPr>
          </w:p>
        </w:tc>
      </w:tr>
      <w:tr w:rsidR="00922358" w:rsidRPr="001811FD">
        <w:tc>
          <w:tcPr>
            <w:tcW w:w="9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8" w:rsidRPr="001811FD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val="uk-UA"/>
              </w:rPr>
              <w:t>Обґрунтування:</w:t>
            </w:r>
          </w:p>
          <w:p w:rsidR="00922358" w:rsidRPr="001811FD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Норми акта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поширюються на будь-яких суб’єктів господарювання, які є учасниками відносин, на регулювання яких спрямовано цей акт. Акт встановлює обов’язкові для виконання вимоги. Вартість утримання дерев, кущів та газонів протягом року для визначення відновної вартост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 зелених насаджень наведено в пункті 2.2. рішення. Для визначення відновної вартості зелених насаджень (дерев, кущів, газонів) у Луцькій міській територіальній громаді, що підлягає сплаті при видаленні зелених насаджень або при їх втраті у зв’язку із відв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еденням земельної ділянки комунальної власності у встановленому порядку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юридичній або фізичній особі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uk-UA"/>
              </w:rPr>
              <w:t xml:space="preserve">, необхідно було затвердити окремі показники, а саме: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схему зон містобудівної цінності території Луцької територіальної громади та вартість утримання дерев та кущів протягом року. </w:t>
            </w:r>
          </w:p>
          <w:p w:rsidR="00922358" w:rsidRPr="001811FD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Також було затверджено вартість утримання дерев, кущів та газонів протягом року для визначення відновної вартості зелених насадже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нь. Кошти відновної вартості зелених насаджень, що підлягають видаленню або передачі при відведенні земельної ділянки, сплачуються до бюджету міста і зараховуються на цільовий фонд з метою використання для створення та відновлення зелених насаджень, створе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ння об’єктів благоустрою (парки, сквери, зелені зони), видалення аварійних дерев, формування та обрізку крон зелених насаджень, проведення інвентаризації зелених насаджень, закупівлю посадкового матеріалу дерев і кущів, квіткової розсади, насіння газонних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трав та квітів, родючого ґрунту, інертних матеріалів (щепи, висівки), захист зелених насаджень від шкідників та збудників хвороб, підживлення зелених насаджень, розвиток розсадницької справи, проведення наукових досліджень з визначення погіршення стану зел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ених насаджень та здійснення комплексу заходів з його покращення.</w:t>
            </w:r>
          </w:p>
          <w:p w:rsidR="00922358" w:rsidRPr="001811FD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Методику визначення відновної вартості зелених насаджень затверджено 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аказ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ом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Міністерства з питань житлово-комунального господарства України від 12.05.2009 № 127.</w:t>
            </w:r>
          </w:p>
          <w:p w:rsidR="00922358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Регуляторний акт відповідає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вимогам статті 19 Конституції України, яка визначає, що органи державної влади та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 </w:t>
            </w:r>
            <w:bookmarkStart w:id="1" w:name="_GoBack"/>
            <w:bookmarkEnd w:id="1"/>
          </w:p>
          <w:p w:rsidR="00922358" w:rsidRDefault="001811FD">
            <w:pPr>
              <w:widowControl w:val="0"/>
              <w:spacing w:after="0" w:line="240" w:lineRule="auto"/>
              <w:ind w:firstLine="567"/>
              <w:contextualSpacing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Рішення пов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ністю пройшло регуляторну процедуру відповідно до ЗУ “Про засади державної регуляторної політики у сфері господарської діяльності”. </w:t>
            </w:r>
          </w:p>
        </w:tc>
      </w:tr>
    </w:tbl>
    <w:p w:rsidR="00922358" w:rsidRDefault="009223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22358" w:rsidRPr="001811FD" w:rsidRDefault="00922358">
      <w:pPr>
        <w:spacing w:after="0" w:line="240" w:lineRule="auto"/>
        <w:jc w:val="center"/>
        <w:rPr>
          <w:lang w:val="ru-RU"/>
        </w:rPr>
      </w:pPr>
    </w:p>
    <w:sectPr w:rsidR="00922358" w:rsidRPr="001811FD" w:rsidSect="00922358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358" w:rsidRDefault="00922358" w:rsidP="00922358">
      <w:pPr>
        <w:spacing w:after="0" w:line="240" w:lineRule="auto"/>
      </w:pPr>
      <w:r>
        <w:separator/>
      </w:r>
    </w:p>
  </w:endnote>
  <w:endnote w:type="continuationSeparator" w:id="1">
    <w:p w:rsidR="00922358" w:rsidRDefault="00922358" w:rsidP="00922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Antiqua;Century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358" w:rsidRDefault="00922358" w:rsidP="00922358">
      <w:pPr>
        <w:spacing w:after="0" w:line="240" w:lineRule="auto"/>
      </w:pPr>
      <w:r>
        <w:separator/>
      </w:r>
    </w:p>
  </w:footnote>
  <w:footnote w:type="continuationSeparator" w:id="1">
    <w:p w:rsidR="00922358" w:rsidRDefault="00922358" w:rsidP="00922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58" w:rsidRDefault="00922358">
    <w:pPr>
      <w:pStyle w:val="Header"/>
      <w:jc w:val="center"/>
    </w:pPr>
    <w:r>
      <w:fldChar w:fldCharType="begin"/>
    </w:r>
    <w:r w:rsidR="001811FD">
      <w:instrText>PAGE</w:instrText>
    </w:r>
    <w:r>
      <w:fldChar w:fldCharType="separate"/>
    </w:r>
    <w:r w:rsidR="001811FD">
      <w:rPr>
        <w:noProof/>
      </w:rPr>
      <w:t>2</w:t>
    </w:r>
    <w:r>
      <w:fldChar w:fldCharType="end"/>
    </w:r>
  </w:p>
  <w:p w:rsidR="00922358" w:rsidRDefault="009223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58" w:rsidRDefault="009223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579DA"/>
    <w:multiLevelType w:val="multilevel"/>
    <w:tmpl w:val="FB0476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76535AA"/>
    <w:multiLevelType w:val="multilevel"/>
    <w:tmpl w:val="DB18D48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358"/>
    <w:rsid w:val="001811FD"/>
    <w:rsid w:val="00922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8"/>
    <w:pPr>
      <w:spacing w:after="160" w:line="252" w:lineRule="auto"/>
    </w:pPr>
    <w:rPr>
      <w:rFonts w:ascii="Calibri" w:eastAsia="Calibri" w:hAnsi="Calibri" w:cs="Times New Roman"/>
      <w:sz w:val="22"/>
      <w:szCs w:val="2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3"/>
    <w:qFormat/>
    <w:rsid w:val="00922358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/>
    </w:rPr>
  </w:style>
  <w:style w:type="character" w:customStyle="1" w:styleId="WW8Num1z0">
    <w:name w:val="WW8Num1z0"/>
    <w:qFormat/>
    <w:rsid w:val="00922358"/>
  </w:style>
  <w:style w:type="character" w:customStyle="1" w:styleId="WW8Num1z1">
    <w:name w:val="WW8Num1z1"/>
    <w:qFormat/>
    <w:rsid w:val="00922358"/>
  </w:style>
  <w:style w:type="character" w:customStyle="1" w:styleId="WW8Num1z2">
    <w:name w:val="WW8Num1z2"/>
    <w:qFormat/>
    <w:rsid w:val="00922358"/>
  </w:style>
  <w:style w:type="character" w:customStyle="1" w:styleId="WW8Num1z3">
    <w:name w:val="WW8Num1z3"/>
    <w:qFormat/>
    <w:rsid w:val="00922358"/>
  </w:style>
  <w:style w:type="character" w:customStyle="1" w:styleId="WW8Num1z4">
    <w:name w:val="WW8Num1z4"/>
    <w:qFormat/>
    <w:rsid w:val="00922358"/>
  </w:style>
  <w:style w:type="character" w:customStyle="1" w:styleId="WW8Num1z5">
    <w:name w:val="WW8Num1z5"/>
    <w:qFormat/>
    <w:rsid w:val="00922358"/>
  </w:style>
  <w:style w:type="character" w:customStyle="1" w:styleId="WW8Num1z6">
    <w:name w:val="WW8Num1z6"/>
    <w:qFormat/>
    <w:rsid w:val="00922358"/>
  </w:style>
  <w:style w:type="character" w:customStyle="1" w:styleId="WW8Num1z7">
    <w:name w:val="WW8Num1z7"/>
    <w:qFormat/>
    <w:rsid w:val="00922358"/>
  </w:style>
  <w:style w:type="character" w:customStyle="1" w:styleId="WW8Num1z8">
    <w:name w:val="WW8Num1z8"/>
    <w:qFormat/>
    <w:rsid w:val="00922358"/>
  </w:style>
  <w:style w:type="character" w:customStyle="1" w:styleId="WW8Num2z0">
    <w:name w:val="WW8Num2z0"/>
    <w:qFormat/>
    <w:rsid w:val="00922358"/>
    <w:rPr>
      <w:rFonts w:ascii="Cambria" w:hAnsi="Cambria" w:cs="Times New Roman"/>
    </w:rPr>
  </w:style>
  <w:style w:type="character" w:customStyle="1" w:styleId="WW8Num3z0">
    <w:name w:val="WW8Num3z0"/>
    <w:qFormat/>
    <w:rsid w:val="00922358"/>
    <w:rPr>
      <w:rFonts w:ascii="Symbol" w:hAnsi="Symbol" w:cs="OpenSymbol;Arial Unicode MS"/>
      <w:color w:val="18A303"/>
      <w:sz w:val="24"/>
      <w:szCs w:val="24"/>
      <w:lang w:val="uk-UA"/>
    </w:rPr>
  </w:style>
  <w:style w:type="character" w:customStyle="1" w:styleId="WW8Num3z1">
    <w:name w:val="WW8Num3z1"/>
    <w:qFormat/>
    <w:rsid w:val="00922358"/>
    <w:rPr>
      <w:rFonts w:ascii="OpenSymbol;Arial Unicode MS" w:hAnsi="OpenSymbol;Arial Unicode MS" w:cs="OpenSymbol;Arial Unicode MS"/>
    </w:rPr>
  </w:style>
  <w:style w:type="character" w:customStyle="1" w:styleId="WW8Num2z1">
    <w:name w:val="WW8Num2z1"/>
    <w:qFormat/>
    <w:rsid w:val="00922358"/>
    <w:rPr>
      <w:rFonts w:ascii="Courier New" w:hAnsi="Courier New" w:cs="Courier New"/>
    </w:rPr>
  </w:style>
  <w:style w:type="character" w:customStyle="1" w:styleId="WW8Num2z2">
    <w:name w:val="WW8Num2z2"/>
    <w:qFormat/>
    <w:rsid w:val="00922358"/>
    <w:rPr>
      <w:rFonts w:ascii="Wingdings" w:hAnsi="Wingdings" w:cs="Wingdings"/>
    </w:rPr>
  </w:style>
  <w:style w:type="character" w:customStyle="1" w:styleId="WW8Num3z2">
    <w:name w:val="WW8Num3z2"/>
    <w:qFormat/>
    <w:rsid w:val="00922358"/>
    <w:rPr>
      <w:rFonts w:ascii="Wingdings" w:hAnsi="Wingdings" w:cs="Wingdings"/>
    </w:rPr>
  </w:style>
  <w:style w:type="character" w:customStyle="1" w:styleId="WW8Num4z0">
    <w:name w:val="WW8Num4z0"/>
    <w:qFormat/>
    <w:rsid w:val="00922358"/>
    <w:rPr>
      <w:rFonts w:cs="Times New Roman"/>
    </w:rPr>
  </w:style>
  <w:style w:type="character" w:customStyle="1" w:styleId="WW8Num4z1">
    <w:name w:val="WW8Num4z1"/>
    <w:qFormat/>
    <w:rsid w:val="00922358"/>
  </w:style>
  <w:style w:type="character" w:customStyle="1" w:styleId="WW8Num4z2">
    <w:name w:val="WW8Num4z2"/>
    <w:qFormat/>
    <w:rsid w:val="00922358"/>
  </w:style>
  <w:style w:type="character" w:customStyle="1" w:styleId="WW8Num4z3">
    <w:name w:val="WW8Num4z3"/>
    <w:qFormat/>
    <w:rsid w:val="00922358"/>
  </w:style>
  <w:style w:type="character" w:customStyle="1" w:styleId="WW8Num4z4">
    <w:name w:val="WW8Num4z4"/>
    <w:qFormat/>
    <w:rsid w:val="00922358"/>
  </w:style>
  <w:style w:type="character" w:customStyle="1" w:styleId="WW8Num4z5">
    <w:name w:val="WW8Num4z5"/>
    <w:qFormat/>
    <w:rsid w:val="00922358"/>
  </w:style>
  <w:style w:type="character" w:customStyle="1" w:styleId="WW8Num4z6">
    <w:name w:val="WW8Num4z6"/>
    <w:qFormat/>
    <w:rsid w:val="00922358"/>
  </w:style>
  <w:style w:type="character" w:customStyle="1" w:styleId="WW8Num4z7">
    <w:name w:val="WW8Num4z7"/>
    <w:qFormat/>
    <w:rsid w:val="00922358"/>
  </w:style>
  <w:style w:type="character" w:customStyle="1" w:styleId="WW8Num4z8">
    <w:name w:val="WW8Num4z8"/>
    <w:qFormat/>
    <w:rsid w:val="00922358"/>
  </w:style>
  <w:style w:type="character" w:customStyle="1" w:styleId="a4">
    <w:name w:val="Шрифт абзацу за замовчуванням"/>
    <w:qFormat/>
    <w:rsid w:val="00922358"/>
  </w:style>
  <w:style w:type="character" w:customStyle="1" w:styleId="a5">
    <w:name w:val="Знак примітки"/>
    <w:qFormat/>
    <w:rsid w:val="00922358"/>
    <w:rPr>
      <w:sz w:val="16"/>
      <w:szCs w:val="16"/>
    </w:rPr>
  </w:style>
  <w:style w:type="character" w:customStyle="1" w:styleId="a6">
    <w:name w:val="Текст примітки Знак"/>
    <w:qFormat/>
    <w:rsid w:val="00922358"/>
    <w:rPr>
      <w:sz w:val="20"/>
      <w:szCs w:val="20"/>
    </w:rPr>
  </w:style>
  <w:style w:type="character" w:customStyle="1" w:styleId="a7">
    <w:name w:val="Тема примітки Знак"/>
    <w:qFormat/>
    <w:rsid w:val="00922358"/>
    <w:rPr>
      <w:b/>
      <w:bCs/>
      <w:sz w:val="20"/>
      <w:szCs w:val="20"/>
    </w:rPr>
  </w:style>
  <w:style w:type="character" w:customStyle="1" w:styleId="a8">
    <w:name w:val="Текст у виносці Знак"/>
    <w:qFormat/>
    <w:rsid w:val="00922358"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sid w:val="00922358"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sid w:val="00922358"/>
    <w:rPr>
      <w:rFonts w:ascii="Times New Roman" w:hAnsi="Times New Roman" w:cs="Times New Roman"/>
    </w:rPr>
  </w:style>
  <w:style w:type="character" w:customStyle="1" w:styleId="rvts23">
    <w:name w:val="rvts23"/>
    <w:qFormat/>
    <w:rsid w:val="00922358"/>
    <w:rPr>
      <w:rFonts w:ascii="Times New Roman" w:hAnsi="Times New Roman" w:cs="Times New Roman"/>
    </w:rPr>
  </w:style>
  <w:style w:type="character" w:customStyle="1" w:styleId="aa">
    <w:name w:val="Основной текст_"/>
    <w:qFormat/>
    <w:rsid w:val="009223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sid w:val="00922358"/>
    <w:rPr>
      <w:color w:val="0563C1"/>
      <w:u w:val="single"/>
    </w:rPr>
  </w:style>
  <w:style w:type="character" w:customStyle="1" w:styleId="1">
    <w:name w:val="Незакрита згадка1"/>
    <w:qFormat/>
    <w:rsid w:val="00922358"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sid w:val="00922358"/>
    <w:rPr>
      <w:lang w:val="uk-UA"/>
    </w:rPr>
  </w:style>
  <w:style w:type="character" w:customStyle="1" w:styleId="ad">
    <w:name w:val="Відвідане гіперпосилання"/>
    <w:rsid w:val="00922358"/>
    <w:rPr>
      <w:color w:val="954F72"/>
      <w:u w:val="single"/>
    </w:rPr>
  </w:style>
  <w:style w:type="character" w:customStyle="1" w:styleId="3">
    <w:name w:val="Заголовок 3 Знак"/>
    <w:qFormat/>
    <w:rsid w:val="0092235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sid w:val="00922358"/>
    <w:rPr>
      <w:rFonts w:ascii="Consolas" w:hAnsi="Consolas" w:cs="Consolas"/>
      <w:sz w:val="20"/>
      <w:szCs w:val="20"/>
    </w:rPr>
  </w:style>
  <w:style w:type="character" w:customStyle="1" w:styleId="30">
    <w:name w:val="Основний текст з відступом 3 Знак"/>
    <w:qFormat/>
    <w:rsid w:val="00922358"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4"/>
    <w:qFormat/>
    <w:rsid w:val="00922358"/>
  </w:style>
  <w:style w:type="character" w:customStyle="1" w:styleId="af">
    <w:name w:val="Маркери списку"/>
    <w:qFormat/>
    <w:rsid w:val="00922358"/>
    <w:rPr>
      <w:rFonts w:ascii="OpenSymbol;Arial Unicode MS" w:eastAsia="OpenSymbol;Arial Unicode MS" w:hAnsi="OpenSymbol;Arial Unicode MS" w:cs="OpenSymbol;Arial Unicode MS"/>
    </w:rPr>
  </w:style>
  <w:style w:type="character" w:customStyle="1" w:styleId="af0">
    <w:name w:val="Виділення жирним"/>
    <w:qFormat/>
    <w:rsid w:val="00922358"/>
    <w:rPr>
      <w:b/>
      <w:bCs/>
    </w:rPr>
  </w:style>
  <w:style w:type="paragraph" w:customStyle="1" w:styleId="af1">
    <w:name w:val="Заголовок"/>
    <w:basedOn w:val="a"/>
    <w:next w:val="a3"/>
    <w:qFormat/>
    <w:rsid w:val="0092235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922358"/>
    <w:pPr>
      <w:spacing w:after="140" w:line="276" w:lineRule="auto"/>
    </w:pPr>
  </w:style>
  <w:style w:type="paragraph" w:styleId="af2">
    <w:name w:val="List"/>
    <w:basedOn w:val="a3"/>
    <w:rsid w:val="00922358"/>
    <w:rPr>
      <w:rFonts w:cs="Arial"/>
    </w:rPr>
  </w:style>
  <w:style w:type="paragraph" w:customStyle="1" w:styleId="Caption">
    <w:name w:val="Caption"/>
    <w:basedOn w:val="a"/>
    <w:qFormat/>
    <w:rsid w:val="0092235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3">
    <w:name w:val="Покажчик"/>
    <w:basedOn w:val="a"/>
    <w:qFormat/>
    <w:rsid w:val="00922358"/>
    <w:pPr>
      <w:suppressLineNumbers/>
    </w:pPr>
    <w:rPr>
      <w:rFonts w:cs="Arial"/>
    </w:rPr>
  </w:style>
  <w:style w:type="paragraph" w:styleId="af4">
    <w:name w:val="Title"/>
    <w:basedOn w:val="a"/>
    <w:next w:val="a3"/>
    <w:qFormat/>
    <w:rsid w:val="00922358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f5">
    <w:name w:val="caption"/>
    <w:basedOn w:val="a"/>
    <w:qFormat/>
    <w:rsid w:val="0092235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6">
    <w:name w:val="Текст примітки"/>
    <w:basedOn w:val="a"/>
    <w:qFormat/>
    <w:rsid w:val="00922358"/>
    <w:pPr>
      <w:spacing w:line="240" w:lineRule="auto"/>
    </w:pPr>
    <w:rPr>
      <w:sz w:val="20"/>
      <w:szCs w:val="20"/>
      <w:lang w:val="uk-UA"/>
    </w:rPr>
  </w:style>
  <w:style w:type="paragraph" w:customStyle="1" w:styleId="af7">
    <w:name w:val="Тема примітки"/>
    <w:basedOn w:val="af6"/>
    <w:next w:val="af6"/>
    <w:qFormat/>
    <w:rsid w:val="00922358"/>
    <w:rPr>
      <w:b/>
      <w:bCs/>
    </w:rPr>
  </w:style>
  <w:style w:type="paragraph" w:customStyle="1" w:styleId="af8">
    <w:name w:val="Текст у виносці"/>
    <w:basedOn w:val="a"/>
    <w:qFormat/>
    <w:rsid w:val="00922358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9">
    <w:name w:val="Нормальний текст"/>
    <w:basedOn w:val="a"/>
    <w:qFormat/>
    <w:rsid w:val="00922358"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rsid w:val="00922358"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/>
      <w:sz w:val="23"/>
      <w:szCs w:val="23"/>
      <w:lang w:val="uk-UA"/>
    </w:rPr>
  </w:style>
  <w:style w:type="paragraph" w:customStyle="1" w:styleId="afa">
    <w:name w:val="Абзац списку"/>
    <w:basedOn w:val="a"/>
    <w:qFormat/>
    <w:rsid w:val="00922358"/>
    <w:pPr>
      <w:spacing w:after="200" w:line="276" w:lineRule="auto"/>
      <w:ind w:left="720"/>
      <w:contextualSpacing/>
    </w:pPr>
    <w:rPr>
      <w:lang w:val="uk-UA"/>
    </w:rPr>
  </w:style>
  <w:style w:type="paragraph" w:customStyle="1" w:styleId="afb">
    <w:name w:val="Верхній і нижній колонтитули"/>
    <w:basedOn w:val="a"/>
    <w:qFormat/>
    <w:rsid w:val="00922358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a"/>
    <w:rsid w:val="00922358"/>
    <w:pPr>
      <w:spacing w:after="0" w:line="240" w:lineRule="auto"/>
    </w:pPr>
    <w:rPr>
      <w:sz w:val="20"/>
      <w:szCs w:val="20"/>
      <w:lang w:val="uk-UA"/>
    </w:rPr>
  </w:style>
  <w:style w:type="paragraph" w:customStyle="1" w:styleId="afc">
    <w:name w:val="Без інтервалів"/>
    <w:qFormat/>
    <w:rsid w:val="00922358"/>
    <w:rPr>
      <w:rFonts w:ascii="Calibri" w:eastAsia="Calibri" w:hAnsi="Calibri" w:cs="Times New Roman"/>
      <w:sz w:val="22"/>
      <w:szCs w:val="22"/>
      <w:lang w:val="en-US" w:bidi="ar-SA"/>
    </w:rPr>
  </w:style>
  <w:style w:type="paragraph" w:customStyle="1" w:styleId="afd">
    <w:name w:val="Звичайний (веб)"/>
    <w:basedOn w:val="a"/>
    <w:qFormat/>
    <w:rsid w:val="0092235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TML0">
    <w:name w:val="Стандартний HTML"/>
    <w:basedOn w:val="a"/>
    <w:qFormat/>
    <w:rsid w:val="00922358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1">
    <w:name w:val="Основний текст з відступом 3"/>
    <w:basedOn w:val="a"/>
    <w:qFormat/>
    <w:rsid w:val="00922358"/>
    <w:pPr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val="ru-RU"/>
    </w:rPr>
  </w:style>
  <w:style w:type="paragraph" w:customStyle="1" w:styleId="Header">
    <w:name w:val="Header"/>
    <w:basedOn w:val="a"/>
    <w:rsid w:val="0092235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e">
    <w:name w:val="Вміст таблиці"/>
    <w:basedOn w:val="a"/>
    <w:qFormat/>
    <w:rsid w:val="00922358"/>
    <w:pPr>
      <w:suppressLineNumbers/>
    </w:pPr>
  </w:style>
  <w:style w:type="paragraph" w:customStyle="1" w:styleId="aff">
    <w:name w:val="Заголовок таблиці"/>
    <w:basedOn w:val="afe"/>
    <w:qFormat/>
    <w:rsid w:val="00922358"/>
    <w:pPr>
      <w:jc w:val="center"/>
    </w:pPr>
    <w:rPr>
      <w:b/>
      <w:bCs/>
    </w:rPr>
  </w:style>
  <w:style w:type="paragraph" w:customStyle="1" w:styleId="aff0">
    <w:name w:val="Текст у вказаному форматі"/>
    <w:basedOn w:val="a"/>
    <w:qFormat/>
    <w:rsid w:val="00922358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numbering" w:customStyle="1" w:styleId="WW8Num1">
    <w:name w:val="WW8Num1"/>
    <w:qFormat/>
    <w:rsid w:val="00922358"/>
  </w:style>
  <w:style w:type="numbering" w:customStyle="1" w:styleId="WW8Num2">
    <w:name w:val="WW8Num2"/>
    <w:qFormat/>
    <w:rsid w:val="00922358"/>
  </w:style>
  <w:style w:type="numbering" w:customStyle="1" w:styleId="WW8Num3">
    <w:name w:val="WW8Num3"/>
    <w:qFormat/>
    <w:rsid w:val="0092235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5245</Words>
  <Characters>2991</Characters>
  <Application>Microsoft Office Word</Application>
  <DocSecurity>0</DocSecurity>
  <Lines>24</Lines>
  <Paragraphs>16</Paragraphs>
  <ScaleCrop>false</ScaleCrop>
  <Company>Reanimator Extreme Edition</Company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karpuko</cp:lastModifiedBy>
  <cp:revision>48</cp:revision>
  <cp:lastPrinted>2021-12-17T14:08:00Z</cp:lastPrinted>
  <dcterms:created xsi:type="dcterms:W3CDTF">2021-05-11T16:04:00Z</dcterms:created>
  <dcterms:modified xsi:type="dcterms:W3CDTF">2021-12-17T14:10:00Z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