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left="0" w:right="0" w:firstLine="851"/>
        <w:jc w:val="right"/>
        <w:rPr>
          <w:rFonts w:ascii="Times New Roman" w:hAnsi="Times New Roman" w:cs="Times New Roman"/>
          <w:sz w:val="24"/>
          <w:szCs w:val="24"/>
          <w:lang w:val="uk-UA"/>
        </w:rPr>
      </w:pPr>
      <w:r>
        <w:rPr>
          <w:rFonts w:cs="Times New Roman" w:ascii="Times New Roman" w:hAnsi="Times New Roman"/>
          <w:sz w:val="24"/>
          <w:szCs w:val="24"/>
          <w:lang w:val="uk-UA"/>
        </w:rPr>
        <w:t>Додаток до протоколу</w:t>
      </w:r>
    </w:p>
    <w:p>
      <w:pPr>
        <w:pStyle w:val="Normal"/>
        <w:spacing w:lineRule="auto" w:line="240" w:before="0" w:after="0"/>
        <w:jc w:val="right"/>
        <w:rPr>
          <w:rFonts w:ascii="Times New Roman" w:hAnsi="Times New Roman" w:cs="Times New Roman"/>
          <w:sz w:val="24"/>
          <w:szCs w:val="24"/>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645" w:type="dxa"/>
        <w:jc w:val="left"/>
        <w:tblInd w:w="89" w:type="dxa"/>
        <w:tblLayout w:type="fixed"/>
        <w:tblCellMar>
          <w:top w:w="0" w:type="dxa"/>
          <w:left w:w="108" w:type="dxa"/>
          <w:bottom w:w="0" w:type="dxa"/>
          <w:right w:w="108" w:type="dxa"/>
        </w:tblCellMar>
      </w:tblPr>
      <w:tblGrid>
        <w:gridCol w:w="675"/>
        <w:gridCol w:w="4695"/>
        <w:gridCol w:w="4275"/>
      </w:tblGrid>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u w:val="single"/>
                <w:lang w:val="uk-UA"/>
              </w:rPr>
            </w:pPr>
            <w:r>
              <w:rPr>
                <w:rFonts w:cs="Times New Roman" w:ascii="Times New Roman" w:hAnsi="Times New Roman"/>
                <w:sz w:val="24"/>
                <w:szCs w:val="24"/>
                <w:u w:val="single"/>
                <w:lang w:val="uk-UA"/>
              </w:rPr>
              <w:t>Найменування органу  місцевого самоврядування</w:t>
            </w:r>
          </w:p>
          <w:p>
            <w:pPr>
              <w:pStyle w:val="Normal"/>
              <w:widowControl w:val="false"/>
              <w:spacing w:lineRule="auto" w:line="240" w:before="0" w:after="0"/>
              <w:ind w:left="0" w:right="0" w:firstLine="851"/>
              <w:jc w:val="center"/>
              <w:rPr/>
            </w:pPr>
            <w:r>
              <w:rPr>
                <w:rFonts w:cs="Times New Roman" w:ascii="Times New Roman" w:hAnsi="Times New Roman"/>
                <w:b/>
                <w:bCs/>
                <w:sz w:val="24"/>
                <w:szCs w:val="24"/>
                <w:lang w:val="uk-UA"/>
              </w:rPr>
              <w:t>Луцька міська рада</w:t>
            </w:r>
            <w:r>
              <w:rPr>
                <w:rFonts w:cs="Times New Roman" w:ascii="Times New Roman" w:hAnsi="Times New Roman"/>
                <w:sz w:val="24"/>
                <w:szCs w:val="24"/>
                <w:lang w:val="uk-UA"/>
              </w:rPr>
              <w:t xml:space="preserve"> </w:t>
            </w:r>
          </w:p>
          <w:p>
            <w:pPr>
              <w:pStyle w:val="Normal"/>
              <w:widowControl w:val="false"/>
              <w:spacing w:lineRule="auto" w:line="240" w:before="0" w:after="0"/>
              <w:ind w:left="0" w:right="0" w:firstLine="851"/>
              <w:jc w:val="center"/>
              <w:rPr/>
            </w:pPr>
            <w:r>
              <w:rPr/>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sz w:val="24"/>
                <w:szCs w:val="24"/>
                <w:lang w:val="uk-UA"/>
              </w:rPr>
            </w:pPr>
            <w:r>
              <w:rPr>
                <w:rFonts w:cs="Times New Roman" w:ascii="Times New Roman" w:hAnsi="Times New Roman"/>
                <w:sz w:val="24"/>
                <w:szCs w:val="24"/>
                <w:lang w:val="uk-UA"/>
              </w:rPr>
              <w:t>Назва, дата прийняття та номер акта</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Рішення виконавчого комітету міської ради</w:t>
            </w:r>
          </w:p>
          <w:p>
            <w:pPr>
              <w:pStyle w:val="Normal"/>
              <w:widowControl w:val="false"/>
              <w:spacing w:lineRule="auto" w:line="240" w:before="0" w:after="0"/>
              <w:ind w:left="0" w:right="0" w:firstLine="851"/>
              <w:jc w:val="center"/>
              <w:rPr/>
            </w:pPr>
            <w:r>
              <w:rPr>
                <w:rFonts w:cs="Times New Roman" w:ascii="Times New Roman" w:hAnsi="Times New Roman"/>
                <w:b/>
                <w:bCs/>
                <w:sz w:val="24"/>
                <w:szCs w:val="24"/>
                <w:lang w:val="uk-UA"/>
              </w:rPr>
              <w:t>“</w:t>
            </w:r>
            <w:r>
              <w:rPr>
                <w:rFonts w:cs="Times New Roman" w:ascii="Times New Roman" w:hAnsi="Times New Roman"/>
                <w:b/>
                <w:bCs/>
                <w:sz w:val="24"/>
                <w:szCs w:val="24"/>
                <w:lang w:val="uk-UA"/>
              </w:rPr>
              <w:t>Про вартість послуг з видачі технічних умов, що надаються                                  ДКП “Луцьктепло” від 02.08. 2017 № 428-1</w:t>
            </w:r>
          </w:p>
          <w:p>
            <w:pPr>
              <w:pStyle w:val="Normal"/>
              <w:widowControl w:val="false"/>
              <w:spacing w:lineRule="auto" w:line="240" w:before="0" w:after="0"/>
              <w:ind w:left="0" w:right="0" w:firstLine="851"/>
              <w:jc w:val="center"/>
              <w:rPr>
                <w:rFonts w:ascii="Times New Roman" w:hAnsi="Times New Roman" w:cs="Times New Roman"/>
                <w:b/>
                <w:b/>
                <w:bCs/>
                <w:sz w:val="24"/>
                <w:szCs w:val="24"/>
                <w:lang w:val="uk-UA"/>
              </w:rPr>
            </w:pPr>
            <w:r>
              <w:rPr/>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w:t>
            </w:r>
          </w:p>
          <w:p>
            <w:pPr>
              <w:pStyle w:val="Normal"/>
              <w:widowControl w:val="false"/>
              <w:spacing w:lineRule="auto" w:line="240" w:before="0" w:after="0"/>
              <w:ind w:left="0" w:right="0"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Так +</w:t>
            </w:r>
          </w:p>
          <w:p>
            <w:pPr>
              <w:pStyle w:val="Normal"/>
              <w:widowControl w:val="false"/>
              <w:spacing w:lineRule="auto" w:line="240" w:before="0" w:after="0"/>
              <w:ind w:left="0" w:right="0" w:firstLine="851"/>
              <w:jc w:val="both"/>
              <w:rPr>
                <w:rFonts w:ascii="Times New Roman" w:hAnsi="Times New Roman" w:cs="Times New Roman"/>
                <w:sz w:val="24"/>
                <w:szCs w:val="24"/>
                <w:lang w:val="uk-UA"/>
              </w:rPr>
            </w:pP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 xml:space="preserve">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 </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w:t>
            </w:r>
          </w:p>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Так+</w:t>
            </w:r>
            <w:r>
              <w:rPr>
                <w:rFonts w:cs="Times New Roman" w:ascii="Times New Roman" w:hAnsi="Times New Roman"/>
                <w:bCs/>
                <w:sz w:val="24"/>
                <w:szCs w:val="24"/>
                <w:lang w:val="uk-UA"/>
              </w:rPr>
              <w:t xml:space="preserve"> </w:t>
            </w:r>
            <w:r>
              <w:rPr>
                <w:rFonts w:cs="Times New Roman" w:ascii="Times New Roman" w:hAnsi="Times New Roman"/>
                <w:sz w:val="24"/>
                <w:szCs w:val="24"/>
                <w:lang w:val="uk-UA"/>
              </w:rPr>
              <w:t>(пояснення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w:t>
            </w:r>
          </w:p>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Так</w:t>
            </w:r>
            <w:r>
              <w:rPr>
                <w:rFonts w:cs="Times New Roman" w:ascii="Times New Roman" w:hAnsi="Times New Roman"/>
                <w:b/>
                <w:sz w:val="24"/>
                <w:szCs w:val="24"/>
                <w:lang w:val="uk-UA"/>
              </w:rPr>
              <w:t>+</w:t>
            </w:r>
            <w:r>
              <w:rPr>
                <w:rFonts w:cs="Times New Roman" w:ascii="Times New Roman" w:hAnsi="Times New Roman"/>
                <w:sz w:val="24"/>
                <w:szCs w:val="24"/>
                <w:lang w:val="uk-UA"/>
              </w:rPr>
              <w:t xml:space="preserve"> (пояснення наводиться у обґрунтуванні розділу «Рекомендації»)</w:t>
            </w:r>
            <w:r>
              <w:rPr>
                <w:rFonts w:cs="Times New Roman" w:ascii="Times New Roman" w:hAnsi="Times New Roman"/>
                <w:bCs/>
                <w:sz w:val="24"/>
                <w:szCs w:val="24"/>
                <w:lang w:val="uk-UA"/>
              </w:rPr>
              <w:t xml:space="preserve">               </w:t>
            </w:r>
          </w:p>
        </w:tc>
      </w:tr>
      <w:tr>
        <w:trPr>
          <w:trHeight w:val="922" w:hRule="atLeast"/>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 xml:space="preserve">Висновок: </w:t>
            </w:r>
          </w:p>
          <w:p>
            <w:pPr>
              <w:pStyle w:val="Style35"/>
              <w:widowControl w:val="false"/>
              <w:numPr>
                <w:ilvl w:val="0"/>
                <w:numId w:val="2"/>
              </w:numPr>
              <w:spacing w:lineRule="auto" w:line="240" w:before="0" w:after="0"/>
              <w:ind w:left="720" w:right="0" w:hanging="36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5"/>
              <w:widowControl w:val="false"/>
              <w:numPr>
                <w:ilvl w:val="0"/>
                <w:numId w:val="2"/>
              </w:numPr>
              <w:spacing w:lineRule="auto" w:line="240" w:before="0" w:after="0"/>
              <w:ind w:left="720" w:right="0" w:hanging="360"/>
              <w:contextualSpacing/>
              <w:rPr>
                <w:rFonts w:ascii="Times New Roman" w:hAnsi="Times New Roman" w:cs="Times New Roman"/>
                <w:sz w:val="24"/>
                <w:szCs w:val="24"/>
              </w:rPr>
            </w:pPr>
            <w:r>
              <w:rPr>
                <w:rFonts w:cs="Times New Roman" w:ascii="Times New Roman" w:hAnsi="Times New Roman"/>
                <w:sz w:val="24"/>
                <w:szCs w:val="24"/>
              </w:rPr>
              <w:t xml:space="preserve">акт не є регуляторним та не потребує подальшого аналізу </w:t>
            </w:r>
          </w:p>
          <w:p>
            <w:pPr>
              <w:pStyle w:val="Style35"/>
              <w:widowControl w:val="false"/>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sz w:val="24"/>
                <w:szCs w:val="24"/>
                <w:lang w:val="uk-UA"/>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sz w:val="24"/>
                <w:szCs w:val="24"/>
                <w:lang w:val="uk-UA"/>
              </w:rPr>
              <w:t>Т</w:t>
            </w:r>
            <w:r>
              <w:rPr>
                <w:rFonts w:cs="Times New Roman" w:ascii="Times New Roman" w:hAnsi="Times New Roman"/>
                <w:b/>
                <w:bCs/>
                <w:sz w:val="20"/>
                <w:szCs w:val="20"/>
                <w:lang w:val="uk-UA"/>
              </w:rPr>
              <w:t>ак+</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Ні___ </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tabs>
                <w:tab w:val="clear" w:pos="720"/>
                <w:tab w:val="right" w:pos="252" w:leader="none"/>
                <w:tab w:val="center" w:pos="551" w:leader="none"/>
              </w:tabs>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ab/>
              <w:t xml:space="preserve">   2.</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був прийнятий в межах компетенції органу?</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sz w:val="24"/>
                <w:szCs w:val="24"/>
                <w:lang w:val="uk-UA"/>
              </w:rPr>
            </w:pPr>
            <w:r>
              <w:rPr>
                <w:rFonts w:cs="Times New Roman" w:ascii="Times New Roman" w:hAnsi="Times New Roman"/>
                <w:i/>
                <w:iCs/>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sz w:val="24"/>
                <w:szCs w:val="24"/>
                <w:lang w:val="uk-UA"/>
              </w:rPr>
            </w:pPr>
            <w:r>
              <w:rPr>
                <w:rFonts w:cs="Times New Roman" w:ascii="Times New Roman" w:hAnsi="Times New Roman"/>
                <w:b/>
                <w:bCs/>
                <w:sz w:val="24"/>
                <w:szCs w:val="24"/>
                <w:lang w:val="uk-UA"/>
              </w:rPr>
              <w:t xml:space="preserve">Так + </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sz w:val="24"/>
                <w:szCs w:val="24"/>
                <w:lang w:val="uk-UA"/>
              </w:rPr>
            </w:pPr>
            <w:r>
              <w:rPr>
                <w:rFonts w:cs="Times New Roman" w:ascii="Times New Roman" w:hAnsi="Times New Roman"/>
                <w:i/>
                <w:iCs/>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left="0" w:right="0" w:firstLine="851"/>
              <w:rPr>
                <w:rFonts w:ascii="Times New Roman" w:hAnsi="Times New Roman" w:cs="Times New Roman"/>
                <w:i/>
                <w:i/>
                <w:iCs/>
                <w:sz w:val="24"/>
                <w:szCs w:val="24"/>
                <w:lang w:val="uk-UA"/>
              </w:rPr>
            </w:pPr>
            <w:r>
              <w:rPr>
                <w:rFonts w:cs="Times New Roman" w:ascii="Times New Roman" w:hAnsi="Times New Roman"/>
                <w:i/>
                <w:iCs/>
                <w:sz w:val="24"/>
                <w:szCs w:val="24"/>
                <w:lang w:val="uk-UA"/>
              </w:rPr>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b/>
                <w:b/>
                <w:sz w:val="24"/>
                <w:szCs w:val="24"/>
                <w:lang w:val="uk-UA"/>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rPr>
                <w:rFonts w:ascii="Times New Roman" w:hAnsi="Times New Roman" w:cs="Times New Roman"/>
                <w:sz w:val="20"/>
                <w:szCs w:val="20"/>
                <w:lang w:val="uk-UA"/>
              </w:rPr>
            </w:pPr>
            <w:r>
              <w:rPr>
                <w:rFonts w:cs="Times New Roman" w:ascii="Times New Roman" w:hAnsi="Times New Roman"/>
                <w:sz w:val="20"/>
                <w:szCs w:val="20"/>
                <w:lang w:val="uk-UA"/>
              </w:rPr>
              <w:t>встановлення економічно обґрунтованої вартості послуги з видачі технічних умов, приведення видів технічних умов у відповідність до змін, які відбулись у законодавчій базі.</w:t>
            </w:r>
          </w:p>
        </w:tc>
      </w:tr>
      <w:tr>
        <w:trPr>
          <w:trHeight w:val="862" w:hRule="atLeast"/>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мети акта за суб’єктивними чинниками.</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0"/>
                <w:szCs w:val="20"/>
                <w:lang w:val="uk-UA"/>
              </w:rPr>
            </w:pPr>
            <w:r>
              <w:rPr>
                <w:rFonts w:cs="Times New Roman" w:ascii="Times New Roman" w:hAnsi="Times New Roman"/>
                <w:sz w:val="20"/>
                <w:szCs w:val="20"/>
                <w:lang w:val="uk-UA"/>
              </w:rPr>
              <w:t>забезпечення беззбиткового функціонування даного виду діяльності державного комунального  підприємства</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Визначення проблем, які акт повинен був би вирішувати.</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rPr>
                <w:rFonts w:ascii="Times New Roman" w:hAnsi="Times New Roman" w:cs="Times New Roman"/>
                <w:sz w:val="20"/>
                <w:szCs w:val="20"/>
                <w:lang w:val="uk-UA"/>
              </w:rPr>
            </w:pPr>
            <w:r>
              <w:rPr>
                <w:rFonts w:cs="Times New Roman" w:ascii="Times New Roman" w:hAnsi="Times New Roman"/>
                <w:sz w:val="20"/>
                <w:szCs w:val="20"/>
                <w:lang w:val="uk-UA"/>
              </w:rPr>
              <w:t>приведення видів технічних умов у відповідність до змін, які відбулись у законодавчій базі, зокрема відповідно до вимог Закону про комерційний облік теплової енергії та водопостачання»</w:t>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rPr>
                <w:rFonts w:ascii="Times New Roman" w:hAnsi="Times New Roman" w:cs="Times New Roman"/>
                <w:sz w:val="24"/>
                <w:szCs w:val="24"/>
                <w:lang w:val="uk-UA"/>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Ні ____</w:t>
            </w:r>
          </w:p>
          <w:p>
            <w:pPr>
              <w:pStyle w:val="Normal"/>
              <w:widowControl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7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69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p>
            <w:pPr>
              <w:pStyle w:val="Normal"/>
              <w:widowControl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275"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507"/>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Style35"/>
              <w:widowControl w:val="false"/>
              <w:spacing w:lineRule="auto" w:line="240" w:before="0" w:after="0"/>
              <w:ind w:left="22" w:right="0" w:hanging="0"/>
              <w:contextualSpacing/>
              <w:rPr/>
            </w:pPr>
            <w:r>
              <w:rPr>
                <w:rFonts w:eastAsia="Times New Roman" w:cs="Times New Roman" w:ascii="Times New Roman" w:hAnsi="Times New Roman"/>
                <w:iCs/>
                <w:sz w:val="24"/>
                <w:szCs w:val="24"/>
              </w:rPr>
              <w:t xml:space="preserve">         </w:t>
            </w:r>
            <w:r>
              <w:rPr>
                <w:rFonts w:cs="Times New Roman" w:ascii="Times New Roman" w:hAnsi="Times New Roman"/>
                <w:iCs/>
                <w:sz w:val="24"/>
                <w:szCs w:val="24"/>
              </w:rPr>
              <w:t>Зазначається один з наступних варіантів:</w:t>
            </w:r>
          </w:p>
          <w:p>
            <w:pPr>
              <w:pStyle w:val="Style35"/>
              <w:widowControl w:val="false"/>
              <w:spacing w:lineRule="auto" w:line="240" w:before="0" w:after="0"/>
              <w:ind w:left="0" w:right="0" w:firstLine="567"/>
              <w:contextualSpacing/>
              <w:rPr/>
            </w:pPr>
            <w:r>
              <w:rPr>
                <w:rFonts w:cs="Times New Roman" w:ascii="Times New Roman" w:hAnsi="Times New Roman"/>
                <w:b/>
                <w:bCs/>
                <w:iCs/>
                <w:sz w:val="24"/>
                <w:szCs w:val="24"/>
              </w:rPr>
              <w:t>•</w:t>
            </w:r>
            <w:r>
              <w:rPr>
                <w:rFonts w:eastAsia="Times New Roman" w:cs="Times New Roman" w:ascii="Times New Roman" w:hAnsi="Times New Roman"/>
                <w:b/>
                <w:bCs/>
                <w:iCs/>
                <w:sz w:val="24"/>
                <w:szCs w:val="24"/>
              </w:rPr>
              <w:t> </w:t>
            </w:r>
            <w:r>
              <w:rPr>
                <w:rFonts w:cs="Times New Roman" w:ascii="Times New Roman" w:hAnsi="Times New Roman"/>
                <w:bCs/>
                <w:iCs/>
                <w:sz w:val="24"/>
                <w:szCs w:val="24"/>
              </w:rPr>
              <w:t>Залишити акт без змін</w:t>
            </w:r>
          </w:p>
          <w:p>
            <w:pPr>
              <w:pStyle w:val="Style35"/>
              <w:widowControl w:val="false"/>
              <w:spacing w:lineRule="auto" w:line="240" w:before="0" w:after="0"/>
              <w:ind w:left="0" w:right="0" w:firstLine="567"/>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iCs/>
                <w:sz w:val="24"/>
                <w:szCs w:val="24"/>
              </w:rPr>
              <w:t>Внести зміни до діючого акта в частині приєднання сільських територій до міста.</w:t>
            </w:r>
          </w:p>
          <w:p>
            <w:pPr>
              <w:pStyle w:val="Style35"/>
              <w:widowControl w:val="false"/>
              <w:spacing w:lineRule="auto" w:line="240" w:before="0" w:after="0"/>
              <w:ind w:left="0" w:right="0" w:firstLine="567"/>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w:t>
            </w:r>
            <w:r>
              <w:rPr>
                <w:rFonts w:cs="Times New Roman" w:ascii="Times New Roman" w:hAnsi="Times New Roman"/>
                <w:b/>
                <w:iCs/>
                <w:sz w:val="24"/>
                <w:szCs w:val="24"/>
              </w:rPr>
              <w:t>Визнати таким, що втратив чинність, діючий акт та прийняти новий із дотриманням вимога законодавства щодо змісту акта та процедури його прийняття.</w:t>
            </w:r>
          </w:p>
          <w:p>
            <w:pPr>
              <w:pStyle w:val="Style35"/>
              <w:widowControl w:val="false"/>
              <w:spacing w:lineRule="auto" w:line="240" w:before="0" w:after="0"/>
              <w:ind w:left="0" w:right="0" w:firstLine="567"/>
              <w:contextualSpacing/>
              <w:jc w:val="both"/>
              <w:rPr/>
            </w:pPr>
            <w:r>
              <w:rPr>
                <w:rFonts w:cs="Times New Roman" w:ascii="Times New Roman" w:hAnsi="Times New Roman"/>
                <w:iCs/>
                <w:sz w:val="24"/>
                <w:szCs w:val="24"/>
              </w:rPr>
              <w:t>•</w:t>
            </w:r>
            <w:r>
              <w:rPr>
                <w:rFonts w:eastAsia="Times New Roman" w:cs="Times New Roman" w:ascii="Times New Roman" w:hAnsi="Times New Roman"/>
                <w:iCs/>
                <w:sz w:val="24"/>
                <w:szCs w:val="24"/>
              </w:rPr>
              <w:t xml:space="preserve"> </w:t>
            </w:r>
            <w:r>
              <w:rPr>
                <w:rFonts w:cs="Times New Roman" w:ascii="Times New Roman" w:hAnsi="Times New Roman"/>
                <w:iCs/>
                <w:sz w:val="24"/>
                <w:szCs w:val="24"/>
              </w:rPr>
              <w:t>Повністю визнати таким, що втратив чинніс</w:t>
            </w:r>
            <w:r>
              <w:rPr>
                <w:rFonts w:cs="Times New Roman" w:ascii="Times New Roman" w:hAnsi="Times New Roman"/>
                <w:iCs/>
                <w:sz w:val="24"/>
                <w:szCs w:val="24"/>
                <w:u w:val="none"/>
              </w:rPr>
              <w:t>ть.</w:t>
            </w:r>
          </w:p>
        </w:tc>
      </w:tr>
      <w:tr>
        <w:trPr/>
        <w:tc>
          <w:tcPr>
            <w:tcW w:w="9645" w:type="dxa"/>
            <w:gridSpan w:val="3"/>
            <w:tcBorders>
              <w:top w:val="single" w:sz="4" w:space="0" w:color="000000"/>
              <w:left w:val="single" w:sz="4" w:space="0" w:color="000000"/>
              <w:bottom w:val="single" w:sz="4" w:space="0" w:color="000000"/>
              <w:right w:val="single" w:sz="4" w:space="0" w:color="000000"/>
            </w:tcBorders>
            <w:shd w:fill="auto" w:val="clear"/>
          </w:tcPr>
          <w:p>
            <w:pPr>
              <w:pStyle w:val="Style43"/>
              <w:widowControl w:val="false"/>
              <w:tabs>
                <w:tab w:val="clear" w:pos="720"/>
                <w:tab w:val="left" w:pos="795" w:leader="none"/>
              </w:tabs>
              <w:suppressAutoHyphens w:val="true"/>
              <w:bidi w:val="0"/>
              <w:ind w:left="0" w:right="0" w:firstLine="510"/>
              <w:jc w:val="both"/>
              <w:rPr/>
            </w:pPr>
            <w:r>
              <w:rPr>
                <w:rFonts w:cs="Times New Roman" w:ascii="Times New Roman" w:hAnsi="Times New Roman"/>
                <w:b/>
                <w:bCs/>
                <w:sz w:val="24"/>
                <w:szCs w:val="24"/>
                <w:lang w:val="uk-UA"/>
              </w:rPr>
              <w:t>Обґрунтування:</w:t>
            </w:r>
            <w:r>
              <w:rPr>
                <w:rFonts w:cs="Times New Roman" w:ascii="Times New Roman" w:hAnsi="Times New Roman"/>
                <w:sz w:val="24"/>
                <w:szCs w:val="24"/>
                <w:lang w:val="uk-UA"/>
              </w:rPr>
              <w:t xml:space="preserve"> </w:t>
            </w:r>
          </w:p>
          <w:p>
            <w:pPr>
              <w:pStyle w:val="Style43"/>
              <w:widowControl w:val="false"/>
              <w:tabs>
                <w:tab w:val="clear" w:pos="720"/>
                <w:tab w:val="left" w:pos="795" w:leader="none"/>
              </w:tabs>
              <w:suppressAutoHyphens w:val="true"/>
              <w:bidi w:val="0"/>
              <w:ind w:left="0" w:right="0" w:firstLine="567"/>
              <w:jc w:val="both"/>
              <w:rPr/>
            </w:pPr>
            <w:r>
              <w:rPr>
                <w:rFonts w:cs="Times New Roman" w:ascii="Times New Roman" w:hAnsi="Times New Roman"/>
                <w:sz w:val="24"/>
                <w:szCs w:val="24"/>
                <w:lang w:val="uk-UA"/>
              </w:rPr>
              <w:t>Норми акта поширюється на будь - яких суб’єктів господарювання, які є учасниками відносин, на регулювання яких спрямовано цей акт. Даним рішенням встановлено вартість послуг з видачі технічних умов на відключення квартири чи нежитлового приміщення багатоквартирних будівель  від централізованого опалення та гарячого водопостачання, на відключення будівлі, в тому числі житлового будинку від зовнішніх інженерних мереж теплопостачання та гарячого водопостачання, на приєднання об’єкта до теплових мереж (розширення із збільшенням теплового навантаження), на прокладання (заміну, перенесення) теплової мережі, що надаються державним комунальним підприємством «Луцьктепло». Акт є обов’язковим для виконання двома та більше суб’єктами господарювання.</w:t>
            </w:r>
          </w:p>
          <w:p>
            <w:pPr>
              <w:pStyle w:val="Style43"/>
              <w:widowControl w:val="false"/>
              <w:ind w:left="0" w:right="0" w:firstLine="567"/>
              <w:jc w:val="both"/>
              <w:rPr/>
            </w:pPr>
            <w:r>
              <w:rPr>
                <w:rFonts w:eastAsia="Times New Roman" w:cs="Times New Roman" w:ascii="Times New Roman" w:hAnsi="Times New Roman"/>
                <w:sz w:val="24"/>
                <w:szCs w:val="24"/>
                <w:lang w:val="uk-UA" w:eastAsia="uk-UA"/>
              </w:rPr>
              <w:t xml:space="preserve">ДКП «Луцьктепло», як суб’єкт господарської діяльності, що відповідно до Закону України «Про теплопостачання», «Правил користування тепловою енергією», затверджених постановою КМУ від 03.10.2007 №1198 та «Правил надання і погодження технічних умов на підключення до теплових мереж», затверджених наказом Міністерства з питань житлово-комунального господарства України від 29.10.2009 № 334, має право надавати послугу з підготовки і видачі технічних умов. </w:t>
            </w:r>
          </w:p>
          <w:p>
            <w:pPr>
              <w:pStyle w:val="Style43"/>
              <w:widowControl w:val="false"/>
              <w:ind w:left="0" w:right="0" w:firstLine="567"/>
              <w:jc w:val="both"/>
              <w:rPr/>
            </w:pPr>
            <w:r>
              <w:rPr>
                <w:rFonts w:cs="Times New Roman" w:ascii="Times New Roman" w:hAnsi="Times New Roman"/>
                <w:sz w:val="24"/>
                <w:szCs w:val="24"/>
                <w:lang w:val="uk-UA"/>
              </w:rPr>
              <w:t>Одним з видів діяльності ДКП «Луцьктепло» є видача технічних умов</w:t>
            </w:r>
            <w:r>
              <w:rPr>
                <w:rFonts w:eastAsia="Times New Roman" w:cs="Times New Roman" w:ascii="Times New Roman" w:hAnsi="Times New Roman"/>
                <w:sz w:val="24"/>
                <w:szCs w:val="24"/>
                <w:lang w:val="uk-UA" w:eastAsia="uk-UA"/>
              </w:rPr>
              <w:t xml:space="preserve"> </w:t>
            </w:r>
            <w:r>
              <w:rPr>
                <w:rFonts w:cs="Times New Roman" w:ascii="Times New Roman" w:hAnsi="Times New Roman"/>
                <w:sz w:val="24"/>
                <w:szCs w:val="24"/>
                <w:lang w:val="uk-UA"/>
              </w:rPr>
              <w:t xml:space="preserve">на відключення квартири чи нежитлового приміщення багатоквартирних будівель від централізованого опалення та гарячого водопостачання, на відключення будівлі, в тому числі житлового будинку від зовнішніх інженерних мереж теплопостачання та гарячого водопостачання, на приєднання об’єкта до теплових мереж (розширення із збільшенням теплового навантаження), на прокладання (заміну, перенесення) теплової мережі. </w:t>
            </w:r>
          </w:p>
          <w:p>
            <w:pPr>
              <w:pStyle w:val="Style43"/>
              <w:widowControl w:val="false"/>
              <w:ind w:left="0" w:right="0" w:firstLine="567"/>
              <w:jc w:val="both"/>
              <w:rPr/>
            </w:pPr>
            <w:r>
              <w:rPr>
                <w:rFonts w:cs="Times New Roman" w:ascii="Times New Roman" w:hAnsi="Times New Roman"/>
                <w:sz w:val="24"/>
                <w:szCs w:val="24"/>
                <w:lang w:val="uk-UA"/>
              </w:rPr>
              <w:t>Рішення виконавчого комітету «Про вартість послуг з видачі технічних умов, що надаються ДКП «Луцьктепло» від 02.08. 2017 № 428-1 було прийняте на підставі та у відповідності до норм законів України «Про місцеве самоврядування в Україні», «Про регулювання містобудівної діяльності», Правил користування системами централізованого комунального водопостачання та водовідведення в населених пунктах України, Правил технічної експлуатації систем водопостачання та каналізації населених пунктів України.</w:t>
            </w:r>
          </w:p>
          <w:p>
            <w:pPr>
              <w:pStyle w:val="Normal"/>
              <w:widowControl w:val="false"/>
              <w:suppressAutoHyphens w:val="true"/>
              <w:bidi w:val="0"/>
              <w:spacing w:lineRule="auto" w:line="240" w:before="0" w:after="0"/>
              <w:ind w:left="0" w:right="0" w:firstLine="567"/>
              <w:jc w:val="both"/>
              <w:rPr/>
            </w:pPr>
            <w:r>
              <w:rPr>
                <w:rFonts w:cs="Times New Roman" w:ascii="Times New Roman" w:hAnsi="Times New Roman"/>
                <w:color w:val="000000"/>
                <w:sz w:val="24"/>
                <w:szCs w:val="24"/>
                <w:lang w:val="uk-UA"/>
              </w:rPr>
              <w:t>Регуляторний акт пройшов повністю регуляторну процедуру відповідно до Закону України “Про засади державної регуляторної політики у сфері господарської діяльності”. Відповідає ст.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передбачено Конституцією та законами України).</w:t>
            </w:r>
          </w:p>
          <w:p>
            <w:pPr>
              <w:pStyle w:val="Style43"/>
              <w:widowControl w:val="false"/>
              <w:ind w:left="0" w:right="0" w:firstLine="567"/>
              <w:jc w:val="both"/>
              <w:rPr>
                <w:rFonts w:ascii="Times New Roman" w:hAnsi="Times New Roman" w:cs="Times New Roman"/>
                <w:sz w:val="24"/>
                <w:szCs w:val="24"/>
                <w:lang w:val="uk-UA"/>
              </w:rPr>
            </w:pPr>
            <w:r>
              <w:rPr/>
            </w:r>
          </w:p>
          <w:p>
            <w:pPr>
              <w:pStyle w:val="Style43"/>
              <w:widowControl w:val="false"/>
              <w:ind w:left="0" w:right="0" w:firstLine="567"/>
              <w:jc w:val="both"/>
              <w:rPr/>
            </w:pPr>
            <w:r>
              <w:rPr>
                <w:rFonts w:cs="Times New Roman" w:ascii="Times New Roman" w:hAnsi="Times New Roman"/>
                <w:b w:val="false"/>
                <w:bCs w:val="false"/>
                <w:sz w:val="24"/>
                <w:szCs w:val="24"/>
                <w:lang w:val="uk-UA"/>
              </w:rPr>
              <w:t>Однак, даний регуляторний акт необхідно в</w:t>
            </w:r>
            <w:r>
              <w:rPr>
                <w:rFonts w:cs="Times New Roman" w:ascii="Times New Roman" w:hAnsi="Times New Roman"/>
                <w:b w:val="false"/>
                <w:bCs w:val="false"/>
                <w:iCs/>
                <w:sz w:val="24"/>
                <w:szCs w:val="24"/>
                <w:lang w:val="uk-UA"/>
              </w:rPr>
              <w:t>изнати таким, що втратив чинність, та прийняти новий</w:t>
            </w:r>
            <w:r>
              <w:rPr>
                <w:rFonts w:cs="Times New Roman" w:ascii="Times New Roman" w:hAnsi="Times New Roman"/>
                <w:b w:val="false"/>
                <w:bCs w:val="false"/>
                <w:sz w:val="24"/>
                <w:szCs w:val="24"/>
                <w:lang w:val="uk-UA"/>
              </w:rPr>
              <w:t xml:space="preserve">. </w:t>
            </w:r>
            <w:r>
              <w:rPr>
                <w:rFonts w:eastAsia="Times New Roman" w:cs="Times New Roman" w:ascii="Times New Roman" w:hAnsi="Times New Roman"/>
                <w:b w:val="false"/>
                <w:bCs w:val="false"/>
                <w:sz w:val="24"/>
                <w:szCs w:val="24"/>
                <w:lang w:val="uk-UA" w:eastAsia="uk-UA"/>
              </w:rPr>
              <w:t>Ос</w:t>
            </w:r>
            <w:r>
              <w:rPr>
                <w:rFonts w:eastAsia="Times New Roman" w:cs="Times New Roman" w:ascii="Times New Roman" w:hAnsi="Times New Roman"/>
                <w:sz w:val="24"/>
                <w:szCs w:val="24"/>
                <w:lang w:val="uk-UA" w:eastAsia="uk-UA"/>
              </w:rPr>
              <w:t>новною причиною перегляду тарифів на видачу технічних умов є їх збитковість, а також у зв’язку із прийняттям Закону України «Про комерційний облік теплової енергії та водопостачання» скасовано вимоги про видачу технічних умов на влаштування комерційних (житлові будинки, під’їзди, будівлі) та розподільчих вузлів на окремі квартири, нежитлові приміщення) вузлів обліку теплової енергії і т.д.</w:t>
            </w:r>
            <w:r>
              <w:rPr>
                <w:rFonts w:eastAsia="Times New Roman" w:cs="Times New Roman" w:ascii="Times New Roman" w:hAnsi="Times New Roman"/>
                <w:sz w:val="24"/>
                <w:szCs w:val="24"/>
                <w:highlight w:val="white"/>
                <w:lang w:val="uk-UA" w:eastAsia="uk-UA"/>
              </w:rPr>
              <w:t xml:space="preserve"> </w:t>
            </w:r>
          </w:p>
          <w:p>
            <w:pPr>
              <w:pStyle w:val="Style43"/>
              <w:widowControl w:val="false"/>
              <w:ind w:left="0" w:right="0" w:firstLine="567"/>
              <w:jc w:val="both"/>
              <w:rPr/>
            </w:pPr>
            <w:r>
              <w:rPr>
                <w:rFonts w:cs="Times New Roman" w:ascii="Times New Roman" w:hAnsi="Times New Roman"/>
                <w:sz w:val="24"/>
                <w:szCs w:val="24"/>
                <w:highlight w:val="white"/>
                <w:lang w:val="uk-UA"/>
              </w:rPr>
              <w:t xml:space="preserve">Ціль прийняття нового рішення </w:t>
            </w:r>
            <w:r>
              <w:rPr>
                <w:rFonts w:eastAsia="Times New Roman" w:cs="Times New Roman" w:ascii="Times New Roman" w:hAnsi="Times New Roman"/>
                <w:sz w:val="24"/>
                <w:szCs w:val="24"/>
                <w:highlight w:val="white"/>
                <w:lang w:val="uk-UA"/>
              </w:rPr>
              <w:t xml:space="preserve">‒ це </w:t>
            </w:r>
            <w:r>
              <w:rPr>
                <w:rFonts w:cs="Times New Roman" w:ascii="Times New Roman" w:hAnsi="Times New Roman"/>
                <w:sz w:val="24"/>
                <w:szCs w:val="24"/>
                <w:highlight w:val="white"/>
                <w:lang w:val="uk-UA"/>
              </w:rPr>
              <w:t>вс</w:t>
            </w:r>
            <w:r>
              <w:rPr>
                <w:rFonts w:cs="Times New Roman" w:ascii="Times New Roman" w:hAnsi="Times New Roman"/>
                <w:sz w:val="24"/>
                <w:szCs w:val="24"/>
                <w:lang w:val="uk-UA"/>
              </w:rPr>
              <w:t>тановлення економічно обґрунтованої вартості послуги з видачі: технічних умов</w:t>
            </w:r>
            <w:r>
              <w:rPr>
                <w:rFonts w:eastAsia="Times New Roman" w:cs="Times New Roman" w:ascii="Times New Roman" w:hAnsi="Times New Roman"/>
                <w:sz w:val="24"/>
                <w:szCs w:val="24"/>
                <w:lang w:val="uk-UA" w:eastAsia="uk-UA"/>
              </w:rPr>
              <w:t xml:space="preserve"> </w:t>
            </w:r>
            <w:r>
              <w:rPr>
                <w:rFonts w:cs="Times New Roman" w:ascii="Times New Roman" w:hAnsi="Times New Roman"/>
                <w:sz w:val="24"/>
                <w:szCs w:val="24"/>
                <w:lang w:val="uk-UA"/>
              </w:rPr>
              <w:t>на відключення квартири чи нежитлового приміщення багатоквартирних будівель  від централізованого опалення та гарячого водопостачання, на відключення будівлі, в тому числі житлового будинку   від зовнішніх інженерних мереж теплопостачання та гарячого водопостачання, на приєднання об’єкта до теплових мереж (розширення із збільшенням теплового навантаження), на прокладання (заміну, перенесення) теплової мережі, що надається ДКП «Луцьктепло», забезпечення беззбиткового функціонування даного виду діяльності державного комунального  підприємства.</w:t>
            </w:r>
          </w:p>
          <w:p>
            <w:pPr>
              <w:pStyle w:val="Normal"/>
              <w:widowControl w:val="false"/>
              <w:suppressAutoHyphens w:val="true"/>
              <w:bidi w:val="0"/>
              <w:spacing w:lineRule="auto" w:line="240" w:before="0" w:after="0"/>
              <w:ind w:left="0" w:right="0" w:firstLine="567"/>
              <w:jc w:val="both"/>
              <w:rPr>
                <w:rFonts w:ascii="Times New Roman" w:hAnsi="Times New Roman" w:cs="Times New Roman"/>
                <w:color w:val="000000"/>
                <w:sz w:val="24"/>
                <w:szCs w:val="24"/>
                <w:lang w:val="uk-UA"/>
              </w:rPr>
            </w:pPr>
            <w:r>
              <w:rPr/>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ru-RU"/>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5</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Cambria" w:hAnsi="Cambria" w:cs="Cambri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bidi w:val="0"/>
      <w:spacing w:lineRule="auto" w:line="252" w:before="0" w:after="160"/>
      <w:jc w:val="left"/>
    </w:pPr>
    <w:rPr>
      <w:rFonts w:ascii="Calibri" w:hAnsi="Calibri" w:eastAsia="Calibri" w:cs="Calibri"/>
      <w:color w:val="auto"/>
      <w:kern w:val="0"/>
      <w:sz w:val="22"/>
      <w:szCs w:val="22"/>
      <w:lang w:val="en-US" w:eastAsia="zh-CN" w:bidi="ar-SA"/>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2">
    <w:name w:val="Основной шрифт абзаца2"/>
    <w:qFormat/>
    <w:rPr/>
  </w:style>
  <w:style w:type="character" w:styleId="1">
    <w:name w:val="Основной шрифт абзаца1"/>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paragraph" w:styleId="Style25">
    <w:name w:val="Заголовок"/>
    <w:basedOn w:val="Normal"/>
    <w:next w:val="Style26"/>
    <w:qFormat/>
    <w:pPr>
      <w:keepNext w:val="true"/>
      <w:spacing w:before="240" w:after="120"/>
    </w:pPr>
    <w:rPr>
      <w:rFonts w:ascii="Liberation Sans;Arial" w:hAnsi="Liberation Sans;Arial" w:eastAsia="Microsoft YaHei" w:cs="Ari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Unicode MS"/>
      <w:i/>
      <w:iCs/>
      <w:sz w:val="24"/>
      <w:szCs w:val="24"/>
    </w:rPr>
  </w:style>
  <w:style w:type="paragraph" w:styleId="Style29">
    <w:name w:val="Покажчик"/>
    <w:basedOn w:val="Normal"/>
    <w:qFormat/>
    <w:pPr>
      <w:suppressLineNumbers/>
    </w:pPr>
    <w:rPr>
      <w:rFonts w:cs="Arial"/>
    </w:rPr>
  </w:style>
  <w:style w:type="paragraph" w:styleId="Style30">
    <w:name w:val="Название объекта"/>
    <w:basedOn w:val="Normal"/>
    <w:qFormat/>
    <w:pPr>
      <w:suppressLineNumbers/>
      <w:spacing w:before="120" w:after="120"/>
    </w:pPr>
    <w:rPr>
      <w:rFonts w:cs="Arial"/>
      <w:i/>
      <w:iCs/>
      <w:sz w:val="24"/>
      <w:szCs w:val="24"/>
    </w:rPr>
  </w:style>
  <w:style w:type="paragraph" w:styleId="21">
    <w:name w:val="Заголовок2"/>
    <w:basedOn w:val="Normal"/>
    <w:next w:val="Style26"/>
    <w:qFormat/>
    <w:pPr>
      <w:keepNext w:val="true"/>
      <w:spacing w:before="240" w:after="120"/>
    </w:pPr>
    <w:rPr>
      <w:rFonts w:ascii="Liberation Sans;Arial" w:hAnsi="Liberation Sans;Arial" w:eastAsia="Microsoft YaHei" w:cs="Arial"/>
      <w:sz w:val="28"/>
      <w:szCs w:val="28"/>
    </w:rPr>
  </w:style>
  <w:style w:type="paragraph" w:styleId="22">
    <w:name w:val="Название объекта2"/>
    <w:basedOn w:val="Normal"/>
    <w:qFormat/>
    <w:pPr>
      <w:suppressLineNumbers/>
      <w:spacing w:before="120" w:after="120"/>
    </w:pPr>
    <w:rPr>
      <w:rFonts w:cs="Arial"/>
      <w:i/>
      <w:iCs/>
      <w:sz w:val="24"/>
      <w:szCs w:val="24"/>
    </w:rPr>
  </w:style>
  <w:style w:type="paragraph" w:styleId="12">
    <w:name w:val="Заголовок1"/>
    <w:basedOn w:val="Normal"/>
    <w:next w:val="Style26"/>
    <w:qFormat/>
    <w:pPr>
      <w:keepNext w:val="true"/>
      <w:spacing w:before="240" w:after="120"/>
    </w:pPr>
    <w:rPr>
      <w:rFonts w:ascii="Liberation Sans;Arial" w:hAnsi="Liberation Sans;Arial" w:eastAsia="Microsoft YaHei" w:cs="Arial"/>
      <w:sz w:val="28"/>
      <w:szCs w:val="28"/>
    </w:rPr>
  </w:style>
  <w:style w:type="paragraph" w:styleId="13">
    <w:name w:val="Название объекта1"/>
    <w:basedOn w:val="Normal"/>
    <w:qFormat/>
    <w:pPr>
      <w:suppressLineNumbers/>
      <w:spacing w:before="120" w:after="120"/>
    </w:pPr>
    <w:rPr>
      <w:rFonts w:cs="Arial"/>
      <w:i/>
      <w:iCs/>
      <w:sz w:val="24"/>
      <w:szCs w:val="24"/>
    </w:rPr>
  </w:style>
  <w:style w:type="paragraph" w:styleId="Style31">
    <w:name w:val="Текст примітки"/>
    <w:basedOn w:val="Normal"/>
    <w:qFormat/>
    <w:pPr>
      <w:spacing w:lineRule="auto" w:line="240"/>
    </w:pPr>
    <w:rPr>
      <w:sz w:val="20"/>
      <w:szCs w:val="20"/>
      <w:lang w:val="uk-UA"/>
    </w:rPr>
  </w:style>
  <w:style w:type="paragraph" w:styleId="Style32">
    <w:name w:val="Тема примітки"/>
    <w:basedOn w:val="Style31"/>
    <w:next w:val="Style31"/>
    <w:qFormat/>
    <w:pPr/>
    <w:rPr>
      <w:b/>
      <w:bCs/>
      <w:lang w:val="uk-UA"/>
    </w:rPr>
  </w:style>
  <w:style w:type="paragraph" w:styleId="Style33">
    <w:name w:val="Текст у виносці"/>
    <w:basedOn w:val="Normal"/>
    <w:qFormat/>
    <w:pPr>
      <w:spacing w:lineRule="auto" w:line="240" w:before="0" w:after="0"/>
    </w:pPr>
    <w:rPr>
      <w:rFonts w:ascii="Segoe UI" w:hAnsi="Segoe UI" w:cs="Segoe UI"/>
      <w:sz w:val="18"/>
      <w:szCs w:val="18"/>
      <w:lang w:val="uk-UA"/>
    </w:rPr>
  </w:style>
  <w:style w:type="paragraph" w:styleId="Style34">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5">
    <w:name w:val="Абзац списку"/>
    <w:basedOn w:val="Normal"/>
    <w:qFormat/>
    <w:pPr>
      <w:spacing w:lineRule="auto" w:line="276" w:before="0" w:after="200"/>
      <w:ind w:left="720" w:right="0" w:hanging="0"/>
      <w:contextualSpacing/>
    </w:pPr>
    <w:rPr>
      <w:lang w:val="uk-UA"/>
    </w:rPr>
  </w:style>
  <w:style w:type="paragraph" w:styleId="Style36">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20"/>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paragraph" w:styleId="Style43">
    <w:name w:val="Без интервала"/>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20</TotalTime>
  <Application>LibreOffice/7.1.3.2$Windows_X86_64 LibreOffice_project/47f78053abe362b9384784d31a6e56f8511eb1c1</Application>
  <AppVersion>15.0000</AppVersion>
  <Pages>5</Pages>
  <Words>1255</Words>
  <Characters>8623</Characters>
  <CharactersWithSpaces>9854</CharactersWithSpaces>
  <Paragraphs>114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2021-12-17T16:26:51Z</cp:lastPrinted>
  <dcterms:modified xsi:type="dcterms:W3CDTF">2021-12-17T16:26:54Z</dcterms:modified>
  <cp:revision>5</cp:revision>
  <dc:subject/>
  <dc:title/>
</cp:coreProperties>
</file>