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left="0" w:right="0" w:firstLine="851"/>
        <w:jc w:val="right"/>
        <w:rPr>
          <w:rFonts w:ascii="Times New Roman" w:hAnsi="Times New Roman" w:cs="Times New Roman"/>
          <w:sz w:val="24"/>
          <w:szCs w:val="24"/>
          <w:lang w:val="uk-UA"/>
        </w:rPr>
      </w:pPr>
      <w:r>
        <w:rPr>
          <w:rFonts w:cs="Times New Roman" w:ascii="Times New Roman" w:hAnsi="Times New Roman"/>
          <w:sz w:val="24"/>
          <w:szCs w:val="24"/>
          <w:lang w:val="uk-UA"/>
        </w:rPr>
        <w:t xml:space="preserve">Додаток до протоколу </w:t>
      </w:r>
    </w:p>
    <w:p>
      <w:pPr>
        <w:pStyle w:val="Normal"/>
        <w:spacing w:lineRule="auto" w:line="240" w:before="0" w:after="0"/>
        <w:ind w:left="0" w:right="0" w:firstLine="851"/>
        <w:jc w:val="right"/>
        <w:rPr/>
      </w:pPr>
      <w:r>
        <w:rPr>
          <w:rFonts w:eastAsia="Times New Roman" w:cs="Times New Roman" w:ascii="Times New Roman" w:hAnsi="Times New Roman"/>
          <w:sz w:val="24"/>
          <w:szCs w:val="24"/>
          <w:lang w:val="uk-UA"/>
        </w:rPr>
        <w:t xml:space="preserve">     </w:t>
      </w:r>
      <w:r>
        <w:rPr>
          <w:rFonts w:cs="Times New Roman" w:ascii="Times New Roman" w:hAnsi="Times New Roman"/>
          <w:sz w:val="24"/>
          <w:szCs w:val="24"/>
          <w:lang w:val="uk-UA"/>
        </w:rPr>
        <w:t>від____________№__</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10312" w:type="dxa"/>
        <w:jc w:val="left"/>
        <w:tblInd w:w="-516" w:type="dxa"/>
        <w:tblLayout w:type="fixed"/>
        <w:tblCellMar>
          <w:top w:w="0" w:type="dxa"/>
          <w:left w:w="108" w:type="dxa"/>
          <w:bottom w:w="0" w:type="dxa"/>
          <w:right w:w="108" w:type="dxa"/>
        </w:tblCellMar>
      </w:tblPr>
      <w:tblGrid>
        <w:gridCol w:w="885"/>
        <w:gridCol w:w="5103"/>
        <w:gridCol w:w="4324"/>
      </w:tblGrid>
      <w:tr>
        <w:trPr/>
        <w:tc>
          <w:tcPr>
            <w:tcW w:w="103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Луцька міська рада</w:t>
            </w:r>
          </w:p>
          <w:p>
            <w:pPr>
              <w:pStyle w:val="Normal"/>
              <w:widowControl w:val="false"/>
              <w:spacing w:lineRule="auto" w:line="240" w:before="0" w:after="0"/>
              <w:ind w:left="0" w:right="0" w:firstLine="851"/>
              <w:jc w:val="center"/>
              <w:rPr/>
            </w:pPr>
            <w:r>
              <w:rPr/>
            </w:r>
          </w:p>
        </w:tc>
      </w:tr>
      <w:tr>
        <w:trPr/>
        <w:tc>
          <w:tcPr>
            <w:tcW w:w="103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Назва, дата прийняття та номер акта</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Рішення міської ради</w:t>
            </w:r>
          </w:p>
          <w:p>
            <w:pPr>
              <w:pStyle w:val="Normal"/>
              <w:widowControl w:val="false"/>
              <w:spacing w:lineRule="auto" w:line="240" w:before="0" w:after="0"/>
              <w:ind w:left="0" w:right="0" w:firstLine="851"/>
              <w:jc w:val="center"/>
              <w:rPr/>
            </w:pPr>
            <w:r>
              <w:rPr>
                <w:rFonts w:cs="Times New Roman" w:ascii="Times New Roman" w:hAnsi="Times New Roman"/>
                <w:b/>
                <w:bCs/>
                <w:sz w:val="24"/>
                <w:szCs w:val="24"/>
                <w:lang w:val="uk-UA"/>
              </w:rPr>
              <w:t>“</w:t>
            </w:r>
            <w:r>
              <w:rPr>
                <w:rFonts w:cs="Times New Roman" w:ascii="Times New Roman" w:hAnsi="Times New Roman"/>
                <w:b/>
                <w:bCs/>
                <w:sz w:val="24"/>
                <w:szCs w:val="24"/>
                <w:lang w:val="uk-UA"/>
              </w:rPr>
              <w:t>Про Порядок відрахування до бюджету міста частини чистого прибутку (доходу) комунальними підприємствами ” від 28.01.2015 №  69/3</w:t>
            </w:r>
          </w:p>
        </w:tc>
      </w:tr>
      <w:tr>
        <w:trPr/>
        <w:tc>
          <w:tcPr>
            <w:tcW w:w="103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pPr>
            <w:r>
              <w:rPr>
                <w:rFonts w:cs="Times New Roman" w:ascii="Times New Roman" w:hAnsi="Times New Roman"/>
                <w:b/>
                <w:bCs/>
                <w:sz w:val="20"/>
                <w:szCs w:val="20"/>
                <w:lang w:val="uk-UA"/>
              </w:rPr>
              <w:t>Так +</w:t>
            </w:r>
            <w:r>
              <w:rPr>
                <w:rFonts w:cs="Times New Roman" w:ascii="Times New Roman" w:hAnsi="Times New Roman"/>
                <w:sz w:val="20"/>
                <w:szCs w:val="20"/>
                <w:lang w:val="uk-UA"/>
              </w:rPr>
              <w:t xml:space="preserve"> </w:t>
            </w:r>
            <w:r>
              <w:rPr>
                <w:rFonts w:cs="Times New Roman" w:ascii="Times New Roman" w:hAnsi="Times New Roman"/>
                <w:sz w:val="24"/>
                <w:szCs w:val="24"/>
                <w:lang w:val="uk-UA"/>
              </w:rPr>
              <w:t xml:space="preserve"> (пояснення наводиться у обґрунтуванні розділу «Рекомендації»)</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p>
            <w:pPr>
              <w:pStyle w:val="Normal"/>
              <w:widowControl w:val="false"/>
              <w:spacing w:lineRule="auto" w:line="240" w:before="0" w:after="0"/>
              <w:ind w:left="851" w:right="0" w:hanging="0"/>
              <w:contextualSpacing/>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rFonts w:ascii="Times New Roman" w:hAnsi="Times New Roman" w:cs="Times New Roman"/>
                <w:sz w:val="20"/>
                <w:szCs w:val="20"/>
                <w:lang w:val="uk-UA"/>
              </w:rPr>
            </w:pPr>
            <w:r>
              <w:rPr>
                <w:rFonts w:cs="Times New Roman" w:ascii="Times New Roman" w:hAnsi="Times New Roman"/>
                <w:b/>
                <w:bCs/>
                <w:sz w:val="20"/>
                <w:szCs w:val="20"/>
                <w:lang w:val="uk-UA"/>
              </w:rPr>
              <w:t>Так +</w:t>
            </w:r>
          </w:p>
          <w:p>
            <w:pPr>
              <w:pStyle w:val="Normal"/>
              <w:widowControl w:val="false"/>
              <w:spacing w:lineRule="auto" w:line="240" w:before="0" w:after="0"/>
              <w:ind w:left="0" w:right="0" w:firstLine="851"/>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pPr>
            <w:r>
              <w:rPr>
                <w:rFonts w:cs="Times New Roman" w:ascii="Times New Roman" w:hAnsi="Times New Roman"/>
                <w:b/>
                <w:bCs/>
                <w:sz w:val="20"/>
                <w:szCs w:val="20"/>
                <w:lang w:val="uk-UA"/>
              </w:rPr>
              <w:t>Так +</w:t>
            </w:r>
            <w:r>
              <w:rPr>
                <w:rFonts w:cs="Times New Roman" w:ascii="Times New Roman" w:hAnsi="Times New Roman"/>
                <w:sz w:val="24"/>
                <w:szCs w:val="24"/>
                <w:lang w:val="uk-UA"/>
              </w:rPr>
              <w:t xml:space="preserve"> (пояснення наводиться у обґрунтуванні розділу «Рекомендації»)</w:t>
            </w:r>
          </w:p>
        </w:tc>
      </w:tr>
      <w:tr>
        <w:trPr>
          <w:trHeight w:val="886" w:hRule="atLeast"/>
        </w:trPr>
        <w:tc>
          <w:tcPr>
            <w:tcW w:w="103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pPr>
            <w:r>
              <w:rPr>
                <w:rFonts w:eastAsia="Times New Roman" w:cs="Times New Roman" w:ascii="Times New Roman" w:hAnsi="Times New Roman"/>
                <w:sz w:val="24"/>
                <w:szCs w:val="24"/>
                <w:lang w:val="uk-UA"/>
              </w:rPr>
              <w:t xml:space="preserve">      </w:t>
            </w:r>
            <w:r>
              <w:rPr>
                <w:rFonts w:cs="Times New Roman" w:ascii="Times New Roman" w:hAnsi="Times New Roman"/>
                <w:sz w:val="24"/>
                <w:szCs w:val="24"/>
                <w:lang w:val="uk-UA"/>
              </w:rPr>
              <w:t>Висновок:</w:t>
            </w:r>
          </w:p>
          <w:p>
            <w:pPr>
              <w:pStyle w:val="Style35"/>
              <w:widowControl w:val="false"/>
              <w:numPr>
                <w:ilvl w:val="0"/>
                <w:numId w:val="2"/>
              </w:numPr>
              <w:spacing w:lineRule="auto" w:line="240" w:before="0" w:after="0"/>
              <w:ind w:left="720" w:right="0" w:hanging="360"/>
              <w:contextualSpacing/>
              <w:rPr>
                <w:rFonts w:ascii="Times New Roman" w:hAnsi="Times New Roman" w:cs="Times New Roman"/>
                <w:b/>
                <w:b/>
                <w:bCs/>
                <w:sz w:val="24"/>
                <w:szCs w:val="24"/>
              </w:rPr>
            </w:pPr>
            <w:r>
              <w:rPr>
                <w:rFonts w:cs="Times New Roman" w:ascii="Times New Roman" w:hAnsi="Times New Roman"/>
                <w:b/>
                <w:bCs/>
                <w:sz w:val="24"/>
                <w:szCs w:val="24"/>
              </w:rPr>
              <w:t>акт є регуляторним;</w:t>
            </w:r>
          </w:p>
          <w:p>
            <w:pPr>
              <w:pStyle w:val="Style35"/>
              <w:widowControl w:val="false"/>
              <w:numPr>
                <w:ilvl w:val="0"/>
                <w:numId w:val="2"/>
              </w:numPr>
              <w:spacing w:lineRule="auto" w:line="240" w:before="0" w:after="0"/>
              <w:ind w:left="720" w:right="0" w:hanging="360"/>
              <w:contextualSpacing/>
              <w:rPr>
                <w:rFonts w:ascii="Times New Roman" w:hAnsi="Times New Roman" w:cs="Times New Roman"/>
                <w:sz w:val="24"/>
                <w:szCs w:val="24"/>
              </w:rPr>
            </w:pPr>
            <w:r>
              <w:rPr>
                <w:rFonts w:cs="Times New Roman" w:ascii="Times New Roman" w:hAnsi="Times New Roman"/>
                <w:sz w:val="24"/>
                <w:szCs w:val="24"/>
              </w:rPr>
              <w:t>акт не є регуляторним та не потребує подальшого аналізу</w:t>
            </w:r>
          </w:p>
        </w:tc>
      </w:tr>
      <w:tr>
        <w:trPr/>
        <w:tc>
          <w:tcPr>
            <w:tcW w:w="103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iCs/>
                <w:sz w:val="24"/>
                <w:szCs w:val="24"/>
                <w:lang w:val="uk-UA"/>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eastAsia="Times New Roman" w:cs="Times New Roman"/>
                <w:color w:val="000000"/>
                <w:sz w:val="24"/>
                <w:szCs w:val="24"/>
                <w:lang w:val="uk-UA"/>
              </w:rPr>
            </w:pPr>
            <w:r>
              <w:rPr>
                <w:rFonts w:eastAsia="Times New Roman" w:cs="Times New Roman" w:ascii="Times New Roman" w:hAnsi="Times New Roman"/>
                <w:color w:val="000000"/>
                <w:sz w:val="24"/>
                <w:szCs w:val="24"/>
                <w:lang w:val="uk-UA"/>
              </w:rPr>
            </w:r>
          </w:p>
          <w:p>
            <w:pPr>
              <w:pStyle w:val="Normal"/>
              <w:widowControl w:val="false"/>
              <w:spacing w:lineRule="auto" w:line="240" w:before="0" w:after="0"/>
              <w:jc w:val="both"/>
              <w:rPr/>
            </w:pPr>
            <w:r>
              <w:rPr>
                <w:rFonts w:eastAsia="Times New Roman" w:cs="Times New Roman" w:ascii="Times New Roman" w:hAnsi="Times New Roman"/>
                <w:color w:val="000000"/>
                <w:sz w:val="24"/>
                <w:szCs w:val="24"/>
                <w:lang w:val="uk-UA"/>
              </w:rPr>
              <w:t xml:space="preserve">    </w:t>
            </w:r>
            <w:r>
              <w:rPr>
                <w:rFonts w:cs="Times New Roman" w:ascii="Times New Roman" w:hAnsi="Times New Roman"/>
                <w:color w:val="000000"/>
                <w:sz w:val="24"/>
                <w:szCs w:val="24"/>
                <w:lang w:val="uk-UA"/>
              </w:rPr>
              <w:t>1.</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відповідає акт вимогам актів вищої юридичної сили?</w:t>
            </w:r>
          </w:p>
          <w:p>
            <w:pPr>
              <w:pStyle w:val="Normal"/>
              <w:widowControl w:val="false"/>
              <w:spacing w:lineRule="auto" w:line="240" w:before="0" w:after="0"/>
              <w:ind w:left="360" w:right="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pPr>
            <w:r>
              <w:rPr>
                <w:rFonts w:cs="Times New Roman" w:ascii="Times New Roman" w:hAnsi="Times New Roman"/>
                <w:b/>
                <w:bCs/>
                <w:color w:val="000000"/>
                <w:sz w:val="24"/>
                <w:szCs w:val="24"/>
                <w:lang w:val="uk-UA"/>
              </w:rPr>
              <w:t>Т</w:t>
            </w:r>
            <w:r>
              <w:rPr>
                <w:rFonts w:cs="Times New Roman" w:ascii="Times New Roman" w:hAnsi="Times New Roman"/>
                <w:b/>
                <w:bCs/>
                <w:color w:val="000000"/>
                <w:sz w:val="20"/>
                <w:szCs w:val="20"/>
                <w:lang w:val="uk-UA"/>
              </w:rPr>
              <w:t>ак +</w:t>
            </w:r>
          </w:p>
          <w:p>
            <w:pPr>
              <w:pStyle w:val="Normal"/>
              <w:widowControl w:val="false"/>
              <w:spacing w:lineRule="auto" w:line="240" w:before="0" w:after="0"/>
              <w:jc w:val="both"/>
              <w:rPr>
                <w:color w:val="000000"/>
              </w:rPr>
            </w:pPr>
            <w:r>
              <w:rPr>
                <w:color w:val="000000"/>
              </w:rPr>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Ні___</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right" w:pos="252" w:leader="none"/>
                <w:tab w:val="center" w:pos="551" w:leader="none"/>
              </w:tabs>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ab/>
              <w:t xml:space="preserve">    </w:t>
              <w:tab/>
              <w:t>2.</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був прийнятий в межах компетенції органу?</w:t>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b/>
                <w:b/>
                <w:bCs/>
                <w:color w:val="000000"/>
                <w:sz w:val="24"/>
                <w:szCs w:val="24"/>
                <w:lang w:val="uk-UA"/>
              </w:rPr>
            </w:pPr>
            <w:r>
              <w:rPr>
                <w:rFonts w:cs="Times New Roman" w:ascii="Times New Roman" w:hAnsi="Times New Roman"/>
                <w:b/>
                <w:bCs/>
                <w:color w:val="000000"/>
                <w:sz w:val="24"/>
                <w:szCs w:val="24"/>
                <w:lang w:val="uk-UA"/>
              </w:rPr>
              <w:t>Так +</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103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eastAsia="Times New Roman" w:cs="Times New Roman"/>
                <w:color w:val="000000"/>
                <w:sz w:val="24"/>
                <w:szCs w:val="24"/>
                <w:lang w:val="uk-UA"/>
              </w:rPr>
            </w:pPr>
            <w:r>
              <w:rPr>
                <w:rFonts w:eastAsia="Times New Roman" w:cs="Times New Roman" w:ascii="Times New Roman" w:hAnsi="Times New Roman"/>
                <w:color w:val="000000"/>
                <w:sz w:val="24"/>
                <w:szCs w:val="24"/>
                <w:lang w:val="uk-UA"/>
              </w:rPr>
            </w:r>
          </w:p>
          <w:p>
            <w:pPr>
              <w:pStyle w:val="Normal"/>
              <w:widowControl w:val="false"/>
              <w:spacing w:lineRule="auto" w:line="240" w:before="0" w:after="0"/>
              <w:jc w:val="both"/>
              <w:rPr/>
            </w:pPr>
            <w:r>
              <w:rPr>
                <w:rFonts w:eastAsia="Times New Roman" w:cs="Times New Roman" w:ascii="Times New Roman" w:hAnsi="Times New Roman"/>
                <w:color w:val="000000"/>
                <w:sz w:val="24"/>
                <w:szCs w:val="24"/>
                <w:lang w:val="uk-UA"/>
              </w:rPr>
              <w:t xml:space="preserve">   </w:t>
            </w:r>
            <w:r>
              <w:rPr>
                <w:rFonts w:cs="Times New Roman" w:ascii="Times New Roman" w:hAnsi="Times New Roman"/>
                <w:color w:val="000000"/>
                <w:sz w:val="24"/>
                <w:szCs w:val="24"/>
                <w:lang w:val="uk-UA"/>
              </w:rPr>
              <w:t>3.</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b/>
                <w:b/>
                <w:bCs/>
                <w:color w:val="000000"/>
                <w:sz w:val="24"/>
                <w:szCs w:val="24"/>
                <w:lang w:val="uk-UA"/>
              </w:rPr>
            </w:pPr>
            <w:r>
              <w:rPr>
                <w:rFonts w:cs="Times New Roman" w:ascii="Times New Roman" w:hAnsi="Times New Roman"/>
                <w:b/>
                <w:bCs/>
                <w:color w:val="000000"/>
                <w:sz w:val="24"/>
                <w:szCs w:val="24"/>
                <w:lang w:val="uk-UA"/>
              </w:rPr>
              <w:t>Так +</w:t>
            </w:r>
          </w:p>
          <w:p>
            <w:pPr>
              <w:pStyle w:val="Normal"/>
              <w:widowControl w:val="false"/>
              <w:spacing w:lineRule="auto" w:line="240" w:before="0" w:after="0"/>
              <w:jc w:val="both"/>
              <w:rPr>
                <w:rFonts w:ascii="Times New Roman" w:hAnsi="Times New Roman" w:cs="Times New Roman"/>
                <w:color w:val="000000"/>
                <w:sz w:val="20"/>
                <w:szCs w:val="20"/>
                <w:lang w:val="uk-UA"/>
              </w:rPr>
            </w:pPr>
            <w:r>
              <w:rPr>
                <w:rFonts w:cs="Times New Roman" w:ascii="Times New Roman" w:hAnsi="Times New Roman"/>
                <w:color w:val="000000"/>
                <w:sz w:val="20"/>
                <w:szCs w:val="20"/>
                <w:lang w:val="uk-UA"/>
              </w:rPr>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w:t>
            </w:r>
          </w:p>
        </w:tc>
      </w:tr>
      <w:tr>
        <w:trPr/>
        <w:tc>
          <w:tcPr>
            <w:tcW w:w="103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left="0" w:right="0" w:firstLine="851"/>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r>
          </w:p>
        </w:tc>
      </w:tr>
      <w:tr>
        <w:trPr/>
        <w:tc>
          <w:tcPr>
            <w:tcW w:w="103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Визначення мети (цілі) акта органу та проблеми, яку цей акт мав би вирішувати</w:t>
            </w:r>
          </w:p>
        </w:tc>
      </w:tr>
      <w:tr>
        <w:trPr>
          <w:trHeight w:val="1038" w:hRule="atLeast"/>
        </w:trPr>
        <w:tc>
          <w:tcPr>
            <w:tcW w:w="88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Існуюче формулювання мети акта.</w:t>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Формулювання відсутнє ___</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(робиться позначка)</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або наводиться існуюче формулювання</w:t>
            </w:r>
          </w:p>
        </w:tc>
      </w:tr>
      <w:tr>
        <w:trPr>
          <w:trHeight w:val="560" w:hRule="atLeast"/>
        </w:trPr>
        <w:tc>
          <w:tcPr>
            <w:tcW w:w="88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Визначення мети акта за суб’єктивними чинниками</w:t>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713" w:hRule="atLeast"/>
        </w:trPr>
        <w:tc>
          <w:tcPr>
            <w:tcW w:w="88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Визначення проблем, які акт повинен був би вирішувати.</w:t>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103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Оцінка діючого акта</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Хто є суб’єктами цього регулювання, скільки цих суб’єктів приблизно є?</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Якими є обов’язкові вимоги що повинні виконуватися?</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Які регуляторні інструменти використовуються (отримання дозволу, подача звітності, проведення заходів контролю тощо)?</w:t>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right" w:pos="252" w:leader="none"/>
                <w:tab w:val="center" w:pos="551" w:leader="none"/>
              </w:tabs>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w:t>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14"/>
              <w:jc w:val="both"/>
              <w:rPr>
                <w:rFonts w:ascii="Times New Roman" w:hAnsi="Times New Roman" w:cs="Times New Roman"/>
                <w:sz w:val="24"/>
                <w:szCs w:val="24"/>
                <w:lang w:val="uk-UA"/>
              </w:rPr>
            </w:pPr>
            <w:r>
              <w:rPr>
                <w:rFonts w:cs="Times New Roman" w:ascii="Times New Roman" w:hAnsi="Times New Roman"/>
                <w:sz w:val="24"/>
                <w:szCs w:val="24"/>
                <w:lang w:val="uk-UA"/>
              </w:rPr>
              <w:t>Приблизна оцінка вартості виконання всіх вимог для одного суб’єкта регулювання.</w:t>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w:t>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8.</w:t>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виконання обмежує конкуренцію іншим методом, не описаним вище?</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10.</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12.</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13.</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14.</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88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5103"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Співвідношення масштабу регуляторного режиму та рівня фактичного вирішення проблеми.</w:t>
            </w:r>
          </w:p>
        </w:tc>
        <w:tc>
          <w:tcPr>
            <w:tcW w:w="4324"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103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Рекомендації</w:t>
            </w:r>
          </w:p>
        </w:tc>
      </w:tr>
      <w:tr>
        <w:trPr/>
        <w:tc>
          <w:tcPr>
            <w:tcW w:w="10312" w:type="dxa"/>
            <w:gridSpan w:val="3"/>
            <w:tcBorders>
              <w:top w:val="single" w:sz="4" w:space="0" w:color="000000"/>
              <w:left w:val="single" w:sz="4" w:space="0" w:color="000000"/>
              <w:bottom w:val="single" w:sz="4" w:space="0" w:color="000000"/>
              <w:right w:val="single" w:sz="4" w:space="0" w:color="000000"/>
            </w:tcBorders>
            <w:shd w:fill="auto" w:val="clear"/>
          </w:tcPr>
          <w:p>
            <w:pPr>
              <w:pStyle w:val="Style35"/>
              <w:widowControl w:val="false"/>
              <w:spacing w:lineRule="auto" w:line="240" w:before="0" w:after="0"/>
              <w:ind w:left="22" w:right="0" w:hanging="0"/>
              <w:contextualSpacing/>
              <w:rPr>
                <w:rFonts w:ascii="Times New Roman" w:hAnsi="Times New Roman" w:cs="Times New Roman"/>
                <w:iCs/>
                <w:sz w:val="24"/>
                <w:szCs w:val="24"/>
              </w:rPr>
            </w:pPr>
            <w:r>
              <w:rPr>
                <w:rFonts w:cs="Times New Roman" w:ascii="Times New Roman" w:hAnsi="Times New Roman"/>
                <w:iCs/>
                <w:sz w:val="24"/>
                <w:szCs w:val="24"/>
              </w:rPr>
              <w:t xml:space="preserve">        </w:t>
            </w:r>
            <w:r>
              <w:rPr>
                <w:rFonts w:cs="Times New Roman" w:ascii="Times New Roman" w:hAnsi="Times New Roman"/>
                <w:iCs/>
                <w:sz w:val="24"/>
                <w:szCs w:val="24"/>
              </w:rPr>
              <w:t>Зазначається один з наступних варіантів:</w:t>
            </w:r>
          </w:p>
          <w:p>
            <w:pPr>
              <w:pStyle w:val="Style35"/>
              <w:widowControl w:val="false"/>
              <w:spacing w:lineRule="auto" w:line="240" w:before="0" w:after="0"/>
              <w:ind w:left="0" w:right="0" w:firstLine="510"/>
              <w:contextualSpacing/>
              <w:rPr>
                <w:b w:val="false"/>
                <w:b w:val="false"/>
                <w:bCs w:val="false"/>
              </w:rPr>
            </w:pPr>
            <w:r>
              <w:rPr>
                <w:rFonts w:cs="Times New Roman" w:ascii="Times New Roman" w:hAnsi="Times New Roman"/>
                <w:b w:val="false"/>
                <w:bCs w:val="false"/>
                <w:iCs/>
                <w:color w:val="000000"/>
                <w:sz w:val="24"/>
                <w:szCs w:val="24"/>
              </w:rPr>
              <w:t>•</w:t>
            </w:r>
            <w:r>
              <w:rPr>
                <w:rFonts w:eastAsia="Times New Roman" w:cs="Times New Roman" w:ascii="Times New Roman" w:hAnsi="Times New Roman"/>
                <w:b w:val="false"/>
                <w:bCs w:val="false"/>
                <w:iCs/>
                <w:color w:val="000000"/>
                <w:sz w:val="24"/>
                <w:szCs w:val="24"/>
              </w:rPr>
              <w:t xml:space="preserve"> </w:t>
            </w:r>
            <w:r>
              <w:rPr>
                <w:rFonts w:cs="Times New Roman" w:ascii="Times New Roman" w:hAnsi="Times New Roman"/>
                <w:b w:val="false"/>
                <w:bCs w:val="false"/>
                <w:iCs/>
                <w:color w:val="000000"/>
                <w:sz w:val="24"/>
                <w:szCs w:val="24"/>
              </w:rPr>
              <w:t>Залишити акт без змін.</w:t>
            </w:r>
          </w:p>
          <w:p>
            <w:pPr>
              <w:pStyle w:val="Style35"/>
              <w:widowControl w:val="false"/>
              <w:spacing w:lineRule="auto" w:line="240" w:before="0" w:after="0"/>
              <w:ind w:left="0" w:right="0" w:firstLine="510"/>
              <w:contextualSpacing/>
              <w:rPr>
                <w:rFonts w:ascii="Times New Roman" w:hAnsi="Times New Roman" w:cs="Times New Roman"/>
                <w:bCs/>
                <w:iCs/>
                <w:color w:val="000000"/>
                <w:sz w:val="24"/>
                <w:szCs w:val="24"/>
              </w:rPr>
            </w:pPr>
            <w:r>
              <w:rPr>
                <w:rFonts w:cs="Times New Roman" w:ascii="Times New Roman" w:hAnsi="Times New Roman"/>
                <w:bCs/>
                <w:iCs/>
                <w:color w:val="000000"/>
                <w:sz w:val="24"/>
                <w:szCs w:val="24"/>
              </w:rPr>
              <w:t>•</w:t>
            </w:r>
            <w:r>
              <w:rPr>
                <w:rFonts w:eastAsia="Times New Roman" w:cs="Times New Roman" w:ascii="Times New Roman" w:hAnsi="Times New Roman"/>
                <w:bCs/>
                <w:iCs/>
                <w:color w:val="000000"/>
                <w:sz w:val="24"/>
                <w:szCs w:val="24"/>
              </w:rPr>
              <w:t xml:space="preserve"> </w:t>
            </w:r>
            <w:r>
              <w:rPr>
                <w:rFonts w:cs="Times New Roman" w:ascii="Times New Roman" w:hAnsi="Times New Roman"/>
                <w:b/>
                <w:bCs/>
                <w:iCs/>
                <w:color w:val="000000"/>
                <w:sz w:val="24"/>
                <w:szCs w:val="24"/>
              </w:rPr>
              <w:t xml:space="preserve">Внести зміни до діючого акта </w:t>
            </w:r>
          </w:p>
          <w:p>
            <w:pPr>
              <w:pStyle w:val="Style35"/>
              <w:widowControl w:val="false"/>
              <w:spacing w:lineRule="auto" w:line="240" w:before="0" w:after="0"/>
              <w:ind w:left="0" w:right="0" w:firstLine="510"/>
              <w:contextualSpacing/>
              <w:rPr/>
            </w:pPr>
            <w:r>
              <w:rPr>
                <w:rFonts w:cs="Times New Roman" w:ascii="Times New Roman" w:hAnsi="Times New Roman"/>
                <w:iCs/>
                <w:sz w:val="24"/>
                <w:szCs w:val="24"/>
              </w:rPr>
              <w:t>•</w:t>
            </w:r>
            <w:r>
              <w:rPr>
                <w:rFonts w:eastAsia="Times New Roman" w:cs="Times New Roman" w:ascii="Times New Roman" w:hAnsi="Times New Roman"/>
                <w:iCs/>
                <w:sz w:val="24"/>
                <w:szCs w:val="24"/>
              </w:rPr>
              <w:t xml:space="preserve"> </w:t>
            </w:r>
            <w:r>
              <w:rPr>
                <w:rFonts w:cs="Times New Roman" w:ascii="Times New Roman" w:hAnsi="Times New Roman"/>
                <w:iCs/>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Style35"/>
              <w:widowControl w:val="false"/>
              <w:spacing w:lineRule="auto" w:line="240" w:before="0" w:after="0"/>
              <w:ind w:left="0" w:right="0" w:firstLine="510"/>
              <w:contextualSpacing/>
              <w:rPr/>
            </w:pPr>
            <w:r>
              <w:rPr>
                <w:rFonts w:cs="Times New Roman" w:ascii="Times New Roman" w:hAnsi="Times New Roman"/>
                <w:iCs/>
                <w:sz w:val="24"/>
                <w:szCs w:val="24"/>
              </w:rPr>
              <w:t>•</w:t>
            </w:r>
            <w:r>
              <w:rPr>
                <w:rFonts w:eastAsia="Times New Roman" w:cs="Times New Roman" w:ascii="Times New Roman" w:hAnsi="Times New Roman"/>
                <w:iCs/>
                <w:sz w:val="24"/>
                <w:szCs w:val="24"/>
              </w:rPr>
              <w:t xml:space="preserve"> </w:t>
            </w:r>
            <w:r>
              <w:rPr>
                <w:rFonts w:cs="Times New Roman" w:ascii="Times New Roman" w:hAnsi="Times New Roman"/>
                <w:iCs/>
                <w:sz w:val="24"/>
                <w:szCs w:val="24"/>
              </w:rPr>
              <w:t>Повністю визнати таким, що втратив чинність</w:t>
            </w:r>
            <w:r>
              <w:rPr>
                <w:rFonts w:cs="Times New Roman" w:ascii="Times New Roman" w:hAnsi="Times New Roman"/>
                <w:iCs/>
                <w:sz w:val="24"/>
                <w:szCs w:val="24"/>
                <w:u w:val="single"/>
              </w:rPr>
              <w:t>.</w:t>
            </w:r>
          </w:p>
        </w:tc>
      </w:tr>
      <w:tr>
        <w:trPr/>
        <w:tc>
          <w:tcPr>
            <w:tcW w:w="1031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511"/>
              <w:contextualSpacing/>
              <w:jc w:val="both"/>
              <w:rPr/>
            </w:pPr>
            <w:r>
              <w:rPr>
                <w:rFonts w:cs="Times New Roman" w:ascii="Times New Roman" w:hAnsi="Times New Roman"/>
                <w:b/>
                <w:bCs/>
                <w:sz w:val="24"/>
                <w:szCs w:val="24"/>
                <w:lang w:val="uk-UA"/>
              </w:rPr>
              <w:t>Обґрунтування</w:t>
            </w:r>
            <w:r>
              <w:rPr>
                <w:rFonts w:cs="Times New Roman" w:ascii="Times New Roman" w:hAnsi="Times New Roman"/>
                <w:sz w:val="28"/>
                <w:szCs w:val="28"/>
                <w:lang w:val="uk-UA"/>
              </w:rPr>
              <w:t>: </w:t>
            </w:r>
            <w:r>
              <w:rPr>
                <w:rFonts w:cs="Times New Roman" w:ascii="Times New Roman" w:hAnsi="Times New Roman"/>
                <w:sz w:val="24"/>
                <w:szCs w:val="24"/>
                <w:lang w:val="uk-UA"/>
              </w:rPr>
              <w:t>Н</w:t>
            </w:r>
            <w:r>
              <w:rPr>
                <w:rFonts w:cs="Times New Roman" w:ascii="Times New Roman" w:hAnsi="Times New Roman"/>
                <w:color w:val="000000"/>
                <w:sz w:val="24"/>
                <w:szCs w:val="24"/>
                <w:lang w:val="uk-UA"/>
              </w:rPr>
              <w:t>орми акта поширюються на будь-яких суб’єктів господарювання, які є учасниками відносин, на регулювання яких спрямовано цей акт.</w:t>
            </w:r>
          </w:p>
          <w:p>
            <w:pPr>
              <w:pStyle w:val="Normal"/>
              <w:widowControl w:val="false"/>
              <w:spacing w:lineRule="auto" w:line="240" w:before="0" w:after="0"/>
              <w:ind w:left="0" w:right="0" w:firstLine="511"/>
              <w:contextualSpacing/>
              <w:jc w:val="both"/>
              <w:rPr/>
            </w:pPr>
            <w:r>
              <w:rPr>
                <w:rFonts w:eastAsia="Times New Roman" w:cs="Times New Roman" w:ascii="Times New Roman" w:hAnsi="Times New Roman"/>
                <w:color w:val="000000"/>
                <w:sz w:val="24"/>
                <w:szCs w:val="24"/>
                <w:lang w:val="uk-UA"/>
              </w:rPr>
              <w:t xml:space="preserve"> </w:t>
            </w:r>
            <w:r>
              <w:rPr>
                <w:rFonts w:cs="Times New Roman" w:ascii="Times New Roman" w:hAnsi="Times New Roman"/>
                <w:color w:val="000000"/>
                <w:sz w:val="24"/>
                <w:szCs w:val="24"/>
                <w:lang w:val="uk-UA"/>
              </w:rPr>
              <w:t xml:space="preserve">Акт встановлює обов’язкові для виконання вимоги щодо затвердження Порядку відрахування до бюджету частини чистого прибутку (доходу), що підлягає сплаті до бюджету комунальними підприємствами або підприємствами, у статутних капіталах яких є частка комунальної власності, згідно з додатком. </w:t>
            </w:r>
            <w:r>
              <w:rPr>
                <w:rFonts w:cs="Times New Roman" w:ascii="Times New Roman" w:hAnsi="Times New Roman"/>
                <w:sz w:val="24"/>
                <w:szCs w:val="24"/>
                <w:lang w:val="uk-UA" w:eastAsia="uk-UA"/>
              </w:rPr>
              <w:t xml:space="preserve">Дозволяє наповнювати бюджет громади власними надходженнями з метою подальшого вирішення соціально-економічних проблем. Забезпечує прозорі та зрозумілі умови сплати </w:t>
            </w:r>
            <w:r>
              <w:rPr>
                <w:rFonts w:cs="Times New Roman" w:ascii="Times New Roman" w:hAnsi="Times New Roman"/>
                <w:color w:val="000000"/>
                <w:sz w:val="24"/>
                <w:szCs w:val="24"/>
                <w:lang w:val="uk-UA"/>
              </w:rPr>
              <w:t>частини чистого прибутку (доходу), що підлягає сплаті до бюджету комунальними підприємствами або підприємствами, у статутних капіталах яких є частка комунальної власності</w:t>
            </w:r>
            <w:r>
              <w:rPr>
                <w:rFonts w:cs="Times New Roman" w:ascii="Times New Roman" w:hAnsi="Times New Roman"/>
                <w:sz w:val="24"/>
                <w:szCs w:val="24"/>
                <w:lang w:val="uk-UA" w:eastAsia="uk-UA"/>
              </w:rPr>
              <w:t>.</w:t>
            </w:r>
          </w:p>
          <w:p>
            <w:pPr>
              <w:pStyle w:val="Normal"/>
              <w:widowControl w:val="false"/>
              <w:spacing w:lineRule="auto" w:line="240" w:before="0" w:after="0"/>
              <w:ind w:left="0" w:right="0" w:firstLine="567"/>
              <w:contextualSpacing/>
              <w:jc w:val="both"/>
              <w:rPr/>
            </w:pPr>
            <w:r>
              <w:rPr>
                <w:rFonts w:cs="Times New Roman" w:ascii="Times New Roman" w:hAnsi="Times New Roman"/>
                <w:color w:val="000000"/>
                <w:sz w:val="24"/>
                <w:szCs w:val="24"/>
                <w:lang w:val="ru-RU"/>
              </w:rPr>
              <w:t xml:space="preserve">Контроль за повнотою і своєчасністю відрахувань частини </w:t>
            </w:r>
            <w:r>
              <w:rPr>
                <w:rFonts w:cs="Times New Roman" w:ascii="Times New Roman" w:hAnsi="Times New Roman"/>
                <w:color w:val="000000"/>
                <w:sz w:val="24"/>
                <w:szCs w:val="24"/>
                <w:lang w:val="uk-UA"/>
              </w:rPr>
              <w:t>чистого прибутку (доходу) комунальними підприємствами або підприємствами, у статутних капіталах яких є частка комунальної власності покладено на ГУ ДПС у Волинській області.</w:t>
            </w:r>
          </w:p>
          <w:p>
            <w:pPr>
              <w:pStyle w:val="Normal"/>
              <w:widowControl w:val="false"/>
              <w:spacing w:lineRule="auto" w:line="240" w:before="0" w:after="0"/>
              <w:ind w:left="0" w:right="0" w:firstLine="567"/>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Рішення пройшло повністю регуляторну процедуру відповідно до Закону України “Про засади державної регуляторної політики у сфері господарської діяльності”. Акт відповідає ст. 19. Конституції України (органи державної влади та органами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pPr>
              <w:pStyle w:val="Normal"/>
              <w:widowControl w:val="false"/>
              <w:spacing w:lineRule="auto" w:line="240" w:before="0" w:after="0"/>
              <w:ind w:left="0" w:right="0" w:firstLine="567"/>
              <w:contextualSpacing/>
              <w:jc w:val="both"/>
              <w:rPr/>
            </w:pPr>
            <w:r>
              <w:rPr/>
            </w:r>
          </w:p>
        </w:tc>
      </w:tr>
    </w:tbl>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rFonts w:ascii="Times New Roman" w:hAnsi="Times New Roman" w:cs="Times New Roman"/>
          <w:b/>
          <w:b/>
          <w:sz w:val="28"/>
          <w:szCs w:val="28"/>
          <w:lang w:val="ru-RU"/>
        </w:rPr>
      </w:pPr>
      <w:r>
        <w:rPr/>
      </w:r>
    </w:p>
    <w:sectPr>
      <w:headerReference w:type="default" r:id="rId2"/>
      <w:headerReference w:type="first" r:id="rId3"/>
      <w:type w:val="nextPage"/>
      <w:pgSz w:w="12240" w:h="15840"/>
      <w:pgMar w:left="1701" w:right="850" w:gutter="0" w:header="708" w:top="851" w:footer="0" w:bottom="851"/>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Liberation Sans">
    <w:altName w:val="Arial"/>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jc w:val="center"/>
      <w:rPr/>
    </w:pPr>
    <w:r>
      <w:rPr/>
      <w:fldChar w:fldCharType="begin"/>
    </w:r>
    <w:r>
      <w:rPr/>
      <w:instrText> PAGE </w:instrText>
    </w:r>
    <w:r>
      <w:rPr/>
      <w:fldChar w:fldCharType="separate"/>
    </w:r>
    <w:r>
      <w:rPr/>
      <w:t>4</w:t>
    </w:r>
    <w:r>
      <w:rPr/>
      <w:fldChar w:fldCharType="end"/>
    </w:r>
  </w:p>
  <w:p>
    <w:pPr>
      <w:pStyle w:val="Style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90"/>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bidi w:val="0"/>
      <w:spacing w:lineRule="auto" w:line="252" w:before="0" w:after="160"/>
      <w:jc w:val="left"/>
    </w:pPr>
    <w:rPr>
      <w:rFonts w:ascii="Calibri" w:hAnsi="Calibri" w:eastAsia="Calibri" w:cs="Calibri"/>
      <w:color w:val="auto"/>
      <w:kern w:val="0"/>
      <w:sz w:val="22"/>
      <w:szCs w:val="22"/>
      <w:lang w:val="en-US" w:eastAsia="zh-CN" w:bidi="ar-SA"/>
    </w:rPr>
  </w:style>
  <w:style w:type="paragraph" w:styleId="3">
    <w:name w:val="Heading 3"/>
    <w:basedOn w:val="Normal"/>
    <w:next w:val="Style26"/>
    <w:qFormat/>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Cambria" w:hAnsi="Cambria" w:cs="Times New Roman"/>
    </w:rPr>
  </w:style>
  <w:style w:type="character" w:styleId="Style13">
    <w:name w:val="Основной шрифт абзаца"/>
    <w:qFormat/>
    <w:rPr/>
  </w:style>
  <w:style w:type="character" w:styleId="2">
    <w:name w:val="Основной шрифт абзаца2"/>
    <w:qFormat/>
    <w:rPr/>
  </w:style>
  <w:style w:type="character" w:styleId="1">
    <w:name w:val="Основной шрифт абзаца1"/>
    <w:qFormat/>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cs="Times New Roma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4">
    <w:name w:val="Шрифт абзацу за замовчуванням"/>
    <w:qFormat/>
    <w:rPr/>
  </w:style>
  <w:style w:type="character" w:styleId="Style15">
    <w:name w:val="Знак примітки"/>
    <w:qFormat/>
    <w:rPr>
      <w:sz w:val="16"/>
      <w:szCs w:val="16"/>
    </w:rPr>
  </w:style>
  <w:style w:type="character" w:styleId="Style16">
    <w:name w:val="Текст примітки Знак"/>
    <w:qFormat/>
    <w:rPr>
      <w:sz w:val="20"/>
      <w:szCs w:val="20"/>
    </w:rPr>
  </w:style>
  <w:style w:type="character" w:styleId="Style17">
    <w:name w:val="Тема примітки Знак"/>
    <w:qFormat/>
    <w:rPr>
      <w:b/>
      <w:bCs/>
      <w:sz w:val="20"/>
      <w:szCs w:val="20"/>
    </w:rPr>
  </w:style>
  <w:style w:type="character" w:styleId="Style18">
    <w:name w:val="Текст у виносці Знак"/>
    <w:qFormat/>
    <w:rPr>
      <w:rFonts w:ascii="Segoe UI" w:hAnsi="Segoe UI" w:cs="Segoe UI"/>
      <w:sz w:val="18"/>
      <w:szCs w:val="18"/>
    </w:rPr>
  </w:style>
  <w:style w:type="character" w:styleId="Style19">
    <w:name w:val="Нормальний текст Знак"/>
    <w:qFormat/>
    <w:rPr>
      <w:rFonts w:ascii="Antiqua;Century Gothic" w:hAnsi="Antiqua;Century Gothic" w:cs="Antiqua;Century Gothic"/>
      <w:sz w:val="26"/>
      <w:szCs w:val="20"/>
    </w:rPr>
  </w:style>
  <w:style w:type="character" w:styleId="Rvts9">
    <w:name w:val="rvts9"/>
    <w:qFormat/>
    <w:rPr>
      <w:rFonts w:ascii="Times New Roman" w:hAnsi="Times New Roman" w:cs="Times New Roman"/>
    </w:rPr>
  </w:style>
  <w:style w:type="character" w:styleId="Rvts23">
    <w:name w:val="rvts23"/>
    <w:qFormat/>
    <w:rPr>
      <w:rFonts w:ascii="Times New Roman" w:hAnsi="Times New Roman" w:cs="Times New Roman"/>
    </w:rPr>
  </w:style>
  <w:style w:type="character" w:styleId="Style20">
    <w:name w:val="Основной текст_"/>
    <w:qFormat/>
    <w:rPr>
      <w:rFonts w:ascii="Times New Roman" w:hAnsi="Times New Roman" w:eastAsia="Times New Roman" w:cs="Times New Roman"/>
      <w:sz w:val="23"/>
      <w:szCs w:val="23"/>
      <w:shd w:fill="FFFFFF" w:val="clear"/>
    </w:rPr>
  </w:style>
  <w:style w:type="character" w:styleId="Style21">
    <w:name w:val="Гіперпосилання"/>
    <w:rPr>
      <w:color w:val="0563C1"/>
      <w:u w:val="single"/>
    </w:rPr>
  </w:style>
  <w:style w:type="character" w:styleId="11">
    <w:name w:val="Незакрита згадка1"/>
    <w:qFormat/>
    <w:rPr>
      <w:color w:val="808080"/>
      <w:shd w:fill="E6E6E6" w:val="clear"/>
    </w:rPr>
  </w:style>
  <w:style w:type="character" w:styleId="Style22">
    <w:name w:val="Нижній колонтитул Знак"/>
    <w:qFormat/>
    <w:rPr>
      <w:lang w:val="uk-UA"/>
    </w:rPr>
  </w:style>
  <w:style w:type="character" w:styleId="Style23">
    <w:name w:val="Відвідане гіперпосилання"/>
    <w:rPr>
      <w:color w:val="954F72"/>
      <w:u w:val="single"/>
    </w:rPr>
  </w:style>
  <w:style w:type="character" w:styleId="31">
    <w:name w:val="Заголовок 3 Знак"/>
    <w:qFormat/>
    <w:rPr>
      <w:rFonts w:ascii="Times New Roman" w:hAnsi="Times New Roman" w:eastAsia="Times New Roman" w:cs="Times New Roman"/>
      <w:b/>
      <w:bCs/>
      <w:sz w:val="27"/>
      <w:szCs w:val="27"/>
    </w:rPr>
  </w:style>
  <w:style w:type="character" w:styleId="HTML">
    <w:name w:val="Стандартний HTML Знак"/>
    <w:qFormat/>
    <w:rPr>
      <w:rFonts w:ascii="Consolas" w:hAnsi="Consolas" w:cs="Consolas"/>
      <w:sz w:val="20"/>
      <w:szCs w:val="20"/>
    </w:rPr>
  </w:style>
  <w:style w:type="character" w:styleId="32">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4">
    <w:name w:val="Верхній колонтитул Знак"/>
    <w:basedOn w:val="Style14"/>
    <w:qFormat/>
    <w:rPr/>
  </w:style>
  <w:style w:type="paragraph" w:styleId="Style25">
    <w:name w:val="Заголовок"/>
    <w:basedOn w:val="Normal"/>
    <w:next w:val="Style26"/>
    <w:qFormat/>
    <w:pPr>
      <w:keepNext w:val="true"/>
      <w:spacing w:before="240" w:after="120"/>
    </w:pPr>
    <w:rPr>
      <w:rFonts w:ascii="Liberation Sans;Arial" w:hAnsi="Liberation Sans;Arial" w:eastAsia="Microsoft YaHei" w:cs="Arial"/>
      <w:sz w:val="28"/>
      <w:szCs w:val="28"/>
    </w:rPr>
  </w:style>
  <w:style w:type="paragraph" w:styleId="Style26">
    <w:name w:val="Body Text"/>
    <w:basedOn w:val="Normal"/>
    <w:pPr>
      <w:spacing w:lineRule="auto" w:line="276" w:before="0" w:after="140"/>
    </w:pPr>
    <w:rPr/>
  </w:style>
  <w:style w:type="paragraph" w:styleId="Style27">
    <w:name w:val="List"/>
    <w:basedOn w:val="Style26"/>
    <w:pPr/>
    <w:rPr>
      <w:rFonts w:cs="Arial"/>
    </w:rPr>
  </w:style>
  <w:style w:type="paragraph" w:styleId="Style28">
    <w:name w:val="Caption"/>
    <w:basedOn w:val="Normal"/>
    <w:qFormat/>
    <w:pPr>
      <w:suppressLineNumbers/>
      <w:spacing w:before="120" w:after="120"/>
    </w:pPr>
    <w:rPr>
      <w:rFonts w:cs="Arial"/>
      <w:i/>
      <w:iCs/>
      <w:sz w:val="24"/>
      <w:szCs w:val="24"/>
    </w:rPr>
  </w:style>
  <w:style w:type="paragraph" w:styleId="Style29">
    <w:name w:val="Покажчик"/>
    <w:basedOn w:val="Normal"/>
    <w:qFormat/>
    <w:pPr>
      <w:suppressLineNumbers/>
    </w:pPr>
    <w:rPr>
      <w:rFonts w:cs="Arial"/>
    </w:rPr>
  </w:style>
  <w:style w:type="paragraph" w:styleId="12">
    <w:name w:val="Заголовок1"/>
    <w:basedOn w:val="Normal"/>
    <w:next w:val="Style26"/>
    <w:qFormat/>
    <w:pPr>
      <w:keepNext w:val="true"/>
      <w:spacing w:before="240" w:after="120"/>
    </w:pPr>
    <w:rPr>
      <w:rFonts w:ascii="Liberation Sans;Arial" w:hAnsi="Liberation Sans;Arial" w:eastAsia="Microsoft YaHei" w:cs="Arial"/>
      <w:sz w:val="28"/>
      <w:szCs w:val="28"/>
    </w:rPr>
  </w:style>
  <w:style w:type="paragraph" w:styleId="Style30">
    <w:name w:val="Название объекта"/>
    <w:basedOn w:val="Normal"/>
    <w:qFormat/>
    <w:pPr>
      <w:suppressLineNumbers/>
      <w:spacing w:before="120" w:after="120"/>
    </w:pPr>
    <w:rPr>
      <w:rFonts w:cs="Arial"/>
      <w:i/>
      <w:iCs/>
      <w:sz w:val="24"/>
      <w:szCs w:val="24"/>
    </w:rPr>
  </w:style>
  <w:style w:type="paragraph" w:styleId="21">
    <w:name w:val="Название объекта2"/>
    <w:basedOn w:val="Normal"/>
    <w:qFormat/>
    <w:pPr>
      <w:suppressLineNumbers/>
      <w:spacing w:before="120" w:after="120"/>
    </w:pPr>
    <w:rPr>
      <w:rFonts w:cs="Arial"/>
      <w:i/>
      <w:iCs/>
      <w:sz w:val="24"/>
      <w:szCs w:val="24"/>
    </w:rPr>
  </w:style>
  <w:style w:type="paragraph" w:styleId="13">
    <w:name w:val="Название объекта1"/>
    <w:basedOn w:val="Normal"/>
    <w:qFormat/>
    <w:pPr>
      <w:suppressLineNumbers/>
      <w:spacing w:before="120" w:after="120"/>
    </w:pPr>
    <w:rPr>
      <w:rFonts w:cs="Arial"/>
      <w:i/>
      <w:iCs/>
      <w:sz w:val="24"/>
      <w:szCs w:val="24"/>
    </w:rPr>
  </w:style>
  <w:style w:type="paragraph" w:styleId="Style31">
    <w:name w:val="Текст примітки"/>
    <w:basedOn w:val="Normal"/>
    <w:qFormat/>
    <w:pPr>
      <w:spacing w:lineRule="auto" w:line="240"/>
    </w:pPr>
    <w:rPr>
      <w:sz w:val="20"/>
      <w:szCs w:val="20"/>
      <w:lang w:val="uk-UA"/>
    </w:rPr>
  </w:style>
  <w:style w:type="paragraph" w:styleId="Style32">
    <w:name w:val="Тема примітки"/>
    <w:basedOn w:val="Style31"/>
    <w:next w:val="Style31"/>
    <w:qFormat/>
    <w:pPr/>
    <w:rPr>
      <w:b/>
      <w:bCs/>
      <w:lang w:val="uk-UA"/>
    </w:rPr>
  </w:style>
  <w:style w:type="paragraph" w:styleId="Style33">
    <w:name w:val="Текст у виносці"/>
    <w:basedOn w:val="Normal"/>
    <w:qFormat/>
    <w:pPr>
      <w:spacing w:lineRule="auto" w:line="240" w:before="0" w:after="0"/>
    </w:pPr>
    <w:rPr>
      <w:rFonts w:ascii="Segoe UI" w:hAnsi="Segoe UI" w:cs="Segoe UI"/>
      <w:sz w:val="18"/>
      <w:szCs w:val="18"/>
      <w:lang w:val="uk-UA"/>
    </w:rPr>
  </w:style>
  <w:style w:type="paragraph" w:styleId="Style34">
    <w:name w:val="Нормальний текст"/>
    <w:basedOn w:val="Normal"/>
    <w:qFormat/>
    <w:pPr>
      <w:spacing w:lineRule="auto" w:line="240" w:before="120" w:after="0"/>
      <w:ind w:left="0" w:right="0" w:firstLine="567"/>
      <w:jc w:val="both"/>
    </w:pPr>
    <w:rPr>
      <w:rFonts w:ascii="Antiqua;Century Gothic" w:hAnsi="Antiqua;Century Gothic" w:cs="Antiqua;Century Gothic"/>
      <w:sz w:val="26"/>
      <w:szCs w:val="20"/>
      <w:lang w:val="uk-UA"/>
    </w:rPr>
  </w:style>
  <w:style w:type="paragraph" w:styleId="4">
    <w:name w:val="Основной текст4"/>
    <w:basedOn w:val="Normal"/>
    <w:qFormat/>
    <w:pPr>
      <w:widowControl w:val="false"/>
      <w:shd w:val="clear" w:fill="FFFFFF"/>
      <w:spacing w:lineRule="exact" w:line="475" w:before="4500" w:after="0"/>
      <w:ind w:left="0" w:right="0" w:hanging="460"/>
    </w:pPr>
    <w:rPr>
      <w:rFonts w:ascii="Times New Roman" w:hAnsi="Times New Roman" w:eastAsia="Times New Roman" w:cs="Times New Roman"/>
      <w:sz w:val="23"/>
      <w:szCs w:val="23"/>
      <w:lang w:val="uk-UA"/>
    </w:rPr>
  </w:style>
  <w:style w:type="paragraph" w:styleId="Style35">
    <w:name w:val="Абзац списку"/>
    <w:basedOn w:val="Normal"/>
    <w:qFormat/>
    <w:pPr>
      <w:spacing w:lineRule="auto" w:line="276" w:before="0" w:after="200"/>
      <w:ind w:left="720" w:right="0" w:hanging="0"/>
      <w:contextualSpacing/>
    </w:pPr>
    <w:rPr>
      <w:lang w:val="uk-UA"/>
    </w:rPr>
  </w:style>
  <w:style w:type="paragraph" w:styleId="Style36">
    <w:name w:val="Верхній і нижній колонтитули"/>
    <w:basedOn w:val="Normal"/>
    <w:qFormat/>
    <w:pPr/>
    <w:rPr/>
  </w:style>
  <w:style w:type="paragraph" w:styleId="Style37">
    <w:name w:val="Footer"/>
    <w:basedOn w:val="Normal"/>
    <w:pPr>
      <w:spacing w:lineRule="auto" w:line="240" w:before="0" w:after="0"/>
    </w:pPr>
    <w:rPr>
      <w:sz w:val="20"/>
      <w:szCs w:val="20"/>
      <w:lang w:val="uk-UA"/>
    </w:rPr>
  </w:style>
  <w:style w:type="paragraph" w:styleId="Style38">
    <w:name w:val="Без інтервалів"/>
    <w:qFormat/>
    <w:pPr>
      <w:widowControl/>
      <w:suppressAutoHyphens w:val="true"/>
      <w:bidi w:val="0"/>
      <w:spacing w:before="0" w:after="0"/>
      <w:jc w:val="left"/>
    </w:pPr>
    <w:rPr>
      <w:rFonts w:ascii="Calibri" w:hAnsi="Calibri" w:eastAsia="Calibri" w:cs="Calibri"/>
      <w:color w:val="auto"/>
      <w:kern w:val="0"/>
      <w:sz w:val="22"/>
      <w:szCs w:val="22"/>
      <w:lang w:val="en-US" w:eastAsia="zh-CN" w:bidi="ar-SA"/>
    </w:rPr>
  </w:style>
  <w:style w:type="paragraph" w:styleId="Style39">
    <w:name w:val="Звичайний (веб)"/>
    <w:basedOn w:val="Normal"/>
    <w:qFormat/>
    <w:pPr>
      <w:spacing w:lineRule="auto" w:line="240" w:before="280" w:after="280"/>
    </w:pPr>
    <w:rPr>
      <w:rFonts w:ascii="Times New Roman" w:hAnsi="Times New Roman" w:eastAsia="Times New Roman" w:cs="Times New Roman"/>
      <w:sz w:val="24"/>
      <w:szCs w:val="24"/>
    </w:rPr>
  </w:style>
  <w:style w:type="paragraph" w:styleId="HTML1">
    <w:name w:val="Стандартний HTML"/>
    <w:basedOn w:val="Normal"/>
    <w:qFormat/>
    <w:pPr>
      <w:spacing w:lineRule="auto" w:line="240" w:before="0" w:after="0"/>
    </w:pPr>
    <w:rPr>
      <w:rFonts w:ascii="Consolas" w:hAnsi="Consolas" w:cs="Consolas"/>
      <w:sz w:val="20"/>
      <w:szCs w:val="20"/>
      <w:lang w:val="uk-UA"/>
    </w:rPr>
  </w:style>
  <w:style w:type="paragraph" w:styleId="33">
    <w:name w:val="Основний текст з відступом 3"/>
    <w:basedOn w:val="Normal"/>
    <w:qFormat/>
    <w:pPr>
      <w:spacing w:lineRule="auto" w:line="240" w:before="0" w:after="0"/>
      <w:ind w:left="0" w:right="0" w:firstLine="567"/>
      <w:jc w:val="both"/>
    </w:pPr>
    <w:rPr>
      <w:rFonts w:ascii="Times New Roman" w:hAnsi="Times New Roman" w:eastAsia="Times New Roman" w:cs="Times New Roman"/>
      <w:color w:val="000000"/>
      <w:sz w:val="24"/>
      <w:szCs w:val="20"/>
      <w:lang w:val="ru-RU"/>
    </w:rPr>
  </w:style>
  <w:style w:type="paragraph" w:styleId="Style40">
    <w:name w:val="Header"/>
    <w:basedOn w:val="Normal"/>
    <w:pPr>
      <w:tabs>
        <w:tab w:val="clear" w:pos="720"/>
        <w:tab w:val="center" w:pos="4677" w:leader="none"/>
        <w:tab w:val="right" w:pos="9355" w:leader="none"/>
      </w:tabs>
      <w:spacing w:lineRule="auto" w:line="240" w:before="0" w:after="0"/>
    </w:pPr>
    <w:rPr/>
  </w:style>
  <w:style w:type="paragraph" w:styleId="Style41">
    <w:name w:val="Вміст таблиці"/>
    <w:basedOn w:val="Normal"/>
    <w:qFormat/>
    <w:pPr>
      <w:suppressLineNumbers/>
    </w:pPr>
    <w:rPr/>
  </w:style>
  <w:style w:type="paragraph" w:styleId="Style42">
    <w:name w:val="Заголовок таблиці"/>
    <w:basedOn w:val="Style41"/>
    <w:qFormat/>
    <w:pPr>
      <w:suppressLineNumbers/>
      <w:jc w:val="center"/>
    </w:pPr>
    <w:rPr>
      <w:b/>
      <w:bCs/>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Normal_x005F_x0000_</Template>
  <TotalTime>12</TotalTime>
  <Application>LibreOffice/7.2.4.1$Windows_X86_64 LibreOffice_project/27d75539669ac387bb498e35313b970b7fe9c4f9</Application>
  <AppVersion>15.0000</AppVersion>
  <Pages>4</Pages>
  <Words>920</Words>
  <Characters>6212</Characters>
  <CharactersWithSpaces>7058</CharactersWithSpaces>
  <Paragraphs>110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1995-11-21T17:41:00Z</dcterms:created>
  <dc:creator>Пользователь Windows</dc:creator>
  <dc:description/>
  <dc:language>uk-UA</dc:language>
  <cp:lastModifiedBy/>
  <cp:lastPrinted>2021-12-20T11:54:00Z</cp:lastPrinted>
  <dcterms:modified xsi:type="dcterms:W3CDTF">2021-12-20T11:55:57Z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