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uk-UA"/>
        </w:rPr>
        <w:t xml:space="preserve">Додаток </w:t>
      </w:r>
    </w:p>
    <w:p>
      <w:pPr>
        <w:pStyle w:val="Style25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</w:r>
    </w:p>
    <w:p>
      <w:pPr>
        <w:pStyle w:val="Style25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25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36" w:type="dxa"/>
        <w:tblCellMar>
          <w:top w:w="55" w:type="dxa"/>
          <w:left w:w="19" w:type="dxa"/>
          <w:bottom w:w="55" w:type="dxa"/>
          <w:right w:w="55" w:type="dxa"/>
        </w:tblCellMar>
      </w:tblPr>
      <w:tblGrid>
        <w:gridCol w:w="2428"/>
        <w:gridCol w:w="5408"/>
        <w:gridCol w:w="2034"/>
      </w:tblGrid>
      <w:tr>
        <w:trPr>
          <w:tblHeader w:val="true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bookmarkStart w:id="0" w:name="__DdeLink__2678_2219782697"/>
            <w:bookmarkEnd w:id="0"/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>0</w:t>
            </w:r>
          </w:p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</w:p>
        </w:tc>
      </w:tr>
      <w:tr>
        <w:trPr/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129</w:t>
            </w:r>
          </w:p>
        </w:tc>
      </w:tr>
      <w:tr>
        <w:trPr>
          <w:trHeight w:val="932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Style26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3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1</w:t>
            </w:r>
          </w:p>
        </w:tc>
      </w:tr>
      <w:tr>
        <w:trPr>
          <w:trHeight w:val="1177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1" w:name="__DdeLink__1323_4135834818"/>
            <w:r>
              <w:rPr/>
              <w:t>ч</w:t>
            </w:r>
            <w:bookmarkEnd w:id="1"/>
            <w:r>
              <w:rPr/>
              <w:t>ервня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ться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161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Style26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ascii="Times New Roman" w:hAnsi="Times New Roman" w:eastAsia="Courier New" w:cs="Courier New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en-US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en-US" w:eastAsia="zxx" w:bidi="zxx"/>
              </w:rPr>
              <w:t>0</w:t>
            </w:r>
          </w:p>
        </w:tc>
      </w:tr>
      <w:tr>
        <w:trPr>
          <w:trHeight w:val="884" w:hRule="atLeast"/>
        </w:trPr>
        <w:tc>
          <w:tcPr>
            <w:tcW w:w="242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ind w:left="0" w:right="0" w:hanging="0"/>
              <w:jc w:val="left"/>
              <w:rPr>
                <w:rFonts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540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61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60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ascii="Times New Roman" w:hAnsi="Times New Roman" w:eastAsia="Courier New" w:cs="Courier New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  <w:t>2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1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3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ч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е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рвн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я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ться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19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ascii="Times New Roman" w:hAnsi="Times New Roman" w:eastAsia="Courier New" w:cs="Courier New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4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1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</w:r>
          </w:p>
        </w:tc>
      </w:tr>
      <w:tr>
        <w:trPr>
          <w:trHeight w:val="73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960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3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червня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виповнит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ься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9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bookmarkStart w:id="2" w:name="__DdeLink__1221_2682262711"/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kern w:val="0"/>
                <w:sz w:val="24"/>
                <w:szCs w:val="24"/>
                <w:lang w:val="uk-UA" w:eastAsia="zxx" w:bidi="zxx"/>
              </w:rPr>
              <w:t>червня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виповнит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ь</w:t>
            </w:r>
            <w:bookmarkEnd w:id="2"/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ся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192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323</w:t>
            </w:r>
          </w:p>
        </w:tc>
      </w:tr>
      <w:tr>
        <w:trPr>
          <w:trHeight w:val="954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614</w:t>
            </w:r>
          </w:p>
        </w:tc>
      </w:tr>
      <w:tr>
        <w:trPr>
          <w:trHeight w:val="653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59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en-US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7"/>
              <w:snapToGrid w:val="false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r>
          </w:p>
        </w:tc>
      </w:tr>
      <w:tr>
        <w:trPr>
          <w:trHeight w:val="393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7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475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5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7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both"/>
              <w:rPr>
                <w:b/>
                <w:b/>
                <w:bCs/>
                <w:color w:val="00000A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A"/>
                <w:sz w:val="24"/>
                <w:szCs w:val="24"/>
                <w:lang w:val="uk-UA"/>
              </w:rPr>
              <w:t xml:space="preserve">                                                                                             </w:t>
            </w:r>
            <w:r>
              <w:rPr>
                <w:b/>
                <w:bCs/>
                <w:color w:val="00000A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jc w:val="center"/>
              <w:rPr/>
            </w:pPr>
            <w:r>
              <w:rPr>
                <w:b/>
                <w:bCs/>
                <w:color w:val="00000A"/>
                <w:lang w:val="uk-UA"/>
              </w:rPr>
              <w:t xml:space="preserve">1 453  </w:t>
            </w:r>
          </w:p>
        </w:tc>
      </w:tr>
    </w:tbl>
    <w:p>
      <w:pPr>
        <w:pStyle w:val="Normal"/>
        <w:pageBreakBefore w:val="false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rPr/>
      </w:pPr>
      <w:r>
        <w:rPr/>
      </w:r>
    </w:p>
    <w:p>
      <w:pPr>
        <w:pStyle w:val="Style25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both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uk-UA"/>
        </w:rPr>
      </w:r>
    </w:p>
    <w:p>
      <w:pPr>
        <w:pStyle w:val="Style25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567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5a01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yle20"/>
    <w:next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ru-RU" w:eastAsia="zxx" w:bidi="zxx"/>
    </w:rPr>
  </w:style>
  <w:style w:type="paragraph" w:styleId="4">
    <w:name w:val="Heading 4"/>
    <w:basedOn w:val="Style20"/>
    <w:qFormat/>
    <w:p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Гіперпосилання"/>
    <w:rsid w:val="000b5a01"/>
    <w:rPr>
      <w:color w:val="0000FF"/>
      <w:u w:val="single"/>
    </w:rPr>
  </w:style>
  <w:style w:type="character" w:styleId="Style12">
    <w:name w:val="Виділення"/>
    <w:qFormat/>
    <w:rPr>
      <w:i/>
      <w:iCs/>
    </w:rPr>
  </w:style>
  <w:style w:type="character" w:styleId="Style13">
    <w:name w:val="Виділення жирним"/>
    <w:qFormat/>
    <w:rPr>
      <w:b/>
      <w:bCs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character" w:styleId="FontStyle18">
    <w:name w:val="Font Style18"/>
    <w:basedOn w:val="Style16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6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7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8">
    <w:name w:val="Символ нумерації"/>
    <w:qFormat/>
    <w:rPr/>
  </w:style>
  <w:style w:type="character" w:styleId="Style19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51" w:customStyle="1">
    <w:name w:val="Style5"/>
    <w:basedOn w:val="Normal"/>
    <w:qFormat/>
    <w:rsid w:val="000b5a01"/>
    <w:pPr>
      <w:widowControl w:val="false"/>
      <w:spacing w:lineRule="exact" w:line="312"/>
      <w:ind w:firstLine="550"/>
      <w:jc w:val="both"/>
    </w:pPr>
    <w:rPr/>
  </w:style>
  <w:style w:type="paragraph" w:styleId="Style25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Style28"/>
    <w:pPr>
      <w:suppressLineNumbers/>
    </w:pPr>
    <w:rPr/>
  </w:style>
  <w:style w:type="paragraph" w:styleId="TableParagraph">
    <w:name w:val="Table Paragraph"/>
    <w:basedOn w:val="Normal"/>
    <w:qFormat/>
    <w:pPr>
      <w:spacing w:before="55" w:after="0"/>
      <w:ind w:left="27" w:right="0" w:hanging="0"/>
    </w:pPr>
    <w:rPr/>
  </w:style>
  <w:style w:type="paragraph" w:styleId="Style30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31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32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33">
    <w:name w:val="Footer"/>
    <w:basedOn w:val="Style28"/>
    <w:pPr>
      <w:suppressLineNumbers/>
      <w:tabs>
        <w:tab w:val="clear" w:pos="4819"/>
        <w:tab w:val="clear" w:pos="9638"/>
        <w:tab w:val="center" w:pos="4702" w:leader="none"/>
        <w:tab w:val="right" w:pos="9405" w:leader="none"/>
      </w:tabs>
    </w:pPr>
    <w:rPr/>
  </w:style>
  <w:style w:type="paragraph" w:styleId="Style34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35">
    <w:name w:val="Subtitle"/>
    <w:basedOn w:val="Style20"/>
    <w:qFormat/>
    <w:pPr>
      <w:jc w:val="center"/>
    </w:pPr>
    <w:rPr>
      <w:i/>
      <w:iCs/>
      <w:sz w:val="28"/>
      <w:szCs w:val="28"/>
    </w:rPr>
  </w:style>
  <w:style w:type="paragraph" w:styleId="WW">
    <w:name w:val="WW-Заголовок"/>
    <w:basedOn w:val="Style20"/>
    <w:qFormat/>
    <w:pPr/>
    <w:rPr/>
  </w:style>
  <w:style w:type="paragraph" w:styleId="Style36">
    <w:name w:val="Указатель"/>
    <w:basedOn w:val="Normal"/>
    <w:qFormat/>
    <w:pPr>
      <w:suppressLineNumbers/>
    </w:pPr>
    <w:rPr>
      <w:rFonts w:cs="Tahom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LibreOffice/6.3.0.4$Windows_X86_64 LibreOffice_project/057fc023c990d676a43019934386b85b21a9ee99</Application>
  <Pages>3</Pages>
  <Words>582</Words>
  <Characters>4121</Characters>
  <CharactersWithSpaces>4728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dc:description/>
  <dc:language>uk-UA</dc:language>
  <cp:lastModifiedBy/>
  <cp:lastPrinted>2023-06-08T16:58:35Z</cp:lastPrinted>
  <dcterms:modified xsi:type="dcterms:W3CDTF">2023-06-12T11:43:19Z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